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D5334">
      <w:pPr>
        <w:widowControl/>
        <w:snapToGrid w:val="0"/>
        <w:spacing w:line="600" w:lineRule="exact"/>
        <w:rPr>
          <w:rFonts w:ascii="微软雅黑" w:hAnsi="微软雅黑" w:eastAsia="微软雅黑" w:cs="微软雅黑"/>
          <w:b/>
          <w:spacing w:val="-2"/>
          <w:sz w:val="36"/>
          <w:szCs w:val="36"/>
          <w:highlight w:val="none"/>
        </w:rPr>
      </w:pPr>
    </w:p>
    <w:p w14:paraId="17F0D31A">
      <w:pPr>
        <w:pStyle w:val="18"/>
        <w:rPr>
          <w:highlight w:val="none"/>
        </w:rPr>
      </w:pPr>
    </w:p>
    <w:p w14:paraId="7EB12689">
      <w:pPr>
        <w:widowControl/>
        <w:snapToGrid w:val="0"/>
        <w:spacing w:line="480" w:lineRule="auto"/>
        <w:jc w:val="center"/>
        <w:rPr>
          <w:rFonts w:hint="eastAsia" w:ascii="黑体" w:hAnsi="黑体" w:eastAsia="黑体" w:cs="微软雅黑"/>
          <w:color w:val="C00000"/>
          <w:sz w:val="48"/>
          <w:szCs w:val="48"/>
          <w:highlight w:val="none"/>
          <w:lang w:eastAsia="zh-CN"/>
        </w:rPr>
      </w:pPr>
      <w:r>
        <w:rPr>
          <w:rFonts w:hint="eastAsia" w:ascii="黑体" w:hAnsi="黑体" w:eastAsia="黑体" w:cs="微软雅黑"/>
          <w:b/>
          <w:spacing w:val="-2"/>
          <w:sz w:val="48"/>
          <w:szCs w:val="48"/>
          <w:highlight w:val="none"/>
        </w:rPr>
        <w:t xml:space="preserve"> </w:t>
      </w:r>
      <w:r>
        <w:rPr>
          <w:rFonts w:hint="eastAsia" w:ascii="黑体" w:hAnsi="黑体" w:eastAsia="黑体" w:cs="微软雅黑"/>
          <w:b/>
          <w:spacing w:val="-2"/>
          <w:sz w:val="48"/>
          <w:szCs w:val="48"/>
          <w:highlight w:val="none"/>
          <w:lang w:eastAsia="zh-CN"/>
        </w:rPr>
        <w:t>东莞市海心沙资源综合利用中心环保热电厂2026年度纳米液钙采购项目</w:t>
      </w:r>
    </w:p>
    <w:p w14:paraId="1BE128AE">
      <w:pPr>
        <w:widowControl/>
        <w:snapToGrid w:val="0"/>
        <w:jc w:val="center"/>
        <w:rPr>
          <w:rFonts w:ascii="微软雅黑" w:hAnsi="微软雅黑" w:eastAsia="微软雅黑" w:cs="微软雅黑"/>
          <w:sz w:val="32"/>
          <w:szCs w:val="32"/>
          <w:highlight w:val="none"/>
        </w:rPr>
      </w:pPr>
    </w:p>
    <w:p w14:paraId="6C5460DA">
      <w:pPr>
        <w:ind w:firstLine="4200" w:firstLineChars="500"/>
        <w:rPr>
          <w:rFonts w:ascii="黑体" w:hAnsi="黑体" w:eastAsia="黑体" w:cs="微软雅黑"/>
          <w:sz w:val="84"/>
          <w:szCs w:val="84"/>
          <w:highlight w:val="none"/>
        </w:rPr>
      </w:pPr>
      <w:r>
        <w:rPr>
          <w:rFonts w:hint="eastAsia" w:ascii="黑体" w:hAnsi="黑体" w:eastAsia="黑体" w:cs="微软雅黑"/>
          <w:sz w:val="84"/>
          <w:szCs w:val="84"/>
          <w:highlight w:val="none"/>
        </w:rPr>
        <w:t>技</w:t>
      </w:r>
    </w:p>
    <w:p w14:paraId="09471E87">
      <w:pPr>
        <w:ind w:firstLine="4200" w:firstLineChars="500"/>
        <w:rPr>
          <w:rFonts w:ascii="黑体" w:hAnsi="黑体" w:eastAsia="黑体" w:cs="微软雅黑"/>
          <w:sz w:val="84"/>
          <w:szCs w:val="84"/>
          <w:highlight w:val="none"/>
        </w:rPr>
      </w:pPr>
      <w:r>
        <w:rPr>
          <w:rFonts w:hint="eastAsia" w:ascii="黑体" w:hAnsi="黑体" w:eastAsia="黑体" w:cs="微软雅黑"/>
          <w:sz w:val="84"/>
          <w:szCs w:val="84"/>
          <w:highlight w:val="none"/>
        </w:rPr>
        <w:t>术</w:t>
      </w:r>
    </w:p>
    <w:p w14:paraId="0CF1256B">
      <w:pPr>
        <w:ind w:firstLine="4200" w:firstLineChars="500"/>
        <w:rPr>
          <w:rFonts w:hint="eastAsia" w:ascii="黑体" w:hAnsi="黑体" w:eastAsia="黑体" w:cs="微软雅黑"/>
          <w:sz w:val="84"/>
          <w:szCs w:val="84"/>
          <w:highlight w:val="none"/>
          <w:lang w:val="en-US" w:eastAsia="zh-CN"/>
        </w:rPr>
      </w:pPr>
      <w:r>
        <w:rPr>
          <w:rFonts w:hint="eastAsia" w:ascii="黑体" w:hAnsi="黑体" w:eastAsia="黑体" w:cs="微软雅黑"/>
          <w:sz w:val="84"/>
          <w:szCs w:val="84"/>
          <w:highlight w:val="none"/>
          <w:lang w:val="en-US" w:eastAsia="zh-CN"/>
        </w:rPr>
        <w:t>需</w:t>
      </w:r>
    </w:p>
    <w:p w14:paraId="77CBFB26">
      <w:pPr>
        <w:ind w:firstLine="4200" w:firstLineChars="500"/>
        <w:rPr>
          <w:rFonts w:hint="eastAsia" w:ascii="黑体" w:hAnsi="黑体" w:eastAsia="黑体" w:cs="微软雅黑"/>
          <w:sz w:val="84"/>
          <w:szCs w:val="84"/>
          <w:highlight w:val="none"/>
          <w:lang w:eastAsia="zh-CN"/>
        </w:rPr>
      </w:pPr>
      <w:r>
        <w:rPr>
          <w:rFonts w:hint="eastAsia" w:ascii="黑体" w:hAnsi="黑体" w:eastAsia="黑体" w:cs="微软雅黑"/>
          <w:sz w:val="84"/>
          <w:szCs w:val="84"/>
          <w:highlight w:val="none"/>
          <w:lang w:val="en-US" w:eastAsia="zh-CN"/>
        </w:rPr>
        <w:t>求</w:t>
      </w:r>
    </w:p>
    <w:p w14:paraId="52591525">
      <w:pPr>
        <w:ind w:firstLine="4200" w:firstLineChars="500"/>
        <w:rPr>
          <w:rFonts w:ascii="黑体" w:hAnsi="黑体" w:eastAsia="黑体" w:cs="微软雅黑"/>
          <w:sz w:val="84"/>
          <w:szCs w:val="84"/>
          <w:highlight w:val="none"/>
        </w:rPr>
      </w:pPr>
      <w:r>
        <w:rPr>
          <w:rFonts w:ascii="黑体" w:hAnsi="黑体" w:eastAsia="黑体" w:cs="微软雅黑"/>
          <w:sz w:val="84"/>
          <w:szCs w:val="84"/>
          <w:highlight w:val="none"/>
        </w:rPr>
        <w:t>书</w:t>
      </w:r>
    </w:p>
    <w:p w14:paraId="0DED844E">
      <w:pPr>
        <w:tabs>
          <w:tab w:val="left" w:pos="432"/>
        </w:tabs>
        <w:spacing w:line="440" w:lineRule="exact"/>
        <w:jc w:val="left"/>
        <w:rPr>
          <w:rFonts w:ascii="黑体" w:eastAsia="黑体"/>
          <w:sz w:val="24"/>
          <w:highlight w:val="none"/>
        </w:rPr>
      </w:pPr>
    </w:p>
    <w:p w14:paraId="5FA349CE">
      <w:pPr>
        <w:pStyle w:val="52"/>
        <w:numPr>
          <w:ilvl w:val="4"/>
          <w:numId w:val="0"/>
        </w:numPr>
        <w:ind w:leftChars="0"/>
        <w:outlineLvl w:val="9"/>
        <w:rPr>
          <w:rFonts w:ascii="黑体"/>
          <w:szCs w:val="20"/>
          <w:highlight w:val="none"/>
        </w:rPr>
      </w:pPr>
    </w:p>
    <w:p w14:paraId="011A4A08">
      <w:pPr>
        <w:pStyle w:val="53"/>
        <w:rPr>
          <w:rFonts w:ascii="黑体"/>
          <w:szCs w:val="20"/>
          <w:highlight w:val="none"/>
        </w:rPr>
      </w:pPr>
    </w:p>
    <w:p w14:paraId="119FD848">
      <w:pPr>
        <w:pStyle w:val="53"/>
        <w:rPr>
          <w:rFonts w:ascii="黑体"/>
          <w:szCs w:val="20"/>
          <w:highlight w:val="none"/>
        </w:rPr>
      </w:pPr>
    </w:p>
    <w:p w14:paraId="17CAB6E8">
      <w:pPr>
        <w:pStyle w:val="53"/>
        <w:rPr>
          <w:rFonts w:ascii="黑体"/>
          <w:szCs w:val="20"/>
          <w:highlight w:val="none"/>
        </w:rPr>
      </w:pPr>
    </w:p>
    <w:p w14:paraId="7CEA50CB">
      <w:pPr>
        <w:tabs>
          <w:tab w:val="left" w:pos="432"/>
        </w:tabs>
        <w:spacing w:line="440" w:lineRule="exact"/>
        <w:ind w:firstLine="0" w:firstLineChars="0"/>
        <w:jc w:val="center"/>
        <w:rPr>
          <w:highlight w:val="none"/>
        </w:rPr>
      </w:pPr>
      <w:r>
        <w:rPr>
          <w:rFonts w:hint="eastAsia"/>
          <w:highlight w:val="none"/>
        </w:rPr>
        <w:t>东莞市新东元环保投资有限公司</w:t>
      </w:r>
    </w:p>
    <w:p w14:paraId="1691A6EB">
      <w:pPr>
        <w:jc w:val="center"/>
        <w:rPr>
          <w:rFonts w:ascii="黑体"/>
          <w:szCs w:val="20"/>
          <w:highlight w:val="none"/>
        </w:rPr>
      </w:pPr>
      <w:r>
        <w:rPr>
          <w:rFonts w:hint="eastAsia" w:ascii="宋体" w:hAnsi="宋体" w:cs="宋体"/>
          <w:b/>
          <w:bCs/>
          <w:color w:val="auto"/>
          <w:sz w:val="30"/>
          <w:szCs w:val="30"/>
          <w:highlight w:val="none"/>
        </w:rPr>
        <w:t>20</w:t>
      </w:r>
      <w:r>
        <w:rPr>
          <w:rFonts w:hint="default" w:ascii="宋体" w:hAnsi="宋体" w:cs="宋体"/>
          <w:b/>
          <w:bCs/>
          <w:color w:val="auto"/>
          <w:sz w:val="30"/>
          <w:szCs w:val="30"/>
          <w:highlight w:val="none"/>
          <w:u w:val="none"/>
          <w:lang w:val="en-US"/>
        </w:rPr>
        <w:t>2</w:t>
      </w:r>
      <w:r>
        <w:rPr>
          <w:rFonts w:hint="eastAsia" w:hAnsi="宋体" w:cs="宋体"/>
          <w:b/>
          <w:bCs/>
          <w:color w:val="auto"/>
          <w:sz w:val="30"/>
          <w:szCs w:val="30"/>
          <w:highlight w:val="none"/>
          <w:u w:val="none"/>
          <w:lang w:val="en-US" w:eastAsia="zh-CN"/>
        </w:rPr>
        <w:t>6</w:t>
      </w:r>
      <w:r>
        <w:rPr>
          <w:rFonts w:hint="eastAsia" w:ascii="宋体" w:hAnsi="宋体" w:cs="宋体"/>
          <w:b/>
          <w:bCs/>
          <w:color w:val="auto"/>
          <w:sz w:val="30"/>
          <w:szCs w:val="30"/>
          <w:highlight w:val="none"/>
          <w:u w:val="none"/>
        </w:rPr>
        <w:t xml:space="preserve"> </w:t>
      </w:r>
      <w:r>
        <w:rPr>
          <w:rFonts w:hint="eastAsia" w:ascii="宋体" w:hAnsi="宋体" w:cs="宋体"/>
          <w:b/>
          <w:bCs/>
          <w:color w:val="auto"/>
          <w:sz w:val="30"/>
          <w:szCs w:val="30"/>
          <w:highlight w:val="none"/>
        </w:rPr>
        <w:t>年</w:t>
      </w:r>
      <w:r>
        <w:rPr>
          <w:rFonts w:hint="eastAsia" w:ascii="宋体" w:hAnsi="宋体" w:cs="宋体"/>
          <w:b/>
          <w:bCs/>
          <w:color w:val="auto"/>
          <w:sz w:val="30"/>
          <w:szCs w:val="30"/>
          <w:highlight w:val="none"/>
          <w:u w:val="none"/>
          <w:lang w:val="en-US" w:eastAsia="zh-CN"/>
        </w:rPr>
        <w:t xml:space="preserve"> </w:t>
      </w:r>
      <w:r>
        <w:rPr>
          <w:rFonts w:hint="eastAsia" w:hAnsi="宋体" w:cs="宋体"/>
          <w:b/>
          <w:bCs/>
          <w:color w:val="auto"/>
          <w:sz w:val="30"/>
          <w:szCs w:val="30"/>
          <w:highlight w:val="none"/>
          <w:u w:val="none"/>
          <w:lang w:val="en-US" w:eastAsia="zh-CN"/>
        </w:rPr>
        <w:t>9</w:t>
      </w:r>
      <w:r>
        <w:rPr>
          <w:rFonts w:hint="eastAsia" w:ascii="宋体" w:hAnsi="宋体" w:cs="宋体"/>
          <w:b/>
          <w:bCs/>
          <w:color w:val="auto"/>
          <w:sz w:val="30"/>
          <w:szCs w:val="30"/>
          <w:highlight w:val="none"/>
          <w:u w:val="none"/>
        </w:rPr>
        <w:t xml:space="preserve"> </w:t>
      </w:r>
      <w:r>
        <w:rPr>
          <w:rFonts w:hint="eastAsia" w:ascii="宋体" w:hAnsi="宋体" w:cs="宋体"/>
          <w:b/>
          <w:bCs/>
          <w:color w:val="auto"/>
          <w:sz w:val="30"/>
          <w:szCs w:val="30"/>
          <w:highlight w:val="none"/>
        </w:rPr>
        <w:t>月</w:t>
      </w:r>
    </w:p>
    <w:p w14:paraId="1615D72C">
      <w:pPr>
        <w:widowControl/>
        <w:snapToGrid w:val="0"/>
        <w:spacing w:before="156" w:beforeLines="50" w:after="240" w:line="500" w:lineRule="exact"/>
        <w:jc w:val="both"/>
        <w:rPr>
          <w:rFonts w:ascii="黑体" w:hAnsi="黑体" w:eastAsia="黑体" w:cs="微软雅黑"/>
          <w:b/>
          <w:bCs/>
          <w:kern w:val="44"/>
          <w:sz w:val="28"/>
          <w:szCs w:val="28"/>
          <w:highlight w:val="none"/>
        </w:rPr>
      </w:pPr>
      <w:r>
        <w:rPr>
          <w:rFonts w:hint="eastAsia" w:ascii="微软雅黑" w:hAnsi="微软雅黑" w:eastAsia="微软雅黑" w:cs="微软雅黑"/>
          <w:b/>
          <w:bCs/>
          <w:highlight w:val="none"/>
        </w:rPr>
        <w:br w:type="page"/>
      </w:r>
      <w:bookmarkStart w:id="0" w:name="_Toc373154495"/>
      <w:r>
        <w:rPr>
          <w:rFonts w:hint="eastAsia" w:ascii="黑体" w:hAnsi="黑体" w:eastAsia="黑体" w:cs="微软雅黑"/>
          <w:b/>
          <w:bCs/>
          <w:kern w:val="44"/>
          <w:sz w:val="28"/>
          <w:szCs w:val="28"/>
          <w:highlight w:val="none"/>
        </w:rPr>
        <w:t>一、</w:t>
      </w:r>
      <w:r>
        <w:rPr>
          <w:rFonts w:hint="eastAsia" w:ascii="黑体" w:hAnsi="黑体" w:eastAsia="黑体" w:cs="微软雅黑"/>
          <w:b/>
          <w:bCs/>
          <w:kern w:val="44"/>
          <w:sz w:val="28"/>
          <w:szCs w:val="28"/>
          <w:highlight w:val="none"/>
          <w:lang w:val="en-US" w:eastAsia="zh-CN"/>
        </w:rPr>
        <w:t>项目</w:t>
      </w:r>
      <w:r>
        <w:rPr>
          <w:rFonts w:hint="eastAsia" w:ascii="黑体" w:hAnsi="黑体" w:eastAsia="黑体" w:cs="微软雅黑"/>
          <w:b/>
          <w:bCs/>
          <w:kern w:val="44"/>
          <w:sz w:val="28"/>
          <w:szCs w:val="28"/>
          <w:highlight w:val="none"/>
        </w:rPr>
        <w:t>概况</w:t>
      </w:r>
    </w:p>
    <w:p w14:paraId="08BDAA3E">
      <w:pPr>
        <w:pStyle w:val="182"/>
        <w:rPr>
          <w:rFonts w:ascii="宋体" w:hAnsi="宋体"/>
          <w:sz w:val="24"/>
          <w:szCs w:val="24"/>
          <w:highlight w:val="none"/>
        </w:rPr>
      </w:pPr>
      <w:r>
        <w:rPr>
          <w:rFonts w:hint="eastAsia" w:ascii="宋体" w:hAnsi="宋体"/>
          <w:b/>
          <w:bCs/>
          <w:sz w:val="24"/>
          <w:szCs w:val="24"/>
          <w:highlight w:val="none"/>
          <w:lang w:val="en-US" w:eastAsia="zh-CN"/>
        </w:rPr>
        <w:t>1、</w:t>
      </w:r>
      <w:r>
        <w:rPr>
          <w:rFonts w:hint="eastAsia" w:ascii="宋体" w:hAnsi="宋体"/>
          <w:b/>
          <w:bCs/>
          <w:sz w:val="24"/>
          <w:szCs w:val="24"/>
          <w:highlight w:val="none"/>
        </w:rPr>
        <w:t>项目名称：</w:t>
      </w:r>
      <w:r>
        <w:rPr>
          <w:rFonts w:hint="eastAsia" w:ascii="宋体" w:hAnsi="宋体"/>
          <w:sz w:val="24"/>
          <w:szCs w:val="24"/>
          <w:highlight w:val="none"/>
        </w:rPr>
        <w:t>东莞市海心沙资源综合利用中心环保热电厂项目</w:t>
      </w:r>
    </w:p>
    <w:p w14:paraId="4A27CB69">
      <w:pPr>
        <w:pStyle w:val="182"/>
        <w:rPr>
          <w:rFonts w:hint="eastAsia" w:ascii="宋体" w:hAnsi="宋体" w:eastAsia="宋体"/>
          <w:b/>
          <w:bCs/>
          <w:sz w:val="24"/>
          <w:szCs w:val="24"/>
          <w:highlight w:val="none"/>
          <w:lang w:eastAsia="zh-CN"/>
        </w:rPr>
      </w:pPr>
      <w:r>
        <w:rPr>
          <w:rFonts w:hint="eastAsia" w:ascii="宋体" w:hAnsi="宋体"/>
          <w:b/>
          <w:bCs/>
          <w:sz w:val="24"/>
          <w:szCs w:val="24"/>
          <w:highlight w:val="none"/>
          <w:lang w:val="en-US" w:eastAsia="zh-CN"/>
        </w:rPr>
        <w:t>2、</w:t>
      </w:r>
      <w:r>
        <w:rPr>
          <w:rFonts w:hint="eastAsia" w:ascii="宋体" w:hAnsi="宋体"/>
          <w:b/>
          <w:bCs/>
          <w:sz w:val="24"/>
          <w:szCs w:val="24"/>
          <w:highlight w:val="none"/>
        </w:rPr>
        <w:t>项目规模：</w:t>
      </w:r>
      <w:r>
        <w:rPr>
          <w:rFonts w:hint="eastAsia" w:ascii="宋体" w:hAnsi="宋体"/>
          <w:sz w:val="24"/>
          <w:szCs w:val="24"/>
          <w:highlight w:val="none"/>
        </w:rPr>
        <w:t>3×750t/d垃圾焚烧生产线，全厂年运行小时数不低于8000小时，</w:t>
      </w:r>
      <w:r>
        <w:rPr>
          <w:rFonts w:hint="eastAsia" w:ascii="宋体" w:hAnsi="宋体"/>
          <w:b/>
          <w:bCs/>
          <w:sz w:val="24"/>
          <w:szCs w:val="24"/>
          <w:highlight w:val="none"/>
        </w:rPr>
        <w:t>全年连续不间断生产（含节假日、检修期）</w:t>
      </w:r>
      <w:r>
        <w:rPr>
          <w:rFonts w:hint="eastAsia" w:ascii="宋体" w:hAnsi="宋体"/>
          <w:b/>
          <w:bCs/>
          <w:sz w:val="24"/>
          <w:szCs w:val="24"/>
          <w:highlight w:val="none"/>
          <w:lang w:eastAsia="zh-CN"/>
        </w:rPr>
        <w:t>。</w:t>
      </w:r>
    </w:p>
    <w:p w14:paraId="1A6FC2B3">
      <w:pPr>
        <w:pStyle w:val="182"/>
        <w:rPr>
          <w:rFonts w:hint="eastAsia" w:ascii="宋体" w:hAnsi="宋体"/>
          <w:sz w:val="24"/>
          <w:szCs w:val="24"/>
          <w:highlight w:val="none"/>
          <w:lang w:val="en-US" w:eastAsia="zh-CN"/>
        </w:rPr>
      </w:pPr>
      <w:r>
        <w:rPr>
          <w:rFonts w:hint="eastAsia" w:ascii="宋体" w:hAnsi="宋体"/>
          <w:b/>
          <w:bCs/>
          <w:sz w:val="24"/>
          <w:szCs w:val="24"/>
          <w:highlight w:val="none"/>
          <w:lang w:val="en-US" w:eastAsia="zh-CN"/>
        </w:rPr>
        <w:t>3、烟气处理工艺流程：</w:t>
      </w:r>
      <w:r>
        <w:rPr>
          <w:rFonts w:hint="eastAsia" w:ascii="宋体" w:hAnsi="宋体"/>
          <w:sz w:val="24"/>
          <w:szCs w:val="24"/>
          <w:highlight w:val="none"/>
          <w:lang w:val="en-US" w:eastAsia="zh-CN"/>
        </w:rPr>
        <w:t>炉内SNCR脱硝+炉内干法脱酸+石灰浆旋转喷雾脱酸+活性炭吸附+布袋除尘+喷淋脱酸+烟气再热SCR脱硝。</w:t>
      </w:r>
    </w:p>
    <w:p w14:paraId="525FB951">
      <w:pPr>
        <w:pStyle w:val="182"/>
        <w:rPr>
          <w:rFonts w:hint="eastAsia" w:ascii="宋体" w:hAnsi="宋体"/>
          <w:sz w:val="24"/>
          <w:szCs w:val="24"/>
          <w:highlight w:val="none"/>
          <w:lang w:val="en-US" w:eastAsia="zh-CN"/>
        </w:rPr>
      </w:pPr>
      <w:r>
        <w:rPr>
          <w:rFonts w:hint="eastAsia" w:ascii="宋体" w:hAnsi="宋体"/>
          <w:b/>
          <w:bCs/>
          <w:sz w:val="24"/>
          <w:szCs w:val="24"/>
          <w:highlight w:val="none"/>
          <w:lang w:val="en-US" w:eastAsia="zh-CN"/>
        </w:rPr>
        <w:t>4、采购内容</w:t>
      </w:r>
      <w:r>
        <w:rPr>
          <w:rFonts w:hint="eastAsia" w:ascii="宋体" w:hAnsi="宋体"/>
          <w:sz w:val="24"/>
          <w:szCs w:val="24"/>
          <w:highlight w:val="none"/>
          <w:lang w:val="en-US" w:eastAsia="zh-CN"/>
        </w:rPr>
        <w:t>：1年期纳米液钙（超细氢氧化钙液钙）供货（需提供整套储存输送设施并完成安装调试），产品用于厂区烟气半干法脱酸系统。</w:t>
      </w:r>
    </w:p>
    <w:p w14:paraId="2779F49B">
      <w:pPr>
        <w:pStyle w:val="182"/>
        <w:rPr>
          <w:rFonts w:hint="eastAsia" w:ascii="宋体" w:hAnsi="宋体"/>
          <w:sz w:val="24"/>
          <w:szCs w:val="24"/>
          <w:highlight w:val="none"/>
          <w:lang w:val="en-US" w:eastAsia="zh-CN"/>
        </w:rPr>
      </w:pPr>
      <w:r>
        <w:rPr>
          <w:rFonts w:hint="eastAsia" w:ascii="宋体" w:hAnsi="宋体"/>
          <w:b/>
          <w:bCs/>
          <w:sz w:val="24"/>
          <w:szCs w:val="24"/>
          <w:highlight w:val="none"/>
          <w:lang w:val="en-US" w:eastAsia="zh-CN"/>
        </w:rPr>
        <w:t>5、用量说明</w:t>
      </w:r>
      <w:r>
        <w:rPr>
          <w:rFonts w:hint="eastAsia" w:ascii="宋体" w:hAnsi="宋体"/>
          <w:sz w:val="24"/>
          <w:szCs w:val="24"/>
          <w:highlight w:val="none"/>
          <w:lang w:val="en-US" w:eastAsia="zh-CN"/>
        </w:rPr>
        <w:t>：采购供货周期为合同签订之日起1年。计划用量为6000吨（以实际使用需求为准），计划用量仅为参考，采购人可根据生产工况、垃圾品类、环保负荷动态调整供货量、供货频次及交货时间，响应人须无条件配合，不得提出调价、索赔、补偿等要求。</w:t>
      </w:r>
    </w:p>
    <w:p w14:paraId="4918D5F9">
      <w:pPr>
        <w:pStyle w:val="182"/>
        <w:rPr>
          <w:rFonts w:hint="eastAsia" w:ascii="宋体" w:hAnsi="宋体"/>
          <w:b/>
          <w:bCs/>
          <w:sz w:val="24"/>
          <w:szCs w:val="24"/>
          <w:highlight w:val="none"/>
          <w:lang w:val="en-US" w:eastAsia="zh-CN"/>
        </w:rPr>
      </w:pPr>
      <w:r>
        <w:rPr>
          <w:rFonts w:hint="eastAsia" w:ascii="宋体" w:hAnsi="宋体"/>
          <w:sz w:val="24"/>
          <w:szCs w:val="24"/>
          <w:highlight w:val="none"/>
          <w:lang w:val="en-US" w:eastAsia="zh-CN"/>
        </w:rPr>
        <w:t>6、</w:t>
      </w:r>
      <w:r>
        <w:rPr>
          <w:rFonts w:hint="eastAsia" w:ascii="宋体" w:hAnsi="宋体"/>
          <w:b/>
          <w:bCs/>
          <w:sz w:val="24"/>
          <w:szCs w:val="24"/>
          <w:highlight w:val="none"/>
          <w:lang w:val="en-US" w:eastAsia="zh-CN"/>
        </w:rPr>
        <w:t xml:space="preserve">送货现场边界条件 </w:t>
      </w:r>
    </w:p>
    <w:p w14:paraId="43F05CAA">
      <w:pPr>
        <w:pStyle w:val="182"/>
        <w:spacing w:line="240" w:lineRule="auto"/>
        <w:rPr>
          <w:rFonts w:ascii="宋体" w:hAnsi="宋体" w:eastAsia="宋体" w:cs="宋体"/>
          <w:sz w:val="24"/>
          <w:szCs w:val="24"/>
          <w:highlight w:val="none"/>
        </w:rPr>
      </w:pPr>
      <w:r>
        <w:rPr>
          <w:rFonts w:ascii="宋体" w:hAnsi="宋体" w:eastAsia="宋体" w:cs="宋体"/>
          <w:sz w:val="24"/>
          <w:szCs w:val="24"/>
          <w:highlight w:val="none"/>
        </w:rPr>
        <w:t xml:space="preserve">（1）送货地址：东莞市麻涌镇大步村海心沙岛海心沙资源综合利用中心环保热电厂指定卸料点； </w:t>
      </w:r>
    </w:p>
    <w:p w14:paraId="5136FA88">
      <w:pPr>
        <w:pStyle w:val="182"/>
        <w:spacing w:line="240" w:lineRule="auto"/>
        <w:rPr>
          <w:rFonts w:ascii="宋体" w:hAnsi="宋体" w:eastAsia="宋体" w:cs="宋体"/>
          <w:sz w:val="24"/>
          <w:szCs w:val="24"/>
          <w:highlight w:val="none"/>
        </w:rPr>
      </w:pPr>
      <w:r>
        <w:rPr>
          <w:rFonts w:ascii="宋体" w:hAnsi="宋体" w:eastAsia="宋体" w:cs="宋体"/>
          <w:sz w:val="24"/>
          <w:szCs w:val="24"/>
          <w:highlight w:val="none"/>
        </w:rPr>
        <w:t>（2）车辆限制：槽罐车含货物总重≤</w:t>
      </w:r>
      <w:r>
        <w:rPr>
          <w:rFonts w:hint="eastAsia" w:ascii="宋体" w:hAnsi="宋体" w:cs="宋体"/>
          <w:sz w:val="24"/>
          <w:szCs w:val="24"/>
          <w:highlight w:val="none"/>
          <w:lang w:val="en-US" w:eastAsia="zh-CN"/>
        </w:rPr>
        <w:t>49</w:t>
      </w:r>
      <w:r>
        <w:rPr>
          <w:rFonts w:ascii="宋体" w:hAnsi="宋体" w:eastAsia="宋体" w:cs="宋体"/>
          <w:sz w:val="24"/>
          <w:szCs w:val="24"/>
          <w:highlight w:val="none"/>
        </w:rPr>
        <w:t xml:space="preserve">吨，车辆总长≤18米，整车总质量符合现行交通运输法规要求； </w:t>
      </w:r>
    </w:p>
    <w:p w14:paraId="56D9D8ED">
      <w:pPr>
        <w:pStyle w:val="182"/>
        <w:spacing w:line="240" w:lineRule="auto"/>
        <w:rPr>
          <w:rFonts w:hint="default" w:ascii="宋体" w:hAnsi="宋体"/>
          <w:sz w:val="24"/>
          <w:szCs w:val="24"/>
          <w:highlight w:val="none"/>
          <w:lang w:val="en-US" w:eastAsia="zh-CN"/>
        </w:rPr>
      </w:pPr>
      <w:r>
        <w:rPr>
          <w:rFonts w:ascii="宋体" w:hAnsi="宋体" w:eastAsia="宋体" w:cs="宋体"/>
          <w:sz w:val="24"/>
          <w:szCs w:val="24"/>
          <w:highlight w:val="none"/>
        </w:rPr>
        <w:t>（3）运输车辆必须为全密闭槽罐车，杜绝沿途及厂区渗漏、遗撒污染。</w:t>
      </w:r>
    </w:p>
    <w:p w14:paraId="57B0B583">
      <w:pPr>
        <w:spacing w:before="240" w:line="360" w:lineRule="auto"/>
        <w:rPr>
          <w:rFonts w:ascii="黑体" w:hAnsi="黑体" w:eastAsia="黑体" w:cs="微软雅黑"/>
          <w:b/>
          <w:bCs/>
          <w:kern w:val="44"/>
          <w:sz w:val="28"/>
          <w:szCs w:val="28"/>
          <w:highlight w:val="none"/>
        </w:rPr>
      </w:pPr>
      <w:r>
        <w:rPr>
          <w:rFonts w:hint="eastAsia" w:ascii="黑体" w:hAnsi="黑体" w:eastAsia="黑体" w:cs="微软雅黑"/>
          <w:b/>
          <w:bCs/>
          <w:kern w:val="44"/>
          <w:sz w:val="28"/>
          <w:szCs w:val="28"/>
          <w:highlight w:val="none"/>
          <w:lang w:val="en-US" w:eastAsia="zh-CN"/>
        </w:rPr>
        <w:t>二</w:t>
      </w:r>
      <w:r>
        <w:rPr>
          <w:rFonts w:ascii="黑体" w:hAnsi="黑体" w:eastAsia="黑体" w:cs="微软雅黑"/>
          <w:b/>
          <w:bCs/>
          <w:kern w:val="44"/>
          <w:sz w:val="28"/>
          <w:szCs w:val="28"/>
          <w:highlight w:val="none"/>
        </w:rPr>
        <w:t>、</w:t>
      </w:r>
      <w:r>
        <w:rPr>
          <w:rFonts w:hint="eastAsia" w:ascii="黑体" w:hAnsi="黑体" w:eastAsia="黑体" w:cs="微软雅黑"/>
          <w:b/>
          <w:bCs/>
          <w:kern w:val="44"/>
          <w:sz w:val="28"/>
          <w:szCs w:val="28"/>
          <w:highlight w:val="none"/>
          <w:lang w:val="en-US" w:eastAsia="zh-CN"/>
        </w:rPr>
        <w:t>质量</w:t>
      </w:r>
      <w:r>
        <w:rPr>
          <w:rFonts w:hint="eastAsia" w:ascii="黑体" w:hAnsi="黑体" w:eastAsia="黑体" w:cs="微软雅黑"/>
          <w:b/>
          <w:bCs/>
          <w:kern w:val="44"/>
          <w:sz w:val="28"/>
          <w:szCs w:val="28"/>
          <w:highlight w:val="none"/>
        </w:rPr>
        <w:t>要求</w:t>
      </w:r>
    </w:p>
    <w:p w14:paraId="418C3C93">
      <w:pPr>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Times New Roman"/>
          <w:b/>
          <w:bCs/>
          <w:kern w:val="2"/>
          <w:sz w:val="24"/>
          <w:szCs w:val="24"/>
          <w:highlight w:val="none"/>
          <w:lang w:val="en-US" w:eastAsia="zh-CN" w:bidi="ar-SA"/>
        </w:rPr>
      </w:pPr>
      <w:r>
        <w:rPr>
          <w:rFonts w:hint="eastAsia" w:ascii="宋体" w:hAnsi="宋体" w:eastAsia="宋体" w:cs="Times New Roman"/>
          <w:b/>
          <w:bCs/>
          <w:kern w:val="2"/>
          <w:sz w:val="24"/>
          <w:szCs w:val="24"/>
          <w:highlight w:val="none"/>
          <w:lang w:val="en-US" w:eastAsia="zh-CN" w:bidi="ar-SA"/>
        </w:rPr>
        <w:t>2.1.基本参数要求为：</w:t>
      </w:r>
    </w:p>
    <w:tbl>
      <w:tblPr>
        <w:tblStyle w:val="185"/>
        <w:tblpPr w:leftFromText="180" w:rightFromText="180" w:vertAnchor="text" w:horzAnchor="page" w:tblpX="2025" w:tblpY="47"/>
        <w:tblOverlap w:val="never"/>
        <w:tblW w:w="85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4"/>
        <w:gridCol w:w="1050"/>
        <w:gridCol w:w="1025"/>
        <w:gridCol w:w="3850"/>
      </w:tblGrid>
      <w:tr w14:paraId="38457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8" w:hRule="atLeast"/>
        </w:trPr>
        <w:tc>
          <w:tcPr>
            <w:tcW w:w="2584" w:type="dxa"/>
            <w:vAlign w:val="top"/>
          </w:tcPr>
          <w:p w14:paraId="3ECFBD04">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pacing w:val="4"/>
                <w:sz w:val="21"/>
                <w:szCs w:val="21"/>
                <w:highlight w:val="none"/>
              </w:rPr>
            </w:pPr>
            <w:r>
              <w:rPr>
                <w:rFonts w:hint="default" w:ascii="宋体" w:hAnsi="宋体" w:eastAsia="宋体" w:cs="宋体"/>
                <w:color w:val="auto"/>
                <w:spacing w:val="4"/>
                <w:sz w:val="21"/>
                <w:szCs w:val="21"/>
                <w:highlight w:val="none"/>
              </w:rPr>
              <w:t>指标名称</w:t>
            </w:r>
          </w:p>
        </w:tc>
        <w:tc>
          <w:tcPr>
            <w:tcW w:w="1050" w:type="dxa"/>
            <w:vAlign w:val="top"/>
          </w:tcPr>
          <w:p w14:paraId="549E1DBA">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pacing w:val="4"/>
                <w:sz w:val="21"/>
                <w:szCs w:val="21"/>
                <w:highlight w:val="none"/>
              </w:rPr>
            </w:pPr>
            <w:r>
              <w:rPr>
                <w:rFonts w:hint="default" w:ascii="宋体" w:hAnsi="宋体" w:eastAsia="宋体" w:cs="宋体"/>
                <w:color w:val="auto"/>
                <w:spacing w:val="4"/>
                <w:sz w:val="21"/>
                <w:szCs w:val="21"/>
                <w:highlight w:val="none"/>
              </w:rPr>
              <w:t>单位</w:t>
            </w:r>
          </w:p>
        </w:tc>
        <w:tc>
          <w:tcPr>
            <w:tcW w:w="1025" w:type="dxa"/>
            <w:vAlign w:val="top"/>
          </w:tcPr>
          <w:p w14:paraId="38867ED1">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pacing w:val="4"/>
                <w:sz w:val="21"/>
                <w:szCs w:val="21"/>
                <w:highlight w:val="none"/>
              </w:rPr>
            </w:pPr>
            <w:r>
              <w:rPr>
                <w:rFonts w:hint="default" w:ascii="宋体" w:hAnsi="宋体" w:eastAsia="宋体" w:cs="宋体"/>
                <w:color w:val="auto"/>
                <w:spacing w:val="4"/>
                <w:sz w:val="21"/>
                <w:szCs w:val="21"/>
                <w:highlight w:val="none"/>
              </w:rPr>
              <w:t>指标值</w:t>
            </w:r>
          </w:p>
        </w:tc>
        <w:tc>
          <w:tcPr>
            <w:tcW w:w="3850" w:type="dxa"/>
            <w:vAlign w:val="top"/>
          </w:tcPr>
          <w:p w14:paraId="48E6679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检测方法</w:t>
            </w:r>
          </w:p>
        </w:tc>
      </w:tr>
      <w:tr w14:paraId="21186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2" w:hRule="atLeast"/>
        </w:trPr>
        <w:tc>
          <w:tcPr>
            <w:tcW w:w="2584" w:type="dxa"/>
            <w:vAlign w:val="center"/>
          </w:tcPr>
          <w:p w14:paraId="324B9A47">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z w:val="20"/>
                <w:szCs w:val="20"/>
                <w:highlight w:val="none"/>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rPr>
              <w:t>氢氧化钙[Ca(OH)</w:t>
            </w:r>
            <w:r>
              <w:rPr>
                <w:rFonts w:hint="eastAsia" w:ascii="宋体" w:hAnsi="宋体" w:eastAsia="宋体" w:cs="宋体"/>
                <w:color w:val="auto"/>
                <w:spacing w:val="4"/>
                <w:sz w:val="21"/>
                <w:szCs w:val="21"/>
                <w:highlight w:val="none"/>
                <w:vertAlign w:val="subscript"/>
                <w:lang w:val="en-US" w:eastAsia="zh-CN"/>
              </w:rPr>
              <w:t>2</w:t>
            </w:r>
            <w:r>
              <w:rPr>
                <w:rFonts w:hint="eastAsia" w:ascii="宋体" w:hAnsi="宋体" w:eastAsia="宋体" w:cs="宋体"/>
                <w:color w:val="auto"/>
                <w:spacing w:val="4"/>
                <w:sz w:val="21"/>
                <w:szCs w:val="21"/>
                <w:highlight w:val="none"/>
              </w:rPr>
              <w:t>],w/%</w:t>
            </w:r>
          </w:p>
        </w:tc>
        <w:tc>
          <w:tcPr>
            <w:tcW w:w="1050" w:type="dxa"/>
            <w:vAlign w:val="top"/>
          </w:tcPr>
          <w:p w14:paraId="7BE54BEA">
            <w:pPr>
              <w:keepNext w:val="0"/>
              <w:keepLines w:val="0"/>
              <w:suppressLineNumbers w:val="0"/>
              <w:spacing w:before="224" w:beforeAutospacing="0" w:after="0" w:afterAutospacing="0"/>
              <w:ind w:left="0" w:right="0"/>
              <w:jc w:val="center"/>
              <w:rPr>
                <w:rFonts w:hint="default" w:ascii="宋体" w:hAnsi="宋体" w:eastAsia="宋体" w:cs="宋体"/>
                <w:color w:val="auto"/>
                <w:sz w:val="20"/>
                <w:szCs w:val="20"/>
                <w:highlight w:val="none"/>
              </w:rPr>
            </w:pPr>
            <w:r>
              <w:rPr>
                <w:rFonts w:hint="default" w:ascii="宋体" w:hAnsi="宋体" w:eastAsia="宋体" w:cs="宋体"/>
                <w:color w:val="auto"/>
                <w:sz w:val="20"/>
                <w:szCs w:val="20"/>
                <w:highlight w:val="none"/>
              </w:rPr>
              <w:t>%</w:t>
            </w:r>
          </w:p>
        </w:tc>
        <w:tc>
          <w:tcPr>
            <w:tcW w:w="1025" w:type="dxa"/>
            <w:vAlign w:val="top"/>
          </w:tcPr>
          <w:p w14:paraId="4BDAA1CB">
            <w:pPr>
              <w:keepNext w:val="0"/>
              <w:keepLines w:val="0"/>
              <w:suppressLineNumbers w:val="0"/>
              <w:spacing w:before="142"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25</w:t>
            </w:r>
          </w:p>
        </w:tc>
        <w:tc>
          <w:tcPr>
            <w:tcW w:w="3850" w:type="dxa"/>
            <w:vAlign w:val="top"/>
          </w:tcPr>
          <w:p w14:paraId="4E637256">
            <w:pPr>
              <w:keepNext w:val="0"/>
              <w:keepLines w:val="0"/>
              <w:suppressLineNumbers w:val="0"/>
              <w:spacing w:before="142"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rPr>
              <w:t>GB/T27815-2011《工业乳状氢氧化钙》</w:t>
            </w:r>
          </w:p>
        </w:tc>
      </w:tr>
      <w:tr w14:paraId="76EC4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4" w:hRule="atLeast"/>
        </w:trPr>
        <w:tc>
          <w:tcPr>
            <w:tcW w:w="2584" w:type="dxa"/>
            <w:vAlign w:val="center"/>
          </w:tcPr>
          <w:p w14:paraId="315A1D3C">
            <w:pPr>
              <w:keepNext w:val="0"/>
              <w:keepLines w:val="0"/>
              <w:suppressLineNumbers w:val="0"/>
              <w:spacing w:before="204" w:beforeAutospacing="0" w:after="0" w:afterAutospacing="0" w:line="220" w:lineRule="auto"/>
              <w:ind w:left="0" w:right="0" w:firstLine="0" w:firstLineChars="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sz w:val="21"/>
                <w:szCs w:val="21"/>
                <w:highlight w:val="none"/>
              </w:rPr>
              <w:t>铁(Fe)(以干基计),w/%</w:t>
            </w:r>
          </w:p>
        </w:tc>
        <w:tc>
          <w:tcPr>
            <w:tcW w:w="1050" w:type="dxa"/>
            <w:vAlign w:val="top"/>
          </w:tcPr>
          <w:p w14:paraId="729A2D5A">
            <w:pPr>
              <w:keepNext w:val="0"/>
              <w:keepLines w:val="0"/>
              <w:suppressLineNumbers w:val="0"/>
              <w:spacing w:before="225" w:beforeAutospacing="0" w:after="0" w:afterAutospacing="0"/>
              <w:ind w:left="0" w:right="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sz w:val="21"/>
                <w:szCs w:val="21"/>
                <w:highlight w:val="none"/>
              </w:rPr>
              <w:t>%</w:t>
            </w:r>
          </w:p>
        </w:tc>
        <w:tc>
          <w:tcPr>
            <w:tcW w:w="1025" w:type="dxa"/>
            <w:vAlign w:val="top"/>
          </w:tcPr>
          <w:p w14:paraId="5C8C928C">
            <w:pPr>
              <w:keepNext w:val="0"/>
              <w:keepLines w:val="0"/>
              <w:suppressLineNumbers w:val="0"/>
              <w:spacing w:before="142"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default" w:ascii="宋体" w:hAnsi="宋体" w:eastAsia="宋体" w:cs="宋体"/>
                <w:color w:val="auto"/>
                <w:spacing w:val="-4"/>
                <w:sz w:val="21"/>
                <w:szCs w:val="21"/>
                <w:highlight w:val="none"/>
              </w:rPr>
              <w:t>≤0.</w:t>
            </w:r>
            <w:r>
              <w:rPr>
                <w:rFonts w:hint="eastAsia" w:ascii="宋体" w:hAnsi="宋体" w:eastAsia="宋体" w:cs="宋体"/>
                <w:color w:val="auto"/>
                <w:spacing w:val="-4"/>
                <w:sz w:val="21"/>
                <w:szCs w:val="21"/>
                <w:highlight w:val="none"/>
                <w:lang w:val="en-US" w:eastAsia="zh-CN"/>
              </w:rPr>
              <w:t>1</w:t>
            </w:r>
          </w:p>
        </w:tc>
        <w:tc>
          <w:tcPr>
            <w:tcW w:w="3850" w:type="dxa"/>
            <w:vAlign w:val="top"/>
          </w:tcPr>
          <w:p w14:paraId="4945FCB2">
            <w:pPr>
              <w:keepNext w:val="0"/>
              <w:keepLines w:val="0"/>
              <w:suppressLineNumbers w:val="0"/>
              <w:spacing w:before="142" w:beforeAutospacing="0" w:after="0" w:afterAutospacing="0" w:line="236" w:lineRule="auto"/>
              <w:ind w:left="0" w:right="0"/>
              <w:jc w:val="center"/>
              <w:rPr>
                <w:rFonts w:hint="default"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GB/T27815-2011《工业乳状氢氧化钙》</w:t>
            </w:r>
          </w:p>
        </w:tc>
      </w:tr>
      <w:tr w14:paraId="7692E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4" w:hRule="atLeast"/>
        </w:trPr>
        <w:tc>
          <w:tcPr>
            <w:tcW w:w="2584" w:type="dxa"/>
            <w:vAlign w:val="center"/>
          </w:tcPr>
          <w:p w14:paraId="59505783">
            <w:pPr>
              <w:keepNext w:val="0"/>
              <w:keepLines w:val="0"/>
              <w:suppressLineNumbers w:val="0"/>
              <w:spacing w:before="124" w:beforeAutospacing="0" w:after="0" w:afterAutospacing="0" w:line="221" w:lineRule="auto"/>
              <w:ind w:left="0" w:right="0" w:firstLine="0" w:firstLineChars="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sz w:val="21"/>
                <w:szCs w:val="21"/>
                <w:highlight w:val="none"/>
              </w:rPr>
              <w:t>氧化镁(以干基计),</w:t>
            </w:r>
            <w:r>
              <w:rPr>
                <w:rFonts w:hint="eastAsia" w:ascii="宋体" w:hAnsi="宋体" w:eastAsia="宋体" w:cs="宋体"/>
                <w:color w:val="auto"/>
                <w:spacing w:val="4"/>
                <w:sz w:val="21"/>
                <w:szCs w:val="21"/>
                <w:highlight w:val="none"/>
                <w:lang w:val="en-US" w:eastAsia="zh-CN"/>
              </w:rPr>
              <w:t>w</w:t>
            </w:r>
            <w:r>
              <w:rPr>
                <w:rFonts w:hint="eastAsia" w:ascii="宋体" w:hAnsi="宋体" w:eastAsia="宋体" w:cs="宋体"/>
                <w:color w:val="auto"/>
                <w:spacing w:val="4"/>
                <w:sz w:val="21"/>
                <w:szCs w:val="21"/>
                <w:highlight w:val="none"/>
              </w:rPr>
              <w:t>/%</w:t>
            </w:r>
          </w:p>
        </w:tc>
        <w:tc>
          <w:tcPr>
            <w:tcW w:w="1050" w:type="dxa"/>
            <w:vAlign w:val="top"/>
          </w:tcPr>
          <w:p w14:paraId="1E7430CF">
            <w:pPr>
              <w:keepNext w:val="0"/>
              <w:keepLines w:val="0"/>
              <w:suppressLineNumbers w:val="0"/>
              <w:spacing w:before="144" w:beforeAutospacing="0" w:after="0" w:afterAutospacing="0"/>
              <w:ind w:left="0" w:right="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sz w:val="21"/>
                <w:szCs w:val="21"/>
                <w:highlight w:val="none"/>
              </w:rPr>
              <w:t>%</w:t>
            </w:r>
          </w:p>
        </w:tc>
        <w:tc>
          <w:tcPr>
            <w:tcW w:w="1025" w:type="dxa"/>
            <w:vAlign w:val="top"/>
          </w:tcPr>
          <w:p w14:paraId="43B510F6">
            <w:pPr>
              <w:keepNext w:val="0"/>
              <w:keepLines w:val="0"/>
              <w:suppressLineNumbers w:val="0"/>
              <w:spacing w:before="142" w:beforeAutospacing="0" w:after="0" w:afterAutospacing="0" w:line="236" w:lineRule="auto"/>
              <w:ind w:left="0" w:right="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1.0</w:t>
            </w:r>
          </w:p>
        </w:tc>
        <w:tc>
          <w:tcPr>
            <w:tcW w:w="3850" w:type="dxa"/>
            <w:vAlign w:val="top"/>
          </w:tcPr>
          <w:p w14:paraId="60C85F51">
            <w:pPr>
              <w:keepNext w:val="0"/>
              <w:keepLines w:val="0"/>
              <w:suppressLineNumbers w:val="0"/>
              <w:spacing w:before="142" w:beforeAutospacing="0" w:after="0" w:afterAutospacing="0" w:line="236" w:lineRule="auto"/>
              <w:ind w:left="0" w:right="0"/>
              <w:jc w:val="center"/>
              <w:rPr>
                <w:rFonts w:hint="default"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GB/T27815-2011《工业乳状氢氧化钙》</w:t>
            </w:r>
          </w:p>
        </w:tc>
      </w:tr>
      <w:tr w14:paraId="2C0E0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6" w:hRule="atLeast"/>
        </w:trPr>
        <w:tc>
          <w:tcPr>
            <w:tcW w:w="2584" w:type="dxa"/>
            <w:vAlign w:val="center"/>
          </w:tcPr>
          <w:p w14:paraId="415D2D74">
            <w:pPr>
              <w:keepNext w:val="0"/>
              <w:keepLines w:val="0"/>
              <w:suppressLineNumbers w:val="0"/>
              <w:spacing w:before="134" w:beforeAutospacing="0" w:after="0" w:afterAutospacing="0" w:line="219" w:lineRule="auto"/>
              <w:ind w:left="0" w:right="0" w:firstLine="0" w:firstLineChars="0"/>
              <w:jc w:val="center"/>
              <w:rPr>
                <w:rFonts w:hint="eastAsia" w:ascii="宋体" w:hAnsi="宋体" w:eastAsia="宋体" w:cs="宋体"/>
                <w:strike/>
                <w:dstrike w:val="0"/>
                <w:color w:val="auto"/>
                <w:spacing w:val="-2"/>
                <w:sz w:val="21"/>
                <w:szCs w:val="21"/>
                <w:highlight w:val="none"/>
                <w:lang w:val="en-US" w:eastAsia="zh-CN"/>
              </w:rPr>
            </w:pPr>
            <w:r>
              <w:rPr>
                <w:rFonts w:hint="default" w:ascii="宋体" w:hAnsi="宋体" w:eastAsia="宋体" w:cs="宋体"/>
                <w:strike w:val="0"/>
                <w:dstrike w:val="0"/>
                <w:color w:val="auto"/>
                <w:spacing w:val="4"/>
                <w:sz w:val="21"/>
                <w:szCs w:val="21"/>
                <w:highlight w:val="none"/>
              </w:rPr>
              <w:t>★</w:t>
            </w:r>
            <w:r>
              <w:rPr>
                <w:rFonts w:hint="eastAsia" w:ascii="宋体" w:hAnsi="宋体" w:eastAsia="宋体" w:cs="宋体"/>
                <w:strike w:val="0"/>
                <w:dstrike w:val="0"/>
                <w:color w:val="auto"/>
                <w:spacing w:val="-2"/>
                <w:sz w:val="21"/>
                <w:szCs w:val="21"/>
                <w:highlight w:val="none"/>
                <w:lang w:val="en-US" w:eastAsia="zh-CN"/>
              </w:rPr>
              <w:t>PH</w:t>
            </w:r>
          </w:p>
        </w:tc>
        <w:tc>
          <w:tcPr>
            <w:tcW w:w="1050" w:type="dxa"/>
            <w:vAlign w:val="top"/>
          </w:tcPr>
          <w:p w14:paraId="66005F7D">
            <w:pPr>
              <w:keepNext w:val="0"/>
              <w:keepLines w:val="0"/>
              <w:suppressLineNumbers w:val="0"/>
              <w:spacing w:before="157" w:beforeAutospacing="0" w:after="0" w:afterAutospacing="0"/>
              <w:ind w:left="0" w:right="0"/>
              <w:jc w:val="center"/>
              <w:rPr>
                <w:rFonts w:hint="eastAsia" w:ascii="宋体" w:hAnsi="宋体" w:eastAsia="宋体" w:cs="宋体"/>
                <w:strike/>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w:t>
            </w:r>
          </w:p>
        </w:tc>
        <w:tc>
          <w:tcPr>
            <w:tcW w:w="1025" w:type="dxa"/>
            <w:vAlign w:val="top"/>
          </w:tcPr>
          <w:p w14:paraId="22682EB9">
            <w:pPr>
              <w:keepNext w:val="0"/>
              <w:keepLines w:val="0"/>
              <w:suppressLineNumbers w:val="0"/>
              <w:spacing w:before="155" w:beforeAutospacing="0" w:after="0" w:afterAutospacing="0" w:line="236" w:lineRule="auto"/>
              <w:ind w:left="0" w:right="0"/>
              <w:jc w:val="center"/>
              <w:rPr>
                <w:rFonts w:hint="default" w:ascii="宋体" w:hAnsi="宋体" w:eastAsia="宋体" w:cs="宋体"/>
                <w:strike w:val="0"/>
                <w:dstrike w:val="0"/>
                <w:color w:val="auto"/>
                <w:spacing w:val="-4"/>
                <w:sz w:val="21"/>
                <w:szCs w:val="21"/>
                <w:highlight w:val="none"/>
                <w:lang w:val="en-US"/>
              </w:rPr>
            </w:pPr>
            <w:r>
              <w:rPr>
                <w:rFonts w:hint="eastAsia" w:ascii="宋体" w:hAnsi="宋体" w:eastAsia="宋体" w:cs="宋体"/>
                <w:strike w:val="0"/>
                <w:dstrike w:val="0"/>
                <w:color w:val="auto"/>
                <w:spacing w:val="-4"/>
                <w:sz w:val="21"/>
                <w:szCs w:val="21"/>
                <w:highlight w:val="none"/>
                <w:lang w:val="en-US" w:eastAsia="zh-CN"/>
              </w:rPr>
              <w:t>≥12</w:t>
            </w:r>
          </w:p>
        </w:tc>
        <w:tc>
          <w:tcPr>
            <w:tcW w:w="3850" w:type="dxa"/>
            <w:vAlign w:val="top"/>
          </w:tcPr>
          <w:p w14:paraId="69548168">
            <w:pPr>
              <w:keepNext w:val="0"/>
              <w:keepLines w:val="0"/>
              <w:suppressLineNumbers w:val="0"/>
              <w:spacing w:before="155" w:beforeAutospacing="0" w:after="0" w:afterAutospacing="0" w:line="236" w:lineRule="auto"/>
              <w:ind w:left="0" w:right="0"/>
              <w:jc w:val="center"/>
              <w:rPr>
                <w:rFonts w:hint="default" w:ascii="宋体" w:hAnsi="宋体" w:eastAsia="宋体" w:cs="宋体"/>
                <w:strike w:val="0"/>
                <w:dstrike w:val="0"/>
                <w:color w:val="auto"/>
                <w:spacing w:val="-4"/>
                <w:sz w:val="21"/>
                <w:szCs w:val="21"/>
                <w:highlight w:val="none"/>
              </w:rPr>
            </w:pPr>
            <w:r>
              <w:rPr>
                <w:rFonts w:hint="eastAsia" w:ascii="宋体" w:hAnsi="宋体" w:eastAsia="宋体" w:cs="宋体"/>
                <w:strike w:val="0"/>
                <w:dstrike w:val="0"/>
                <w:color w:val="auto"/>
                <w:spacing w:val="-4"/>
                <w:sz w:val="21"/>
                <w:szCs w:val="21"/>
                <w:highlight w:val="none"/>
              </w:rPr>
              <w:t>GB/T 9724-2007</w:t>
            </w:r>
          </w:p>
        </w:tc>
      </w:tr>
      <w:tr w14:paraId="1E14B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4" w:hRule="atLeast"/>
        </w:trPr>
        <w:tc>
          <w:tcPr>
            <w:tcW w:w="2584" w:type="dxa"/>
            <w:vAlign w:val="center"/>
          </w:tcPr>
          <w:p w14:paraId="259512D5">
            <w:pPr>
              <w:keepNext w:val="0"/>
              <w:keepLines w:val="0"/>
              <w:suppressLineNumbers w:val="0"/>
              <w:spacing w:before="134" w:beforeAutospacing="0" w:after="0" w:afterAutospacing="0" w:line="219" w:lineRule="auto"/>
              <w:ind w:left="0" w:right="0" w:firstLine="0" w:firstLineChars="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strike w:val="0"/>
                <w:dstrike w:val="0"/>
                <w:color w:val="auto"/>
                <w:spacing w:val="4"/>
                <w:sz w:val="21"/>
                <w:szCs w:val="21"/>
                <w:highlight w:val="none"/>
              </w:rPr>
              <w:t>★</w:t>
            </w:r>
            <w:r>
              <w:rPr>
                <w:rFonts w:hint="eastAsia" w:ascii="宋体" w:hAnsi="宋体" w:eastAsia="宋体" w:cs="宋体"/>
                <w:color w:val="auto"/>
                <w:spacing w:val="-2"/>
                <w:sz w:val="21"/>
                <w:szCs w:val="21"/>
                <w:highlight w:val="none"/>
              </w:rPr>
              <w:t>盐酸不溶物(以干基计),w/%</w:t>
            </w:r>
          </w:p>
        </w:tc>
        <w:tc>
          <w:tcPr>
            <w:tcW w:w="1050" w:type="dxa"/>
            <w:vAlign w:val="top"/>
          </w:tcPr>
          <w:p w14:paraId="0303904E">
            <w:pPr>
              <w:keepNext w:val="0"/>
              <w:keepLines w:val="0"/>
              <w:suppressLineNumbers w:val="0"/>
              <w:spacing w:before="157" w:beforeAutospacing="0" w:after="0" w:afterAutospacing="0"/>
              <w:ind w:left="0" w:right="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sz w:val="21"/>
                <w:szCs w:val="21"/>
                <w:highlight w:val="none"/>
              </w:rPr>
              <w:t>%</w:t>
            </w:r>
          </w:p>
        </w:tc>
        <w:tc>
          <w:tcPr>
            <w:tcW w:w="1025" w:type="dxa"/>
            <w:vAlign w:val="top"/>
          </w:tcPr>
          <w:p w14:paraId="587E78A4">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0.</w:t>
            </w:r>
            <w:r>
              <w:rPr>
                <w:rFonts w:hint="eastAsia" w:hAnsi="宋体" w:cs="宋体"/>
                <w:color w:val="auto"/>
                <w:spacing w:val="-4"/>
                <w:sz w:val="21"/>
                <w:szCs w:val="21"/>
                <w:highlight w:val="none"/>
                <w:lang w:val="en-US" w:eastAsia="zh-CN"/>
              </w:rPr>
              <w:t>2</w:t>
            </w:r>
          </w:p>
        </w:tc>
        <w:tc>
          <w:tcPr>
            <w:tcW w:w="3850" w:type="dxa"/>
            <w:vAlign w:val="top"/>
          </w:tcPr>
          <w:p w14:paraId="48CC27D3">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GB/T27815-2011《工业乳状氢氧化钙》</w:t>
            </w:r>
          </w:p>
        </w:tc>
      </w:tr>
      <w:tr w14:paraId="49E83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4" w:hRule="atLeast"/>
        </w:trPr>
        <w:tc>
          <w:tcPr>
            <w:tcW w:w="2584" w:type="dxa"/>
            <w:vMerge w:val="restart"/>
            <w:vAlign w:val="center"/>
          </w:tcPr>
          <w:p w14:paraId="3E73BD7C">
            <w:pPr>
              <w:keepNext w:val="0"/>
              <w:keepLines w:val="0"/>
              <w:suppressLineNumbers w:val="0"/>
              <w:spacing w:before="134" w:beforeAutospacing="0" w:after="0" w:afterAutospacing="0" w:line="219" w:lineRule="auto"/>
              <w:ind w:left="0" w:right="0" w:firstLine="0" w:firstLineChars="0"/>
              <w:jc w:val="center"/>
              <w:rPr>
                <w:rFonts w:hint="eastAsia" w:ascii="宋体" w:hAnsi="宋体" w:eastAsia="宋体" w:cs="宋体"/>
                <w:color w:val="auto"/>
                <w:spacing w:val="-2"/>
                <w:sz w:val="21"/>
                <w:szCs w:val="21"/>
                <w:highlight w:val="none"/>
                <w:lang w:val="en-US" w:eastAsia="zh-CN"/>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2"/>
                <w:sz w:val="21"/>
                <w:szCs w:val="21"/>
                <w:highlight w:val="none"/>
                <w:lang w:val="en-US" w:eastAsia="zh-CN"/>
              </w:rPr>
              <w:t>粒度</w:t>
            </w:r>
          </w:p>
        </w:tc>
        <w:tc>
          <w:tcPr>
            <w:tcW w:w="1050" w:type="dxa"/>
            <w:vAlign w:val="top"/>
          </w:tcPr>
          <w:p w14:paraId="44EA19EB">
            <w:pPr>
              <w:keepNext w:val="0"/>
              <w:keepLines w:val="0"/>
              <w:suppressLineNumbers w:val="0"/>
              <w:spacing w:before="157" w:beforeAutospacing="0" w:after="0" w:afterAutospacing="0"/>
              <w:ind w:left="0" w:leftChars="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平均粒径</w:t>
            </w:r>
          </w:p>
        </w:tc>
        <w:tc>
          <w:tcPr>
            <w:tcW w:w="1025" w:type="dxa"/>
            <w:vAlign w:val="top"/>
          </w:tcPr>
          <w:p w14:paraId="161995FE">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7.5μm</w:t>
            </w:r>
          </w:p>
        </w:tc>
        <w:tc>
          <w:tcPr>
            <w:tcW w:w="3850" w:type="dxa"/>
            <w:vMerge w:val="restart"/>
            <w:vAlign w:val="center"/>
          </w:tcPr>
          <w:p w14:paraId="38A0867B">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rPr>
              <w:t>GB/T 19077-20</w:t>
            </w:r>
            <w:r>
              <w:rPr>
                <w:rFonts w:hint="eastAsia" w:ascii="宋体" w:hAnsi="宋体" w:eastAsia="宋体" w:cs="宋体"/>
                <w:color w:val="auto"/>
                <w:spacing w:val="-4"/>
                <w:sz w:val="21"/>
                <w:szCs w:val="21"/>
                <w:highlight w:val="none"/>
                <w:lang w:val="en-US" w:eastAsia="zh-CN"/>
              </w:rPr>
              <w:t>24</w:t>
            </w:r>
          </w:p>
        </w:tc>
      </w:tr>
      <w:tr w14:paraId="3F522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4" w:hRule="atLeast"/>
        </w:trPr>
        <w:tc>
          <w:tcPr>
            <w:tcW w:w="2584" w:type="dxa"/>
            <w:vMerge w:val="continue"/>
            <w:vAlign w:val="center"/>
          </w:tcPr>
          <w:p w14:paraId="15E9935F">
            <w:pPr>
              <w:keepNext w:val="0"/>
              <w:keepLines w:val="0"/>
              <w:suppressLineNumbers w:val="0"/>
              <w:spacing w:before="134" w:beforeAutospacing="0" w:after="0" w:afterAutospacing="0" w:line="219" w:lineRule="auto"/>
              <w:ind w:left="0" w:right="0" w:firstLine="0" w:firstLineChars="0"/>
              <w:jc w:val="center"/>
              <w:rPr>
                <w:rFonts w:hint="eastAsia" w:ascii="宋体" w:hAnsi="宋体" w:eastAsia="宋体" w:cs="宋体"/>
                <w:color w:val="auto"/>
                <w:spacing w:val="-2"/>
                <w:sz w:val="21"/>
                <w:szCs w:val="21"/>
                <w:highlight w:val="none"/>
                <w:lang w:val="en-US" w:eastAsia="zh-CN"/>
              </w:rPr>
            </w:pPr>
          </w:p>
        </w:tc>
        <w:tc>
          <w:tcPr>
            <w:tcW w:w="1050" w:type="dxa"/>
            <w:vAlign w:val="top"/>
          </w:tcPr>
          <w:p w14:paraId="28253C35">
            <w:pPr>
              <w:keepNext w:val="0"/>
              <w:keepLines w:val="0"/>
              <w:suppressLineNumbers w:val="0"/>
              <w:spacing w:before="157"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D50</w:t>
            </w:r>
          </w:p>
        </w:tc>
        <w:tc>
          <w:tcPr>
            <w:tcW w:w="1025" w:type="dxa"/>
            <w:vAlign w:val="top"/>
          </w:tcPr>
          <w:p w14:paraId="51BA5B89">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5.5μm</w:t>
            </w:r>
          </w:p>
        </w:tc>
        <w:tc>
          <w:tcPr>
            <w:tcW w:w="3850" w:type="dxa"/>
            <w:vMerge w:val="continue"/>
            <w:vAlign w:val="top"/>
          </w:tcPr>
          <w:p w14:paraId="1190ECE1">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rPr>
            </w:pPr>
          </w:p>
        </w:tc>
      </w:tr>
      <w:tr w14:paraId="446BF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13" w:hRule="atLeast"/>
        </w:trPr>
        <w:tc>
          <w:tcPr>
            <w:tcW w:w="2584" w:type="dxa"/>
            <w:vMerge w:val="continue"/>
            <w:vAlign w:val="center"/>
          </w:tcPr>
          <w:p w14:paraId="49ACD81D">
            <w:pPr>
              <w:keepNext w:val="0"/>
              <w:keepLines w:val="0"/>
              <w:suppressLineNumbers w:val="0"/>
              <w:spacing w:before="134" w:beforeAutospacing="0" w:after="0" w:afterAutospacing="0" w:line="219" w:lineRule="auto"/>
              <w:ind w:left="0" w:right="0" w:firstLine="0" w:firstLineChars="0"/>
              <w:jc w:val="center"/>
              <w:rPr>
                <w:rFonts w:hint="eastAsia" w:ascii="宋体" w:hAnsi="宋体" w:eastAsia="宋体" w:cs="宋体"/>
                <w:color w:val="auto"/>
                <w:spacing w:val="-2"/>
                <w:sz w:val="21"/>
                <w:szCs w:val="21"/>
                <w:highlight w:val="none"/>
                <w:lang w:val="en-US" w:eastAsia="zh-CN"/>
              </w:rPr>
            </w:pPr>
          </w:p>
        </w:tc>
        <w:tc>
          <w:tcPr>
            <w:tcW w:w="1050" w:type="dxa"/>
            <w:vAlign w:val="top"/>
          </w:tcPr>
          <w:p w14:paraId="56205E66">
            <w:pPr>
              <w:keepNext w:val="0"/>
              <w:keepLines w:val="0"/>
              <w:suppressLineNumbers w:val="0"/>
              <w:spacing w:before="157"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D97</w:t>
            </w:r>
          </w:p>
        </w:tc>
        <w:tc>
          <w:tcPr>
            <w:tcW w:w="1025" w:type="dxa"/>
            <w:vAlign w:val="top"/>
          </w:tcPr>
          <w:p w14:paraId="301446FC">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lang w:val="en-US" w:eastAsia="zh-CN"/>
              </w:rPr>
            </w:pP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28μm</w:t>
            </w:r>
          </w:p>
        </w:tc>
        <w:tc>
          <w:tcPr>
            <w:tcW w:w="3850" w:type="dxa"/>
            <w:vMerge w:val="continue"/>
            <w:vAlign w:val="top"/>
          </w:tcPr>
          <w:p w14:paraId="69D0D13B">
            <w:pPr>
              <w:keepNext w:val="0"/>
              <w:keepLines w:val="0"/>
              <w:suppressLineNumbers w:val="0"/>
              <w:spacing w:before="155" w:beforeAutospacing="0" w:after="0" w:afterAutospacing="0" w:line="236" w:lineRule="auto"/>
              <w:ind w:left="0" w:right="0"/>
              <w:jc w:val="center"/>
              <w:rPr>
                <w:rFonts w:hint="default" w:ascii="宋体" w:hAnsi="宋体" w:eastAsia="宋体" w:cs="宋体"/>
                <w:color w:val="auto"/>
                <w:spacing w:val="-4"/>
                <w:sz w:val="21"/>
                <w:szCs w:val="21"/>
                <w:highlight w:val="none"/>
              </w:rPr>
            </w:pPr>
          </w:p>
        </w:tc>
      </w:tr>
    </w:tbl>
    <w:p w14:paraId="22656DA5">
      <w:pPr>
        <w:keepNext w:val="0"/>
        <w:keepLines w:val="0"/>
        <w:widowControl/>
        <w:suppressLineNumbers w:val="0"/>
        <w:spacing w:before="0" w:beforeAutospacing="0" w:after="0" w:afterAutospacing="0" w:line="360" w:lineRule="auto"/>
        <w:ind w:right="0"/>
        <w:jc w:val="left"/>
        <w:rPr>
          <w:rFonts w:hint="eastAsia" w:ascii="宋体" w:hAnsi="宋体" w:eastAsia="宋体" w:cs="Arial"/>
          <w:b/>
          <w:bCs/>
          <w:kern w:val="0"/>
          <w:sz w:val="20"/>
          <w:szCs w:val="21"/>
          <w:highlight w:val="none"/>
          <w:lang w:val="en-US" w:eastAsia="zh-CN" w:bidi="ar"/>
        </w:rPr>
      </w:pPr>
    </w:p>
    <w:p w14:paraId="2098540D">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Arial"/>
          <w:b/>
          <w:bCs/>
          <w:kern w:val="0"/>
          <w:sz w:val="20"/>
          <w:szCs w:val="21"/>
          <w:highlight w:val="none"/>
          <w:lang w:val="en-US" w:eastAsia="zh-CN" w:bidi="ar"/>
        </w:rPr>
      </w:pPr>
    </w:p>
    <w:p w14:paraId="6EEF2AB7">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Arial"/>
          <w:b/>
          <w:bCs/>
          <w:kern w:val="0"/>
          <w:sz w:val="20"/>
          <w:szCs w:val="21"/>
          <w:highlight w:val="none"/>
          <w:lang w:val="en-US" w:eastAsia="zh-CN" w:bidi="ar"/>
        </w:rPr>
      </w:pPr>
    </w:p>
    <w:p w14:paraId="3926FF23">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Arial"/>
          <w:b/>
          <w:bCs/>
          <w:kern w:val="0"/>
          <w:sz w:val="20"/>
          <w:szCs w:val="21"/>
          <w:highlight w:val="none"/>
          <w:lang w:val="en-US" w:eastAsia="zh-CN" w:bidi="ar"/>
        </w:rPr>
      </w:pPr>
    </w:p>
    <w:p w14:paraId="7B773F17">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3B6773F9">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3A9D2153">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3EFA8978">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4ABE7332">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79033263">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028DA023">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40B215C9">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p>
    <w:p w14:paraId="4A71C592">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Times New Roman"/>
          <w:b/>
          <w:bCs/>
          <w:kern w:val="2"/>
          <w:sz w:val="24"/>
          <w:szCs w:val="24"/>
          <w:highlight w:val="none"/>
          <w:lang w:val="en-US" w:eastAsia="zh-CN" w:bidi="ar-SA"/>
        </w:rPr>
      </w:pPr>
      <w:r>
        <w:rPr>
          <w:rFonts w:hint="eastAsia" w:ascii="宋体" w:hAnsi="宋体" w:eastAsia="宋体" w:cs="Times New Roman"/>
          <w:b/>
          <w:bCs/>
          <w:kern w:val="2"/>
          <w:sz w:val="24"/>
          <w:szCs w:val="24"/>
          <w:highlight w:val="none"/>
          <w:lang w:val="en-US" w:eastAsia="zh-CN" w:bidi="ar-SA"/>
        </w:rPr>
        <w:t>注：（1）带星号（★）的为关键参数，如果乙方</w:t>
      </w:r>
      <w:r>
        <w:rPr>
          <w:rFonts w:hint="eastAsia" w:hAnsi="宋体" w:cs="Times New Roman"/>
          <w:b/>
          <w:bCs/>
          <w:kern w:val="2"/>
          <w:sz w:val="24"/>
          <w:szCs w:val="24"/>
          <w:highlight w:val="none"/>
          <w:lang w:val="en-US" w:eastAsia="zh-CN" w:bidi="ar-SA"/>
        </w:rPr>
        <w:t>响应</w:t>
      </w:r>
      <w:r>
        <w:rPr>
          <w:rFonts w:hint="eastAsia" w:ascii="宋体" w:hAnsi="宋体" w:eastAsia="宋体" w:cs="Times New Roman"/>
          <w:b/>
          <w:bCs/>
          <w:kern w:val="2"/>
          <w:sz w:val="24"/>
          <w:szCs w:val="24"/>
          <w:highlight w:val="none"/>
          <w:lang w:val="en-US" w:eastAsia="zh-CN" w:bidi="ar-SA"/>
        </w:rPr>
        <w:t>文件的技术参数承诺值高于上表要求的，以</w:t>
      </w:r>
      <w:r>
        <w:rPr>
          <w:rFonts w:hint="eastAsia" w:hAnsi="宋体" w:cs="Times New Roman"/>
          <w:b/>
          <w:bCs/>
          <w:kern w:val="2"/>
          <w:sz w:val="24"/>
          <w:szCs w:val="24"/>
          <w:highlight w:val="none"/>
          <w:lang w:val="en-US" w:eastAsia="zh-CN" w:bidi="ar-SA"/>
        </w:rPr>
        <w:t>响应</w:t>
      </w:r>
      <w:r>
        <w:rPr>
          <w:rFonts w:hint="eastAsia" w:ascii="宋体" w:hAnsi="宋体" w:eastAsia="宋体" w:cs="Times New Roman"/>
          <w:b/>
          <w:bCs/>
          <w:kern w:val="2"/>
          <w:sz w:val="24"/>
          <w:szCs w:val="24"/>
          <w:highlight w:val="none"/>
          <w:lang w:val="en-US" w:eastAsia="zh-CN" w:bidi="ar-SA"/>
        </w:rPr>
        <w:t>文件承诺值为准。</w:t>
      </w:r>
    </w:p>
    <w:p w14:paraId="266084B8">
      <w:pPr>
        <w:pStyle w:val="30"/>
        <w:widowControl/>
        <w:tabs>
          <w:tab w:val="left" w:pos="426"/>
          <w:tab w:val="right" w:leader="dot" w:pos="9540"/>
        </w:tabs>
        <w:spacing w:line="360" w:lineRule="auto"/>
        <w:rPr>
          <w:rFonts w:hint="eastAsia" w:ascii="宋体" w:hAnsi="宋体" w:eastAsia="宋体" w:cs="Times New Roman"/>
          <w:kern w:val="2"/>
          <w:sz w:val="24"/>
          <w:szCs w:val="24"/>
          <w:highlight w:val="none"/>
          <w:lang w:val="en-US" w:eastAsia="zh-CN" w:bidi="ar-SA"/>
        </w:rPr>
      </w:pPr>
      <w:r>
        <w:rPr>
          <w:rFonts w:cs="Arial"/>
          <w:kern w:val="0"/>
          <w:sz w:val="20"/>
          <w:szCs w:val="21"/>
          <w:highlight w:val="none"/>
          <w:lang w:val="en-US"/>
        </w:rPr>
        <w:tab/>
      </w:r>
      <w:r>
        <w:rPr>
          <w:rFonts w:hint="eastAsia" w:ascii="宋体" w:hAnsi="宋体" w:eastAsia="宋体" w:cs="Times New Roman"/>
          <w:kern w:val="2"/>
          <w:sz w:val="24"/>
          <w:szCs w:val="24"/>
          <w:highlight w:val="none"/>
          <w:lang w:val="en-US" w:eastAsia="zh-CN" w:bidi="ar-SA"/>
        </w:rPr>
        <w:t>（2）标准GB/T27815-2011《工业乳状氢氧化钙》、GB/T 9724-2007、GB/T 19077-2024，标准如有更新的，以更新后标准中指标要求更高的版本为准；如更新后的标准降低某项指标要求，仍以本合同签订时生效的标准版本为准。</w:t>
      </w:r>
      <w:bookmarkStart w:id="1" w:name="_GoBack"/>
      <w:bookmarkEnd w:id="1"/>
    </w:p>
    <w:p w14:paraId="2D4845BD">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（3）</w:t>
      </w:r>
      <w:r>
        <w:rPr>
          <w:rFonts w:hint="eastAsia" w:ascii="宋体" w:hAnsi="宋体" w:eastAsia="宋体" w:cs="Times New Roman"/>
          <w:kern w:val="2"/>
          <w:sz w:val="24"/>
          <w:szCs w:val="24"/>
          <w:highlight w:val="none"/>
          <w:lang w:val="en-US" w:eastAsia="zh-CN" w:bidi="ar-SA"/>
        </w:rPr>
        <w:t>与双方确认的样品的质量相同（如有）。</w:t>
      </w:r>
      <w:r>
        <w:rPr>
          <w:rFonts w:hint="eastAsia" w:hAnsi="宋体" w:cs="Times New Roman"/>
          <w:kern w:val="2"/>
          <w:sz w:val="24"/>
          <w:szCs w:val="24"/>
          <w:highlight w:val="none"/>
          <w:lang w:val="en-US" w:eastAsia="zh-CN" w:bidi="ar-SA"/>
        </w:rPr>
        <w:t>签约前，成交人须提供不少于5kg的纳米液钙样品，由采购人委托第三方检测机构进行全指标检测（检测费用由成交人承担），检测合格并经双方共同封样确认后，作为供货质量比对基准。正式供货产品的质量不得低于该封样样品的质量。如双方未封样，则以本项目合同约定的质量标准为唯一依据。</w:t>
      </w:r>
    </w:p>
    <w:p w14:paraId="2A91249C">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eastAsia="宋体" w:cs="宋体"/>
          <w:sz w:val="24"/>
          <w:szCs w:val="24"/>
          <w:highlight w:val="none"/>
        </w:rPr>
      </w:pPr>
      <w:r>
        <w:rPr>
          <w:rFonts w:hint="eastAsia" w:hAnsi="宋体" w:cs="Times New Roman"/>
          <w:kern w:val="2"/>
          <w:sz w:val="24"/>
          <w:szCs w:val="24"/>
          <w:highlight w:val="none"/>
          <w:lang w:val="en-US" w:eastAsia="zh-CN" w:bidi="ar-SA"/>
        </w:rPr>
        <w:t>（4）</w:t>
      </w:r>
      <w:r>
        <w:rPr>
          <w:rFonts w:ascii="宋体" w:hAnsi="宋体" w:eastAsia="宋体" w:cs="宋体"/>
          <w:sz w:val="24"/>
          <w:szCs w:val="24"/>
          <w:highlight w:val="none"/>
        </w:rPr>
        <w:t>供货产品外观均匀细腻，静置24h无大量沉淀、无明显分层，沉淀量不得影响泵送、制浆系统正常运行；</w:t>
      </w:r>
    </w:p>
    <w:p w14:paraId="6CA37E0C">
      <w:pPr>
        <w:pStyle w:val="182"/>
        <w:rPr>
          <w:rFonts w:hint="default" w:ascii="宋体" w:hAnsi="宋体"/>
          <w:b/>
          <w:bCs/>
          <w:sz w:val="24"/>
          <w:szCs w:val="24"/>
          <w:highlight w:val="none"/>
          <w:lang w:val="en-US" w:eastAsia="zh-CN"/>
        </w:rPr>
      </w:pPr>
      <w:r>
        <w:rPr>
          <w:rFonts w:hint="eastAsia" w:ascii="宋体" w:hAnsi="宋体"/>
          <w:b/>
          <w:bCs/>
          <w:sz w:val="24"/>
          <w:szCs w:val="24"/>
          <w:highlight w:val="none"/>
          <w:lang w:val="en-US" w:eastAsia="zh-CN"/>
        </w:rPr>
        <w:t>2.2</w:t>
      </w:r>
      <w:r>
        <w:rPr>
          <w:rFonts w:hint="default" w:ascii="宋体" w:hAnsi="宋体"/>
          <w:b/>
          <w:bCs/>
          <w:sz w:val="24"/>
          <w:szCs w:val="24"/>
          <w:highlight w:val="none"/>
          <w:lang w:val="en-US" w:eastAsia="zh-CN"/>
        </w:rPr>
        <w:t>现场使用性能硬性要求</w:t>
      </w:r>
    </w:p>
    <w:p w14:paraId="1C109ECB">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1、</w:t>
      </w:r>
      <w:r>
        <w:rPr>
          <w:rFonts w:hint="default" w:ascii="宋体" w:hAnsi="宋体" w:eastAsia="宋体" w:cs="Times New Roman"/>
          <w:kern w:val="2"/>
          <w:sz w:val="24"/>
          <w:szCs w:val="24"/>
          <w:highlight w:val="none"/>
          <w:lang w:val="en-US" w:eastAsia="zh-CN" w:bidi="ar-SA"/>
        </w:rPr>
        <w:t>纳米液钙专供半干法制浆系统，</w:t>
      </w:r>
      <w:r>
        <w:rPr>
          <w:rFonts w:hint="eastAsia" w:hAnsi="宋体" w:cs="Times New Roman"/>
          <w:kern w:val="2"/>
          <w:sz w:val="24"/>
          <w:szCs w:val="24"/>
          <w:highlight w:val="none"/>
          <w:lang w:val="en-US" w:eastAsia="zh-CN" w:bidi="ar-SA"/>
        </w:rPr>
        <w:t>响应人</w:t>
      </w:r>
      <w:r>
        <w:rPr>
          <w:rFonts w:hint="default" w:ascii="宋体" w:hAnsi="宋体" w:eastAsia="宋体" w:cs="Times New Roman"/>
          <w:kern w:val="2"/>
          <w:sz w:val="24"/>
          <w:szCs w:val="24"/>
          <w:highlight w:val="none"/>
          <w:lang w:val="en-US" w:eastAsia="zh-CN" w:bidi="ar-SA"/>
        </w:rPr>
        <w:t>需保证物料泵送、制浆顺畅，不得造成输送泵、管道、滤网频繁堵塞；</w:t>
      </w:r>
    </w:p>
    <w:p w14:paraId="2B205EB4">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2、</w:t>
      </w:r>
      <w:r>
        <w:rPr>
          <w:rFonts w:hint="default" w:ascii="宋体" w:hAnsi="宋体" w:eastAsia="宋体" w:cs="Times New Roman"/>
          <w:kern w:val="2"/>
          <w:sz w:val="24"/>
          <w:szCs w:val="24"/>
          <w:highlight w:val="none"/>
          <w:lang w:val="en-US" w:eastAsia="zh-CN" w:bidi="ar-SA"/>
        </w:rPr>
        <w:t>堵塞判定标准：滤网/泵体清理间隔＜15天即为频繁堵塞，每发生1次，</w:t>
      </w:r>
      <w:r>
        <w:rPr>
          <w:rFonts w:hint="eastAsia" w:hAnsi="宋体" w:cs="Times New Roman"/>
          <w:kern w:val="2"/>
          <w:sz w:val="24"/>
          <w:szCs w:val="24"/>
          <w:highlight w:val="none"/>
          <w:lang w:val="en-US" w:eastAsia="zh-CN" w:bidi="ar-SA"/>
        </w:rPr>
        <w:t>响应人</w:t>
      </w:r>
      <w:r>
        <w:rPr>
          <w:rFonts w:hint="default" w:ascii="宋体" w:hAnsi="宋体" w:eastAsia="宋体" w:cs="Times New Roman"/>
          <w:kern w:val="2"/>
          <w:sz w:val="24"/>
          <w:szCs w:val="24"/>
          <w:highlight w:val="none"/>
          <w:lang w:val="en-US" w:eastAsia="zh-CN" w:bidi="ar-SA"/>
        </w:rPr>
        <w:t>支付2000元单次违约金；单次清理间隔＜7天的，视为严重堵塞，单次违约金提高至5000元。累计发生5次及以上频繁堵塞或3次及以上严重堵塞，采购人有权单方解除合同；</w:t>
      </w:r>
    </w:p>
    <w:p w14:paraId="73AED780">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3、</w:t>
      </w:r>
      <w:r>
        <w:rPr>
          <w:rFonts w:hint="default" w:ascii="宋体" w:hAnsi="宋体" w:eastAsia="宋体" w:cs="Times New Roman"/>
          <w:kern w:val="2"/>
          <w:sz w:val="24"/>
          <w:szCs w:val="24"/>
          <w:highlight w:val="none"/>
          <w:lang w:val="en-US" w:eastAsia="zh-CN" w:bidi="ar-SA"/>
        </w:rPr>
        <w:t>因物料粒度超标、盐酸不溶物过高、分层沉淀严重造成储罐、管路结垢磨损、系统停机检修，全部维修费用、停产损失、环保超标罚款由</w:t>
      </w:r>
      <w:r>
        <w:rPr>
          <w:rFonts w:hint="eastAsia" w:hAnsi="宋体" w:cs="Times New Roman"/>
          <w:kern w:val="2"/>
          <w:sz w:val="24"/>
          <w:szCs w:val="24"/>
          <w:highlight w:val="none"/>
          <w:lang w:val="en-US" w:eastAsia="zh-CN" w:bidi="ar-SA"/>
        </w:rPr>
        <w:t>响应人</w:t>
      </w:r>
      <w:r>
        <w:rPr>
          <w:rFonts w:hint="default" w:ascii="宋体" w:hAnsi="宋体" w:eastAsia="宋体" w:cs="Times New Roman"/>
          <w:kern w:val="2"/>
          <w:sz w:val="24"/>
          <w:szCs w:val="24"/>
          <w:highlight w:val="none"/>
          <w:lang w:val="en-US" w:eastAsia="zh-CN" w:bidi="ar-SA"/>
        </w:rPr>
        <w:t>全额承担。</w:t>
      </w:r>
    </w:p>
    <w:p w14:paraId="3D465A9E">
      <w:pPr>
        <w:numPr>
          <w:ilvl w:val="0"/>
          <w:numId w:val="0"/>
        </w:numPr>
        <w:spacing w:before="240" w:line="360" w:lineRule="auto"/>
        <w:ind w:leftChars="0"/>
        <w:rPr>
          <w:rFonts w:hint="eastAsia" w:ascii="黑体" w:hAnsi="黑体" w:eastAsia="黑体" w:cs="微软雅黑"/>
          <w:b/>
          <w:bCs/>
          <w:kern w:val="44"/>
          <w:sz w:val="28"/>
          <w:szCs w:val="28"/>
          <w:highlight w:val="none"/>
          <w:lang w:val="en-US" w:eastAsia="zh-CN"/>
        </w:rPr>
      </w:pPr>
      <w:r>
        <w:rPr>
          <w:rFonts w:hint="eastAsia" w:ascii="黑体" w:hAnsi="黑体" w:eastAsia="黑体" w:cs="微软雅黑"/>
          <w:b/>
          <w:bCs/>
          <w:kern w:val="44"/>
          <w:sz w:val="28"/>
          <w:szCs w:val="28"/>
          <w:highlight w:val="none"/>
          <w:lang w:val="en-US" w:eastAsia="zh-CN"/>
        </w:rPr>
        <w:t>三、服务</w:t>
      </w:r>
      <w:r>
        <w:rPr>
          <w:rFonts w:hint="eastAsia" w:ascii="黑体" w:hAnsi="黑体" w:eastAsia="黑体" w:cs="微软雅黑"/>
          <w:b/>
          <w:bCs/>
          <w:kern w:val="44"/>
          <w:sz w:val="28"/>
          <w:szCs w:val="28"/>
          <w:highlight w:val="none"/>
        </w:rPr>
        <w:t>界限及范围</w:t>
      </w:r>
      <w:r>
        <w:rPr>
          <w:rFonts w:hint="eastAsia" w:ascii="黑体" w:hAnsi="黑体" w:eastAsia="黑体" w:cs="微软雅黑"/>
          <w:b/>
          <w:bCs/>
          <w:kern w:val="44"/>
          <w:sz w:val="28"/>
          <w:szCs w:val="28"/>
          <w:highlight w:val="none"/>
          <w:lang w:eastAsia="zh-CN"/>
        </w:rPr>
        <w:t>（</w:t>
      </w:r>
      <w:r>
        <w:rPr>
          <w:rFonts w:hint="eastAsia" w:ascii="黑体" w:hAnsi="黑体" w:eastAsia="黑体" w:cs="微软雅黑"/>
          <w:b/>
          <w:bCs/>
          <w:kern w:val="44"/>
          <w:sz w:val="28"/>
          <w:szCs w:val="28"/>
          <w:highlight w:val="none"/>
          <w:lang w:val="en-US" w:eastAsia="zh-CN"/>
        </w:rPr>
        <w:t>包括但不仅限于）</w:t>
      </w:r>
    </w:p>
    <w:p w14:paraId="0700D452">
      <w:pPr>
        <w:numPr>
          <w:ilvl w:val="0"/>
          <w:numId w:val="0"/>
        </w:numPr>
        <w:spacing w:before="240" w:line="360" w:lineRule="auto"/>
        <w:ind w:leftChars="0"/>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1、</w:t>
      </w:r>
      <w:r>
        <w:rPr>
          <w:rFonts w:hint="eastAsia" w:ascii="宋体" w:hAnsi="宋体" w:eastAsia="宋体" w:cs="Times New Roman"/>
          <w:b/>
          <w:bCs/>
          <w:kern w:val="2"/>
          <w:sz w:val="24"/>
          <w:szCs w:val="24"/>
          <w:highlight w:val="none"/>
          <w:lang w:val="en-US" w:eastAsia="zh-CN" w:bidi="ar-SA"/>
        </w:rPr>
        <w:t>物料供应：</w:t>
      </w:r>
      <w:r>
        <w:rPr>
          <w:rFonts w:hint="eastAsia" w:ascii="宋体" w:hAnsi="宋体" w:eastAsia="宋体" w:cs="Times New Roman"/>
          <w:kern w:val="2"/>
          <w:sz w:val="24"/>
          <w:szCs w:val="24"/>
          <w:highlight w:val="none"/>
          <w:lang w:val="en-US" w:eastAsia="zh-CN" w:bidi="ar-SA"/>
        </w:rPr>
        <w:t>按采购人订单要求，全年按需供应合格纳米液钙，保障厂区正常用量及临时增量、应急用量，保障烟气脱酸系统稳定运行。</w:t>
      </w:r>
    </w:p>
    <w:p w14:paraId="5FF64139">
      <w:pPr>
        <w:numPr>
          <w:ilvl w:val="0"/>
          <w:numId w:val="0"/>
        </w:numPr>
        <w:spacing w:before="240" w:line="360" w:lineRule="auto"/>
        <w:ind w:leftChars="0"/>
        <w:rPr>
          <w:rFonts w:hint="eastAsia" w:ascii="宋体" w:hAnsi="宋体" w:eastAsia="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2、</w:t>
      </w:r>
      <w:r>
        <w:rPr>
          <w:rFonts w:hint="eastAsia" w:ascii="宋体" w:hAnsi="宋体" w:eastAsia="宋体" w:cs="Times New Roman"/>
          <w:b/>
          <w:bCs/>
          <w:kern w:val="2"/>
          <w:sz w:val="24"/>
          <w:szCs w:val="24"/>
          <w:highlight w:val="none"/>
          <w:lang w:val="en-US" w:eastAsia="zh-CN" w:bidi="ar-SA"/>
        </w:rPr>
        <w:t>★配套储存输送设施：</w:t>
      </w:r>
    </w:p>
    <w:p w14:paraId="6978B49A">
      <w:pPr>
        <w:numPr>
          <w:ilvl w:val="0"/>
          <w:numId w:val="0"/>
        </w:numPr>
        <w:spacing w:before="240" w:line="240" w:lineRule="auto"/>
        <w:ind w:left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（1）</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无偿提供、运输、安装、调试整套储存输送系统，全套设备包含储存罐、卸料泵、输送泵、计量流量计、管道、阀门、管件、完整电控、线缆、就地操作箱；</w:t>
      </w:r>
      <w:r>
        <w:rPr>
          <w:rFonts w:hint="eastAsia" w:hAnsi="宋体" w:cs="Times New Roman"/>
          <w:kern w:val="2"/>
          <w:sz w:val="24"/>
          <w:szCs w:val="24"/>
          <w:highlight w:val="none"/>
          <w:lang w:val="en-US" w:eastAsia="zh-CN" w:bidi="ar-SA"/>
        </w:rPr>
        <w:t>动力电源及</w:t>
      </w:r>
      <w:r>
        <w:rPr>
          <w:rFonts w:hint="eastAsia" w:ascii="宋体" w:hAnsi="宋体" w:eastAsia="宋体" w:cs="Times New Roman"/>
          <w:kern w:val="2"/>
          <w:sz w:val="24"/>
          <w:szCs w:val="24"/>
          <w:highlight w:val="none"/>
          <w:lang w:val="en-US" w:eastAsia="zh-CN" w:bidi="ar-SA"/>
        </w:rPr>
        <w:t>控制线路由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铺设并接入厂区烟气配电间</w:t>
      </w:r>
      <w:r>
        <w:rPr>
          <w:rFonts w:hint="eastAsia" w:hAnsi="宋体" w:cs="Times New Roman"/>
          <w:kern w:val="2"/>
          <w:sz w:val="24"/>
          <w:szCs w:val="24"/>
          <w:highlight w:val="none"/>
          <w:lang w:val="en-US" w:eastAsia="zh-CN" w:bidi="ar-SA"/>
        </w:rPr>
        <w:t>配电柜及</w:t>
      </w:r>
      <w:r>
        <w:rPr>
          <w:rFonts w:hint="eastAsia" w:ascii="宋体" w:hAnsi="宋体" w:eastAsia="宋体" w:cs="Times New Roman"/>
          <w:kern w:val="2"/>
          <w:sz w:val="24"/>
          <w:szCs w:val="24"/>
          <w:highlight w:val="none"/>
          <w:lang w:val="en-US" w:eastAsia="zh-CN" w:bidi="ar-SA"/>
        </w:rPr>
        <w:t>DCS控制柜；合同终止后，响应人按约定拆除运回。但如因响应人违约导致甲方解除合同的，甲方有权留置全部储存输送设施，作为响应人支付违约金及赔偿损失的担保，直至响应人结清全部应付违约金及赔偿金后方可取回。</w:t>
      </w:r>
    </w:p>
    <w:p w14:paraId="62A14B02">
      <w:pPr>
        <w:numPr>
          <w:ilvl w:val="0"/>
          <w:numId w:val="0"/>
        </w:numPr>
        <w:spacing w:before="240" w:line="240" w:lineRule="auto"/>
        <w:ind w:left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（2）储罐容积强制要求：整套设施总有效容积≥60吨，满足厂区满负荷连续3天用量；安装方案须提前报采购人审核通过，施工不得占用厂区主通道、消防通道，不得干扰原有设备运行；</w:t>
      </w:r>
    </w:p>
    <w:p w14:paraId="21F4EB50">
      <w:pPr>
        <w:numPr>
          <w:ilvl w:val="0"/>
          <w:numId w:val="0"/>
        </w:numPr>
        <w:spacing w:before="240" w:line="240" w:lineRule="auto"/>
        <w:ind w:left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（3）系统功能：完整实现槽罐车卸料→储罐储存→转料至厂区制浆罐全流程；支持DCS中控远程自动出料、计量、泵送，同时保留现场就地手动操作模式，双模式切换稳定无故障；</w:t>
      </w:r>
    </w:p>
    <w:p w14:paraId="10F92CE9">
      <w:pPr>
        <w:numPr>
          <w:ilvl w:val="0"/>
          <w:numId w:val="0"/>
        </w:numPr>
        <w:spacing w:before="240" w:line="240" w:lineRule="auto"/>
        <w:ind w:left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（4）设备资料：</w:t>
      </w:r>
      <w:r>
        <w:rPr>
          <w:rFonts w:hint="eastAsia" w:hAnsi="宋体" w:cs="Times New Roman"/>
          <w:kern w:val="2"/>
          <w:sz w:val="24"/>
          <w:szCs w:val="24"/>
          <w:highlight w:val="none"/>
          <w:lang w:val="en-US" w:eastAsia="zh-CN" w:bidi="ar-SA"/>
        </w:rPr>
        <w:t>响应</w:t>
      </w:r>
      <w:r>
        <w:rPr>
          <w:rFonts w:hint="eastAsia" w:ascii="宋体" w:hAnsi="宋体" w:eastAsia="宋体" w:cs="Times New Roman"/>
          <w:kern w:val="2"/>
          <w:sz w:val="24"/>
          <w:szCs w:val="24"/>
          <w:highlight w:val="none"/>
          <w:lang w:val="en-US" w:eastAsia="zh-CN" w:bidi="ar-SA"/>
        </w:rPr>
        <w:t>文件附完整设备清单（名称、规格、品牌、数量、技术参数），同步提供系统工艺流程图、设备平面安装示意图。</w:t>
      </w:r>
      <w:r>
        <w:rPr>
          <w:rFonts w:hint="eastAsia" w:ascii="宋体" w:hAnsi="宋体" w:eastAsia="宋体" w:cs="Times New Roman"/>
          <w:b/>
          <w:bCs/>
          <w:kern w:val="2"/>
          <w:sz w:val="24"/>
          <w:szCs w:val="24"/>
          <w:highlight w:val="none"/>
          <w:lang w:val="en-US" w:eastAsia="zh-CN" w:bidi="ar-SA"/>
        </w:rPr>
        <w:t>如下示例</w:t>
      </w:r>
      <w:r>
        <w:rPr>
          <w:rFonts w:hint="eastAsia" w:hAnsi="宋体" w:cs="Times New Roman"/>
          <w:b/>
          <w:bCs/>
          <w:kern w:val="2"/>
          <w:sz w:val="24"/>
          <w:szCs w:val="24"/>
          <w:highlight w:val="none"/>
          <w:lang w:val="en-US" w:eastAsia="zh-CN" w:bidi="ar-SA"/>
        </w:rPr>
        <w:t>（</w:t>
      </w:r>
      <w:r>
        <w:rPr>
          <w:rFonts w:hint="eastAsia" w:hAnsi="宋体" w:cs="Times New Roman"/>
          <w:b/>
          <w:bCs/>
          <w:color w:val="FF0000"/>
          <w:kern w:val="2"/>
          <w:sz w:val="24"/>
          <w:szCs w:val="24"/>
          <w:highlight w:val="none"/>
          <w:lang w:val="en-US" w:eastAsia="zh-CN" w:bidi="ar-SA"/>
        </w:rPr>
        <w:t>仅供参考</w:t>
      </w:r>
      <w:r>
        <w:rPr>
          <w:rFonts w:hint="eastAsia" w:hAnsi="宋体" w:cs="Times New Roman"/>
          <w:b/>
          <w:bCs/>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w:t>
      </w:r>
    </w:p>
    <w:p w14:paraId="1724C7D0">
      <w:pPr>
        <w:pStyle w:val="2"/>
        <w:rPr>
          <w:rFonts w:hint="eastAsia" w:ascii="Arial" w:hAnsi="Arial" w:eastAsia="等线" w:cs="Arial"/>
          <w:sz w:val="21"/>
          <w:szCs w:val="18"/>
          <w:highlight w:val="none"/>
          <w:lang w:eastAsia="zh-CN"/>
        </w:rPr>
      </w:pPr>
    </w:p>
    <w:p w14:paraId="2CB0A8F5">
      <w:pPr>
        <w:pStyle w:val="2"/>
        <w:rPr>
          <w:highlight w:val="none"/>
        </w:rPr>
      </w:pPr>
      <w:r>
        <w:rPr>
          <w:highlight w:val="none"/>
        </w:rPr>
        <w:drawing>
          <wp:inline distT="0" distB="0" distL="114300" distR="114300">
            <wp:extent cx="5005705" cy="3757930"/>
            <wp:effectExtent l="0" t="0" r="444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005705" cy="3757930"/>
                    </a:xfrm>
                    <a:prstGeom prst="rect">
                      <a:avLst/>
                    </a:prstGeom>
                    <a:noFill/>
                    <a:ln>
                      <a:noFill/>
                    </a:ln>
                  </pic:spPr>
                </pic:pic>
              </a:graphicData>
            </a:graphic>
          </wp:inline>
        </w:drawing>
      </w:r>
    </w:p>
    <w:p w14:paraId="5BBB836B">
      <w:pPr>
        <w:pStyle w:val="2"/>
        <w:rPr>
          <w:rFonts w:hint="default"/>
          <w:highlight w:val="none"/>
          <w:lang w:val="en-US" w:eastAsia="zh-CN"/>
        </w:rPr>
      </w:pPr>
      <w:r>
        <w:rPr>
          <w:rFonts w:hint="eastAsia" w:ascii="Arial" w:hAnsi="Arial" w:eastAsia="等线" w:cs="Arial"/>
          <w:sz w:val="22"/>
          <w:highlight w:val="none"/>
          <w:lang w:eastAsia="zh-CN"/>
        </w:rPr>
        <w:drawing>
          <wp:inline distT="0" distB="0" distL="114300" distR="114300">
            <wp:extent cx="3888105" cy="3305175"/>
            <wp:effectExtent l="0" t="0" r="7620" b="0"/>
            <wp:docPr id="6" name="图片 6" descr="/private/var/mobile/Containers/Data/Application/4A2C660A-8F9C-48B6-981E-162E0C450471/tmp/insert_image_tmp_dir/2026-07-17 08:36:25.436000.png2026-07-17 08:36:25.43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rivate/var/mobile/Containers/Data/Application/4A2C660A-8F9C-48B6-981E-162E0C450471/tmp/insert_image_tmp_dir/2026-07-17 08:36:25.436000.png2026-07-17 08:36:25.436000"/>
                    <pic:cNvPicPr>
                      <a:picLocks noChangeAspect="1"/>
                    </pic:cNvPicPr>
                  </pic:nvPicPr>
                  <pic:blipFill>
                    <a:blip r:embed="rId7"/>
                    <a:srcRect/>
                    <a:stretch>
                      <a:fillRect/>
                    </a:stretch>
                  </pic:blipFill>
                  <pic:spPr>
                    <a:xfrm>
                      <a:off x="0" y="0"/>
                      <a:ext cx="3888105" cy="3305175"/>
                    </a:xfrm>
                    <a:prstGeom prst="rect">
                      <a:avLst/>
                    </a:prstGeom>
                  </pic:spPr>
                </pic:pic>
              </a:graphicData>
            </a:graphic>
          </wp:inline>
        </w:drawing>
      </w:r>
    </w:p>
    <w:p w14:paraId="2DB75D45">
      <w:pPr>
        <w:numPr>
          <w:ilvl w:val="0"/>
          <w:numId w:val="0"/>
        </w:numPr>
        <w:spacing w:before="240" w:line="360" w:lineRule="auto"/>
        <w:ind w:leftChars="0"/>
        <w:rPr>
          <w:rFonts w:hint="eastAsia" w:ascii="宋体" w:hAnsi="宋体" w:eastAsia="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3、</w:t>
      </w:r>
      <w:r>
        <w:rPr>
          <w:rFonts w:hint="eastAsia" w:ascii="宋体" w:hAnsi="宋体" w:eastAsia="宋体" w:cs="Times New Roman"/>
          <w:b/>
          <w:bCs/>
          <w:kern w:val="2"/>
          <w:sz w:val="24"/>
          <w:szCs w:val="24"/>
          <w:highlight w:val="none"/>
          <w:lang w:val="en-US" w:eastAsia="zh-CN" w:bidi="ar-SA"/>
        </w:rPr>
        <w:t>设备运维责任</w:t>
      </w:r>
    </w:p>
    <w:p w14:paraId="4E6597F4">
      <w:pPr>
        <w:numPr>
          <w:ilvl w:val="0"/>
          <w:numId w:val="0"/>
        </w:numPr>
        <w:spacing w:before="240" w:line="240" w:lineRule="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w:t>
      </w:r>
      <w:r>
        <w:rPr>
          <w:rFonts w:hint="eastAsia" w:hAnsi="宋体" w:cs="Times New Roman"/>
          <w:kern w:val="2"/>
          <w:sz w:val="24"/>
          <w:szCs w:val="24"/>
          <w:highlight w:val="none"/>
          <w:lang w:val="en-US" w:eastAsia="zh-CN" w:bidi="ar-SA"/>
        </w:rPr>
        <w:t>1</w:t>
      </w:r>
      <w:r>
        <w:rPr>
          <w:rFonts w:hint="eastAsia" w:ascii="宋体" w:hAnsi="宋体" w:eastAsia="宋体" w:cs="Times New Roman"/>
          <w:kern w:val="2"/>
          <w:sz w:val="24"/>
          <w:szCs w:val="24"/>
          <w:highlight w:val="none"/>
          <w:lang w:val="en-US" w:eastAsia="zh-CN" w:bidi="ar-SA"/>
        </w:rPr>
        <w:t>）储罐、管道、泵体发生跑冒滴漏，</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须24小时内完成整改；重大泄漏（影响生产或造成环境污染的）须在12小时内完成整改。泄漏造成厂区地面/水体污染、物料损耗、环保行政处罚，全部费用及损失由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承担。逾期未完成整改的，每逾期一天按2000元/天向甲方支付违约金，甲方有权自行或委托第三方进行维修，费用由响应人承担。</w:t>
      </w:r>
    </w:p>
    <w:p w14:paraId="683028C2">
      <w:pPr>
        <w:numPr>
          <w:ilvl w:val="0"/>
          <w:numId w:val="0"/>
        </w:numPr>
        <w:spacing w:before="240" w:line="240" w:lineRule="auto"/>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4、现场作业总负责：</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全权承担配套设备运输、卸货、安装施工、完工场地清理；物料运输、设备安装、运维全过程安全、环保、文明施工全部责任、费用均由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承担。</w:t>
      </w:r>
    </w:p>
    <w:p w14:paraId="094C8ED9">
      <w:pPr>
        <w:numPr>
          <w:ilvl w:val="0"/>
          <w:numId w:val="9"/>
        </w:numPr>
        <w:spacing w:before="240" w:line="360" w:lineRule="auto"/>
        <w:rPr>
          <w:rFonts w:hint="eastAsia" w:ascii="黑体" w:hAnsi="黑体" w:eastAsia="黑体" w:cs="微软雅黑"/>
          <w:b/>
          <w:bCs/>
          <w:kern w:val="44"/>
          <w:sz w:val="28"/>
          <w:szCs w:val="28"/>
          <w:highlight w:val="none"/>
        </w:rPr>
      </w:pPr>
      <w:r>
        <w:rPr>
          <w:rFonts w:hint="eastAsia" w:ascii="黑体" w:hAnsi="黑体" w:eastAsia="黑体" w:cs="微软雅黑"/>
          <w:b/>
          <w:bCs/>
          <w:kern w:val="44"/>
          <w:sz w:val="28"/>
          <w:szCs w:val="28"/>
          <w:highlight w:val="none"/>
          <w:lang w:val="en-US" w:eastAsia="zh-CN"/>
        </w:rPr>
        <w:t>项目</w:t>
      </w:r>
      <w:r>
        <w:rPr>
          <w:rFonts w:hint="eastAsia" w:ascii="黑体" w:hAnsi="黑体" w:eastAsia="黑体" w:cs="微软雅黑"/>
          <w:b/>
          <w:bCs/>
          <w:kern w:val="44"/>
          <w:sz w:val="28"/>
          <w:szCs w:val="28"/>
          <w:highlight w:val="none"/>
        </w:rPr>
        <w:t>进度及要求</w:t>
      </w:r>
    </w:p>
    <w:p w14:paraId="79AC5E5F">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1、</w:t>
      </w:r>
      <w:r>
        <w:rPr>
          <w:rFonts w:hint="eastAsia" w:ascii="宋体" w:hAnsi="宋体" w:eastAsia="宋体" w:cs="Times New Roman"/>
          <w:b/>
          <w:bCs/>
          <w:kern w:val="2"/>
          <w:sz w:val="24"/>
          <w:szCs w:val="24"/>
          <w:highlight w:val="none"/>
          <w:lang w:val="en-US" w:eastAsia="zh-CN" w:bidi="ar-SA"/>
        </w:rPr>
        <w:t>项目实施地点：</w:t>
      </w:r>
      <w:r>
        <w:rPr>
          <w:rFonts w:hint="eastAsia" w:ascii="宋体" w:hAnsi="宋体" w:eastAsia="宋体" w:cs="Times New Roman"/>
          <w:kern w:val="2"/>
          <w:sz w:val="24"/>
          <w:szCs w:val="24"/>
          <w:highlight w:val="none"/>
          <w:lang w:val="en-US" w:eastAsia="zh-CN" w:bidi="ar-SA"/>
        </w:rPr>
        <w:t>东莞市海心沙资源综合利用中心环保热电厂指定区域。</w:t>
      </w:r>
    </w:p>
    <w:p w14:paraId="0052373F">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2、</w:t>
      </w:r>
      <w:r>
        <w:rPr>
          <w:rFonts w:hint="eastAsia" w:ascii="宋体" w:hAnsi="宋体" w:eastAsia="宋体" w:cs="Times New Roman"/>
          <w:b/>
          <w:bCs/>
          <w:kern w:val="2"/>
          <w:sz w:val="24"/>
          <w:szCs w:val="24"/>
          <w:highlight w:val="none"/>
          <w:lang w:val="en-US" w:eastAsia="zh-CN" w:bidi="ar-SA"/>
        </w:rPr>
        <w:t>现场勘查：</w:t>
      </w:r>
      <w:r>
        <w:rPr>
          <w:rFonts w:hint="eastAsia" w:hAnsi="宋体" w:cs="Times New Roman"/>
          <w:b w:val="0"/>
          <w:bCs w:val="0"/>
          <w:kern w:val="2"/>
          <w:sz w:val="24"/>
          <w:szCs w:val="24"/>
          <w:highlight w:val="none"/>
          <w:lang w:val="en-US" w:eastAsia="zh-CN" w:bidi="ar-SA"/>
        </w:rPr>
        <w:t>接到采购人</w:t>
      </w:r>
      <w:r>
        <w:rPr>
          <w:rFonts w:hint="eastAsia" w:hAnsi="宋体" w:cs="Times New Roman"/>
          <w:kern w:val="2"/>
          <w:sz w:val="24"/>
          <w:szCs w:val="24"/>
          <w:highlight w:val="none"/>
          <w:lang w:val="en-US" w:eastAsia="zh-CN" w:bidi="ar-SA"/>
        </w:rPr>
        <w:t>通知后7</w:t>
      </w:r>
      <w:r>
        <w:rPr>
          <w:rFonts w:hint="eastAsia" w:ascii="宋体" w:hAnsi="宋体" w:eastAsia="宋体" w:cs="Times New Roman"/>
          <w:kern w:val="2"/>
          <w:sz w:val="24"/>
          <w:szCs w:val="24"/>
          <w:highlight w:val="none"/>
          <w:lang w:val="en-US" w:eastAsia="zh-CN" w:bidi="ar-SA"/>
        </w:rPr>
        <w:t>个自然日内，</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安排专业人员到项目现场实地勘查场地，结合现场工况编制储存设施安装方案，报采购人审批。</w:t>
      </w:r>
    </w:p>
    <w:p w14:paraId="163448B6">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3、</w:t>
      </w:r>
      <w:r>
        <w:rPr>
          <w:rFonts w:hint="eastAsia" w:ascii="宋体" w:hAnsi="宋体" w:eastAsia="宋体" w:cs="Times New Roman"/>
          <w:b/>
          <w:bCs/>
          <w:kern w:val="2"/>
          <w:sz w:val="24"/>
          <w:szCs w:val="24"/>
          <w:highlight w:val="none"/>
          <w:lang w:val="en-US" w:eastAsia="zh-CN" w:bidi="ar-SA"/>
        </w:rPr>
        <w:t>★安装调试工期：</w:t>
      </w:r>
      <w:r>
        <w:rPr>
          <w:rFonts w:hint="eastAsia" w:ascii="宋体" w:hAnsi="宋体" w:eastAsia="宋体" w:cs="Times New Roman"/>
          <w:kern w:val="2"/>
          <w:sz w:val="24"/>
          <w:szCs w:val="24"/>
          <w:highlight w:val="none"/>
          <w:lang w:val="en-US" w:eastAsia="zh-CN" w:bidi="ar-SA"/>
        </w:rPr>
        <w:t>接到</w:t>
      </w:r>
      <w:r>
        <w:rPr>
          <w:rFonts w:hint="eastAsia" w:hAnsi="宋体" w:cs="Times New Roman"/>
          <w:kern w:val="2"/>
          <w:sz w:val="24"/>
          <w:szCs w:val="24"/>
          <w:highlight w:val="none"/>
          <w:lang w:val="en-US" w:eastAsia="zh-CN" w:bidi="ar-SA"/>
        </w:rPr>
        <w:t>采购人</w:t>
      </w:r>
      <w:r>
        <w:rPr>
          <w:rFonts w:hint="eastAsia" w:ascii="宋体" w:hAnsi="宋体" w:eastAsia="宋体" w:cs="Times New Roman"/>
          <w:kern w:val="2"/>
          <w:sz w:val="24"/>
          <w:szCs w:val="24"/>
          <w:highlight w:val="none"/>
          <w:lang w:val="en-US" w:eastAsia="zh-CN" w:bidi="ar-SA"/>
        </w:rPr>
        <w:t>通知</w:t>
      </w:r>
      <w:r>
        <w:rPr>
          <w:rFonts w:hint="eastAsia" w:hAnsi="宋体" w:cs="Times New Roman"/>
          <w:kern w:val="2"/>
          <w:sz w:val="24"/>
          <w:szCs w:val="24"/>
          <w:highlight w:val="none"/>
          <w:lang w:val="en-US" w:eastAsia="zh-CN" w:bidi="ar-SA"/>
        </w:rPr>
        <w:t>15</w:t>
      </w:r>
      <w:r>
        <w:rPr>
          <w:rFonts w:hint="eastAsia" w:ascii="宋体" w:hAnsi="宋体" w:eastAsia="宋体" w:cs="Times New Roman"/>
          <w:kern w:val="2"/>
          <w:sz w:val="24"/>
          <w:szCs w:val="24"/>
          <w:highlight w:val="none"/>
          <w:lang w:val="en-US" w:eastAsia="zh-CN" w:bidi="ar-SA"/>
        </w:rPr>
        <w:t>个自然日内，完成全套储存输送设备进场、安装、接线、调试、联动试运行，确保设备正式投用。因乙方原因逾期完成的，每逾期一天，按合同暂定总价的0.1%向甲方支付违约金；逾期超过10天的，甲方有权取消乙方供货资格，另行委托第三方，所增加的费用由乙方承担。</w:t>
      </w:r>
    </w:p>
    <w:p w14:paraId="40CFFDE3">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4、</w:t>
      </w:r>
      <w:r>
        <w:rPr>
          <w:rFonts w:hint="eastAsia" w:ascii="宋体" w:hAnsi="宋体" w:eastAsia="宋体" w:cs="Times New Roman"/>
          <w:b/>
          <w:bCs/>
          <w:kern w:val="2"/>
          <w:sz w:val="24"/>
          <w:szCs w:val="24"/>
          <w:highlight w:val="none"/>
          <w:lang w:val="en-US" w:eastAsia="zh-CN" w:bidi="ar-SA"/>
        </w:rPr>
        <w:t>供货时效：</w:t>
      </w:r>
    </w:p>
    <w:p w14:paraId="496CE261">
      <w:pPr>
        <w:pStyle w:val="2"/>
        <w:ind w:left="0" w:leftChars="0" w:firstLine="0" w:firstLine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1）常规供货：收到订单、短信、邮件、微信等书面或电子形式发出供货通知后24小时内送达；甲方发出通知即视为已送达（以电子邮件发送记录或甲方系统记录时间为准），乙方不得以未收到或未及时查看为由抗辩。逾期交货按合同约定计取违约金；</w:t>
      </w:r>
    </w:p>
    <w:p w14:paraId="14529534">
      <w:pPr>
        <w:pStyle w:val="2"/>
        <w:ind w:left="0" w:leftChars="0" w:firstLine="0" w:firstLine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（2）应急供货：厂区环保、生产突发险情，通知下发后10小时内到货；</w:t>
      </w:r>
      <w:r>
        <w:rPr>
          <w:rFonts w:hint="eastAsia" w:hAnsi="宋体" w:cs="Times New Roman"/>
          <w:kern w:val="2"/>
          <w:sz w:val="24"/>
          <w:szCs w:val="24"/>
          <w:highlight w:val="none"/>
          <w:lang w:val="en-US" w:eastAsia="zh-CN" w:bidi="ar-SA"/>
        </w:rPr>
        <w:t>甲方认定应急供货情形时无需乙方同意，乙方不得以“不属于紧急情况”为由拒绝或延迟供货。</w:t>
      </w:r>
    </w:p>
    <w:p w14:paraId="48688AC9">
      <w:pPr>
        <w:pStyle w:val="2"/>
        <w:ind w:left="0" w:leftChars="0" w:firstLine="0" w:firstLineChars="0"/>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（3）不合格退货补送：单批次检测不合格整车拒收，</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须10小时内补发合格货物到场</w:t>
      </w:r>
      <w:r>
        <w:rPr>
          <w:rFonts w:hint="eastAsia" w:hAnsi="宋体" w:cs="Times New Roman"/>
          <w:kern w:val="2"/>
          <w:sz w:val="24"/>
          <w:szCs w:val="24"/>
          <w:highlight w:val="none"/>
          <w:lang w:val="en-US" w:eastAsia="zh-CN" w:bidi="ar-SA"/>
        </w:rPr>
        <w:t>。</w:t>
      </w:r>
    </w:p>
    <w:p w14:paraId="09FFBA28">
      <w:pPr>
        <w:pStyle w:val="2"/>
        <w:ind w:left="0" w:leftChars="0" w:firstLine="0" w:firstLineChars="0"/>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5、</w:t>
      </w:r>
      <w:r>
        <w:rPr>
          <w:rFonts w:hint="eastAsia" w:ascii="宋体" w:hAnsi="宋体" w:eastAsia="宋体" w:cs="Times New Roman"/>
          <w:b/>
          <w:bCs/>
          <w:kern w:val="2"/>
          <w:sz w:val="24"/>
          <w:szCs w:val="24"/>
          <w:highlight w:val="none"/>
          <w:lang w:val="en-US" w:eastAsia="zh-CN" w:bidi="ar-SA"/>
        </w:rPr>
        <w:t>设备拆除复原：</w:t>
      </w:r>
      <w:r>
        <w:rPr>
          <w:rFonts w:hint="eastAsia" w:ascii="宋体" w:hAnsi="宋体" w:eastAsia="宋体" w:cs="Times New Roman"/>
          <w:kern w:val="2"/>
          <w:sz w:val="24"/>
          <w:szCs w:val="24"/>
          <w:highlight w:val="none"/>
          <w:lang w:val="en-US" w:eastAsia="zh-CN" w:bidi="ar-SA"/>
        </w:rPr>
        <w:t>合同终止后，</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按采购人要求时限自行拆除、运回全部自有储存输送设备；拆除过</w:t>
      </w:r>
      <w:r>
        <w:rPr>
          <w:rFonts w:hint="eastAsia" w:hAnsi="宋体" w:cs="Times New Roman"/>
          <w:kern w:val="2"/>
          <w:sz w:val="24"/>
          <w:szCs w:val="24"/>
          <w:highlight w:val="none"/>
          <w:lang w:val="en-US" w:eastAsia="zh-CN" w:bidi="ar-SA"/>
        </w:rPr>
        <w:t>程中</w:t>
      </w:r>
      <w:r>
        <w:rPr>
          <w:rFonts w:hint="eastAsia" w:ascii="宋体" w:hAnsi="宋体" w:eastAsia="宋体" w:cs="Times New Roman"/>
          <w:kern w:val="2"/>
          <w:sz w:val="24"/>
          <w:szCs w:val="24"/>
          <w:highlight w:val="none"/>
          <w:lang w:val="en-US" w:eastAsia="zh-CN" w:bidi="ar-SA"/>
        </w:rPr>
        <w:t>不得损坏厂区建构筑物、管线设备，完工后恢复场地原貌；拆除、运输、清理所有费用由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承担，采购人不支付任何费用</w:t>
      </w:r>
      <w:r>
        <w:rPr>
          <w:rFonts w:hint="eastAsia" w:hAnsi="宋体" w:cs="Times New Roman"/>
          <w:kern w:val="2"/>
          <w:sz w:val="24"/>
          <w:szCs w:val="24"/>
          <w:highlight w:val="none"/>
          <w:lang w:val="en-US" w:eastAsia="zh-CN" w:bidi="ar-SA"/>
        </w:rPr>
        <w:t>。逾期未拆除的，每逾期一天按2000元/天向甲方支付场地占用费；逾期超过30天的，视为乙方放弃设备所有权，甲方有权自行处置，处置费用由乙方承担，处置所得归甲方所有。</w:t>
      </w:r>
    </w:p>
    <w:p w14:paraId="13414024">
      <w:pPr>
        <w:numPr>
          <w:ilvl w:val="0"/>
          <w:numId w:val="9"/>
        </w:numPr>
        <w:spacing w:before="240" w:line="360" w:lineRule="auto"/>
        <w:rPr>
          <w:rFonts w:hint="eastAsia" w:ascii="黑体" w:hAnsi="黑体" w:eastAsia="黑体" w:cs="微软雅黑"/>
          <w:b/>
          <w:bCs/>
          <w:kern w:val="44"/>
          <w:sz w:val="28"/>
          <w:szCs w:val="28"/>
          <w:highlight w:val="none"/>
          <w:lang w:val="en-US" w:eastAsia="zh-CN"/>
        </w:rPr>
      </w:pPr>
      <w:r>
        <w:rPr>
          <w:rFonts w:hint="eastAsia" w:ascii="黑体" w:hAnsi="黑体" w:eastAsia="黑体" w:cs="微软雅黑"/>
          <w:b/>
          <w:bCs/>
          <w:kern w:val="44"/>
          <w:sz w:val="28"/>
          <w:szCs w:val="28"/>
          <w:highlight w:val="none"/>
          <w:lang w:val="en-US" w:eastAsia="zh-CN"/>
        </w:rPr>
        <w:t>双方责任</w:t>
      </w:r>
    </w:p>
    <w:p w14:paraId="00D5F36F">
      <w:pPr>
        <w:spacing w:line="360" w:lineRule="auto"/>
        <w:rPr>
          <w:rFonts w:hint="eastAsia" w:ascii="宋体" w:hAnsi="宋体" w:eastAsia="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5</w:t>
      </w:r>
      <w:r>
        <w:rPr>
          <w:rFonts w:hint="eastAsia" w:ascii="宋体" w:hAnsi="宋体" w:eastAsia="宋体" w:cs="Times New Roman"/>
          <w:b/>
          <w:bCs/>
          <w:kern w:val="2"/>
          <w:sz w:val="24"/>
          <w:szCs w:val="24"/>
          <w:highlight w:val="none"/>
          <w:lang w:val="en-US" w:eastAsia="zh-CN" w:bidi="ar-SA"/>
        </w:rPr>
        <w:t xml:space="preserve">.1 </w:t>
      </w:r>
      <w:r>
        <w:rPr>
          <w:rFonts w:hint="eastAsia" w:hAnsi="宋体" w:cs="Times New Roman"/>
          <w:b/>
          <w:bCs/>
          <w:kern w:val="2"/>
          <w:sz w:val="24"/>
          <w:szCs w:val="24"/>
          <w:highlight w:val="none"/>
          <w:lang w:val="en-US" w:eastAsia="zh-CN" w:bidi="ar-SA"/>
        </w:rPr>
        <w:t>响应人</w:t>
      </w:r>
      <w:r>
        <w:rPr>
          <w:rFonts w:hint="eastAsia" w:ascii="宋体" w:hAnsi="宋体" w:eastAsia="宋体" w:cs="Times New Roman"/>
          <w:b/>
          <w:bCs/>
          <w:kern w:val="2"/>
          <w:sz w:val="24"/>
          <w:szCs w:val="24"/>
          <w:highlight w:val="none"/>
          <w:lang w:val="en-US" w:eastAsia="zh-CN" w:bidi="ar-SA"/>
        </w:rPr>
        <w:t>责任</w:t>
      </w:r>
    </w:p>
    <w:p w14:paraId="30912C0F">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bCs/>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1、</w:t>
      </w:r>
      <w:r>
        <w:rPr>
          <w:rFonts w:hint="eastAsia" w:ascii="宋体" w:hAnsi="宋体" w:eastAsia="宋体" w:cs="Times New Roman"/>
          <w:b/>
          <w:bCs/>
          <w:kern w:val="2"/>
          <w:sz w:val="24"/>
          <w:szCs w:val="24"/>
          <w:highlight w:val="none"/>
          <w:lang w:val="en-US" w:eastAsia="zh-CN" w:bidi="ar-SA"/>
        </w:rPr>
        <w:t>★人员保险：应为委派的工作人员按社保部门相关标准全员参保工伤保险，人员名单与实际进场人员完全一致;应为委派的工作人员购买保额不低于100万元/人的人身意外伤害保险，且保险有效期在合同履行期以内。乙方应在合同签订后7个工作日内向甲方提交保险单复印件（加盖公章）及</w:t>
      </w:r>
      <w:r>
        <w:rPr>
          <w:rFonts w:hint="eastAsia" w:hAnsi="宋体" w:cs="Times New Roman"/>
          <w:b/>
          <w:bCs/>
          <w:kern w:val="2"/>
          <w:sz w:val="24"/>
          <w:szCs w:val="24"/>
          <w:highlight w:val="none"/>
          <w:lang w:val="en-US" w:eastAsia="zh-CN" w:bidi="ar-SA"/>
        </w:rPr>
        <w:t>相关证明材料</w:t>
      </w:r>
      <w:r>
        <w:rPr>
          <w:rFonts w:hint="eastAsia" w:ascii="宋体" w:hAnsi="宋体" w:eastAsia="宋体" w:cs="Times New Roman"/>
          <w:b/>
          <w:bCs/>
          <w:kern w:val="2"/>
          <w:sz w:val="24"/>
          <w:szCs w:val="24"/>
          <w:highlight w:val="none"/>
          <w:lang w:val="en-US" w:eastAsia="zh-CN" w:bidi="ar-SA"/>
        </w:rPr>
        <w:t>，人员发生变化时须在3个工作日内更新保险并提交证明材料；逾期未提交的，视为违约。</w:t>
      </w:r>
    </w:p>
    <w:p w14:paraId="0B37ACB3">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2、</w:t>
      </w:r>
      <w:r>
        <w:rPr>
          <w:rFonts w:hint="eastAsia" w:ascii="宋体" w:hAnsi="宋体" w:eastAsia="宋体" w:cs="Times New Roman"/>
          <w:b w:val="0"/>
          <w:bCs w:val="0"/>
          <w:kern w:val="2"/>
          <w:sz w:val="24"/>
          <w:szCs w:val="24"/>
          <w:highlight w:val="none"/>
          <w:lang w:val="en-US" w:eastAsia="zh-CN" w:bidi="ar-SA"/>
        </w:rPr>
        <w:t>严格遵守厂区各项管理制度，作业范围仅限指定施工、供货区域，严禁触碰、误动厂区原有运行设备；因作业失误造成的设备损坏、生产停运、经济损失，全部由</w:t>
      </w:r>
      <w:r>
        <w:rPr>
          <w:rFonts w:hint="eastAsia" w:hAnsi="宋体" w:cs="Times New Roman"/>
          <w:b w:val="0"/>
          <w:bCs w:val="0"/>
          <w:kern w:val="2"/>
          <w:sz w:val="24"/>
          <w:szCs w:val="24"/>
          <w:highlight w:val="none"/>
          <w:lang w:val="en-US" w:eastAsia="zh-CN" w:bidi="ar-SA"/>
        </w:rPr>
        <w:t>响应人</w:t>
      </w:r>
      <w:r>
        <w:rPr>
          <w:rFonts w:hint="eastAsia" w:ascii="宋体" w:hAnsi="宋体" w:eastAsia="宋体" w:cs="Times New Roman"/>
          <w:b w:val="0"/>
          <w:bCs w:val="0"/>
          <w:kern w:val="2"/>
          <w:sz w:val="24"/>
          <w:szCs w:val="24"/>
          <w:highlight w:val="none"/>
          <w:lang w:val="en-US" w:eastAsia="zh-CN" w:bidi="ar-SA"/>
        </w:rPr>
        <w:t>承担。</w:t>
      </w:r>
    </w:p>
    <w:p w14:paraId="06B1A3E4">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3、</w:t>
      </w:r>
      <w:r>
        <w:rPr>
          <w:rFonts w:hint="eastAsia" w:ascii="宋体" w:hAnsi="宋体" w:eastAsia="宋体" w:cs="Times New Roman"/>
          <w:b w:val="0"/>
          <w:bCs w:val="0"/>
          <w:kern w:val="2"/>
          <w:sz w:val="24"/>
          <w:szCs w:val="24"/>
          <w:highlight w:val="none"/>
          <w:lang w:val="en-US" w:eastAsia="zh-CN" w:bidi="ar-SA"/>
        </w:rPr>
        <w:t>自行配备施工所需临时电源、照明、工具、防护器材等全部工器具。</w:t>
      </w:r>
    </w:p>
    <w:p w14:paraId="273CCD94">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4、</w:t>
      </w:r>
      <w:r>
        <w:rPr>
          <w:rFonts w:hint="eastAsia" w:ascii="宋体" w:hAnsi="宋体" w:eastAsia="宋体" w:cs="Times New Roman"/>
          <w:b w:val="0"/>
          <w:bCs w:val="0"/>
          <w:kern w:val="2"/>
          <w:sz w:val="24"/>
          <w:szCs w:val="24"/>
          <w:highlight w:val="none"/>
          <w:lang w:val="en-US" w:eastAsia="zh-CN" w:bidi="ar-SA"/>
        </w:rPr>
        <w:t>开工前编制专项安全技术措施，全程落实现场安全管控，施工期间发生的安全事故、人身伤害、设备故障，全部责任及损失由</w:t>
      </w:r>
      <w:r>
        <w:rPr>
          <w:rFonts w:hint="eastAsia" w:hAnsi="宋体" w:cs="Times New Roman"/>
          <w:b w:val="0"/>
          <w:bCs w:val="0"/>
          <w:kern w:val="2"/>
          <w:sz w:val="24"/>
          <w:szCs w:val="24"/>
          <w:highlight w:val="none"/>
          <w:lang w:val="en-US" w:eastAsia="zh-CN" w:bidi="ar-SA"/>
        </w:rPr>
        <w:t>响应人</w:t>
      </w:r>
      <w:r>
        <w:rPr>
          <w:rFonts w:hint="eastAsia" w:ascii="宋体" w:hAnsi="宋体" w:eastAsia="宋体" w:cs="Times New Roman"/>
          <w:b w:val="0"/>
          <w:bCs w:val="0"/>
          <w:kern w:val="2"/>
          <w:sz w:val="24"/>
          <w:szCs w:val="24"/>
          <w:highlight w:val="none"/>
          <w:lang w:val="en-US" w:eastAsia="zh-CN" w:bidi="ar-SA"/>
        </w:rPr>
        <w:t>承担。</w:t>
      </w:r>
    </w:p>
    <w:p w14:paraId="1588EB03">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5、</w:t>
      </w:r>
      <w:r>
        <w:rPr>
          <w:rFonts w:hint="eastAsia" w:ascii="宋体" w:hAnsi="宋体" w:eastAsia="宋体" w:cs="Times New Roman"/>
          <w:b w:val="0"/>
          <w:bCs w:val="0"/>
          <w:kern w:val="2"/>
          <w:sz w:val="24"/>
          <w:szCs w:val="24"/>
          <w:highlight w:val="none"/>
          <w:lang w:val="en-US" w:eastAsia="zh-CN" w:bidi="ar-SA"/>
        </w:rPr>
        <w:t>现场发生中毒窒息、触电、高空坠落、机械伤害等突发事件时，第一时间开展现场急救，并立即通知采购人现场管理人员；事故发生后，积极配合采购人开展事故调查。</w:t>
      </w:r>
    </w:p>
    <w:p w14:paraId="6917687E">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6、</w:t>
      </w:r>
      <w:r>
        <w:rPr>
          <w:rFonts w:hint="eastAsia" w:ascii="宋体" w:hAnsi="宋体" w:eastAsia="宋体" w:cs="Times New Roman"/>
          <w:b w:val="0"/>
          <w:bCs w:val="0"/>
          <w:kern w:val="2"/>
          <w:sz w:val="24"/>
          <w:szCs w:val="24"/>
          <w:highlight w:val="none"/>
          <w:lang w:val="en-US" w:eastAsia="zh-CN" w:bidi="ar-SA"/>
        </w:rPr>
        <w:t>所有进场人员必须参加采购人组织的安全培训，考核合格后方可上岗；特种作业人员、焊工、设备操作人员等须持证上岗，进场前向采购人提交有效证件复印件备案。</w:t>
      </w:r>
    </w:p>
    <w:p w14:paraId="57E915E8">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7、</w:t>
      </w:r>
      <w:r>
        <w:rPr>
          <w:rFonts w:hint="eastAsia" w:ascii="宋体" w:hAnsi="宋体" w:eastAsia="宋体" w:cs="Times New Roman"/>
          <w:b w:val="0"/>
          <w:bCs w:val="0"/>
          <w:kern w:val="2"/>
          <w:sz w:val="24"/>
          <w:szCs w:val="24"/>
          <w:highlight w:val="none"/>
          <w:lang w:val="en-US" w:eastAsia="zh-CN" w:bidi="ar-SA"/>
        </w:rPr>
        <w:t>运输采用密闭槽罐车，单车载货量≤</w:t>
      </w:r>
      <w:r>
        <w:rPr>
          <w:rFonts w:hint="eastAsia" w:hAnsi="宋体" w:cs="Times New Roman"/>
          <w:b w:val="0"/>
          <w:bCs w:val="0"/>
          <w:kern w:val="2"/>
          <w:sz w:val="24"/>
          <w:szCs w:val="24"/>
          <w:highlight w:val="none"/>
          <w:lang w:val="en-US" w:eastAsia="zh-CN" w:bidi="ar-SA"/>
        </w:rPr>
        <w:t>49</w:t>
      </w:r>
      <w:r>
        <w:rPr>
          <w:rFonts w:hint="eastAsia" w:ascii="宋体" w:hAnsi="宋体" w:eastAsia="宋体" w:cs="Times New Roman"/>
          <w:b w:val="0"/>
          <w:bCs w:val="0"/>
          <w:kern w:val="2"/>
          <w:sz w:val="24"/>
          <w:szCs w:val="24"/>
          <w:highlight w:val="none"/>
          <w:lang w:val="en-US" w:eastAsia="zh-CN" w:bidi="ar-SA"/>
        </w:rPr>
        <w:t>吨；车辆、驾驶员证照齐全有效，运输全过程杜绝渗漏、遗撒、污染环境。</w:t>
      </w:r>
    </w:p>
    <w:p w14:paraId="357A2E12">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8、</w:t>
      </w:r>
      <w:r>
        <w:rPr>
          <w:rFonts w:hint="eastAsia" w:ascii="宋体" w:hAnsi="宋体" w:eastAsia="宋体" w:cs="Times New Roman"/>
          <w:b w:val="0"/>
          <w:bCs w:val="0"/>
          <w:kern w:val="2"/>
          <w:sz w:val="24"/>
          <w:szCs w:val="24"/>
          <w:highlight w:val="none"/>
          <w:lang w:val="en-US" w:eastAsia="zh-CN" w:bidi="ar-SA"/>
        </w:rPr>
        <w:t>送货验收硬性要求：每车次随车提供加盖公章的出厂检测报告、正式送货单；无出厂质检报告禁止入厂、禁止过磅卸料；车辆到厂先重车过磅，双方签字留存过磅单；供需双方共同见证取样合格后方可卸料；卸料完成后空车复磅并签字确认，方可离场；</w:t>
      </w:r>
      <w:r>
        <w:rPr>
          <w:rFonts w:hint="eastAsia" w:hAnsi="宋体" w:cs="Times New Roman"/>
          <w:b w:val="0"/>
          <w:bCs w:val="0"/>
          <w:kern w:val="2"/>
          <w:sz w:val="24"/>
          <w:szCs w:val="24"/>
          <w:highlight w:val="none"/>
          <w:lang w:val="en-US" w:eastAsia="zh-CN" w:bidi="ar-SA"/>
        </w:rPr>
        <w:t>响应人</w:t>
      </w:r>
      <w:r>
        <w:rPr>
          <w:rFonts w:hint="eastAsia" w:ascii="宋体" w:hAnsi="宋体" w:eastAsia="宋体" w:cs="Times New Roman"/>
          <w:b w:val="0"/>
          <w:bCs w:val="0"/>
          <w:kern w:val="2"/>
          <w:sz w:val="24"/>
          <w:szCs w:val="24"/>
          <w:highlight w:val="none"/>
          <w:lang w:val="en-US" w:eastAsia="zh-CN" w:bidi="ar-SA"/>
        </w:rPr>
        <w:t>拒绝到场见证取样、拒绝签字，视同认可采购人取样及全部检测结果。</w:t>
      </w:r>
    </w:p>
    <w:p w14:paraId="16B7B3CF">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9、</w:t>
      </w:r>
      <w:r>
        <w:rPr>
          <w:rFonts w:hint="eastAsia" w:ascii="宋体" w:hAnsi="宋体" w:eastAsia="宋体" w:cs="Times New Roman"/>
          <w:b w:val="0"/>
          <w:bCs w:val="0"/>
          <w:kern w:val="2"/>
          <w:sz w:val="24"/>
          <w:szCs w:val="24"/>
          <w:highlight w:val="none"/>
          <w:lang w:val="en-US" w:eastAsia="zh-CN" w:bidi="ar-SA"/>
        </w:rPr>
        <w:t>乙方对甲方取样检测结果有异议的，按合同约定的异议复检流程处理，不得以有异议为由拒绝卸货或拖延供货。</w:t>
      </w:r>
    </w:p>
    <w:p w14:paraId="0E0865FF">
      <w:pPr>
        <w:spacing w:line="360" w:lineRule="auto"/>
        <w:rPr>
          <w:rFonts w:hint="eastAsia" w:ascii="宋体" w:hAnsi="宋体" w:eastAsia="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5</w:t>
      </w:r>
      <w:r>
        <w:rPr>
          <w:rFonts w:hint="eastAsia" w:ascii="宋体" w:hAnsi="宋体" w:eastAsia="宋体" w:cs="Times New Roman"/>
          <w:b/>
          <w:bCs/>
          <w:kern w:val="2"/>
          <w:sz w:val="24"/>
          <w:szCs w:val="24"/>
          <w:highlight w:val="none"/>
          <w:lang w:val="en-US" w:eastAsia="zh-CN" w:bidi="ar-SA"/>
        </w:rPr>
        <w:t>.2 采购人责任</w:t>
      </w:r>
    </w:p>
    <w:p w14:paraId="28675563">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1、</w:t>
      </w:r>
      <w:r>
        <w:rPr>
          <w:rFonts w:hint="eastAsia" w:ascii="宋体" w:hAnsi="宋体" w:eastAsia="宋体" w:cs="Times New Roman"/>
          <w:b w:val="0"/>
          <w:bCs w:val="0"/>
          <w:kern w:val="2"/>
          <w:sz w:val="24"/>
          <w:szCs w:val="24"/>
          <w:highlight w:val="none"/>
          <w:lang w:val="en-US" w:eastAsia="zh-CN" w:bidi="ar-SA"/>
        </w:rPr>
        <w:t>负责对纳米液钙供货质量、储存设备安装及调试质量进行验收。</w:t>
      </w:r>
    </w:p>
    <w:p w14:paraId="592F53A8">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2、</w:t>
      </w:r>
      <w:r>
        <w:rPr>
          <w:rFonts w:hint="eastAsia" w:ascii="宋体" w:hAnsi="宋体" w:eastAsia="宋体" w:cs="Times New Roman"/>
          <w:b w:val="0"/>
          <w:bCs w:val="0"/>
          <w:kern w:val="2"/>
          <w:sz w:val="24"/>
          <w:szCs w:val="24"/>
          <w:highlight w:val="none"/>
          <w:lang w:val="en-US" w:eastAsia="zh-CN" w:bidi="ar-SA"/>
        </w:rPr>
        <w:t>指定专人作为项目对接人，协助</w:t>
      </w:r>
      <w:r>
        <w:rPr>
          <w:rFonts w:hint="eastAsia" w:hAnsi="宋体" w:cs="Times New Roman"/>
          <w:b w:val="0"/>
          <w:bCs w:val="0"/>
          <w:kern w:val="2"/>
          <w:sz w:val="24"/>
          <w:szCs w:val="24"/>
          <w:highlight w:val="none"/>
          <w:lang w:val="en-US" w:eastAsia="zh-CN" w:bidi="ar-SA"/>
        </w:rPr>
        <w:t>响应人</w:t>
      </w:r>
      <w:r>
        <w:rPr>
          <w:rFonts w:hint="eastAsia" w:ascii="宋体" w:hAnsi="宋体" w:eastAsia="宋体" w:cs="Times New Roman"/>
          <w:b w:val="0"/>
          <w:bCs w:val="0"/>
          <w:kern w:val="2"/>
          <w:sz w:val="24"/>
          <w:szCs w:val="24"/>
          <w:highlight w:val="none"/>
          <w:lang w:val="en-US" w:eastAsia="zh-CN" w:bidi="ar-SA"/>
        </w:rPr>
        <w:t>办理作业票、出入厂手续等前期工作。</w:t>
      </w:r>
    </w:p>
    <w:p w14:paraId="21088368">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3、</w:t>
      </w:r>
      <w:r>
        <w:rPr>
          <w:rFonts w:hint="eastAsia" w:ascii="宋体" w:hAnsi="宋体" w:eastAsia="宋体" w:cs="Times New Roman"/>
          <w:b w:val="0"/>
          <w:bCs w:val="0"/>
          <w:kern w:val="2"/>
          <w:sz w:val="24"/>
          <w:szCs w:val="24"/>
          <w:highlight w:val="none"/>
          <w:lang w:val="en-US" w:eastAsia="zh-CN" w:bidi="ar-SA"/>
        </w:rPr>
        <w:t>提供现场安装技术指导，协调解决现场技术问题。</w:t>
      </w:r>
    </w:p>
    <w:p w14:paraId="5C97F2F3">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val="0"/>
          <w:bCs w:val="0"/>
          <w:kern w:val="2"/>
          <w:sz w:val="24"/>
          <w:szCs w:val="24"/>
          <w:highlight w:val="none"/>
          <w:lang w:val="en-US" w:eastAsia="zh-CN" w:bidi="ar-SA"/>
        </w:rPr>
      </w:pPr>
      <w:r>
        <w:rPr>
          <w:rFonts w:hint="eastAsia" w:hAnsi="宋体" w:cs="Times New Roman"/>
          <w:b w:val="0"/>
          <w:bCs w:val="0"/>
          <w:kern w:val="2"/>
          <w:sz w:val="24"/>
          <w:szCs w:val="24"/>
          <w:highlight w:val="none"/>
          <w:lang w:val="en-US" w:eastAsia="zh-CN" w:bidi="ar-SA"/>
        </w:rPr>
        <w:t>4、</w:t>
      </w:r>
      <w:r>
        <w:rPr>
          <w:rFonts w:hint="eastAsia" w:ascii="宋体" w:hAnsi="宋体" w:eastAsia="宋体" w:cs="Times New Roman"/>
          <w:b w:val="0"/>
          <w:bCs w:val="0"/>
          <w:kern w:val="2"/>
          <w:sz w:val="24"/>
          <w:szCs w:val="24"/>
          <w:highlight w:val="none"/>
          <w:lang w:val="en-US" w:eastAsia="zh-CN" w:bidi="ar-SA"/>
        </w:rPr>
        <w:t>提供厂区现有DCS系统对接技术接口及基础电源条件。</w:t>
      </w:r>
    </w:p>
    <w:p w14:paraId="65C0EF35">
      <w:pPr>
        <w:numPr>
          <w:ilvl w:val="0"/>
          <w:numId w:val="9"/>
        </w:numPr>
        <w:spacing w:before="240" w:line="360" w:lineRule="auto"/>
        <w:rPr>
          <w:rFonts w:hint="eastAsia" w:ascii="黑体" w:hAnsi="黑体" w:eastAsia="黑体" w:cs="微软雅黑"/>
          <w:b/>
          <w:bCs/>
          <w:kern w:val="44"/>
          <w:sz w:val="28"/>
          <w:szCs w:val="28"/>
          <w:highlight w:val="none"/>
          <w:lang w:val="en-US" w:eastAsia="zh-CN"/>
        </w:rPr>
      </w:pPr>
      <w:r>
        <w:rPr>
          <w:rFonts w:hint="eastAsia" w:ascii="黑体" w:hAnsi="黑体" w:eastAsia="黑体" w:cs="微软雅黑"/>
          <w:b/>
          <w:bCs/>
          <w:kern w:val="44"/>
          <w:sz w:val="28"/>
          <w:szCs w:val="28"/>
          <w:highlight w:val="none"/>
          <w:lang w:val="en-US" w:eastAsia="zh-CN"/>
        </w:rPr>
        <w:t>检验、调试和性能验收试验</w:t>
      </w:r>
    </w:p>
    <w:bookmarkEnd w:id="0"/>
    <w:p w14:paraId="3B0FAC7B">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6</w:t>
      </w:r>
      <w:r>
        <w:rPr>
          <w:rFonts w:hint="eastAsia" w:ascii="宋体" w:hAnsi="宋体" w:eastAsia="宋体" w:cs="Times New Roman"/>
          <w:b/>
          <w:bCs/>
          <w:kern w:val="2"/>
          <w:sz w:val="24"/>
          <w:szCs w:val="24"/>
          <w:highlight w:val="none"/>
          <w:lang w:val="en-US" w:eastAsia="zh-CN" w:bidi="ar-SA"/>
        </w:rPr>
        <w:t>.1 储存设施验收</w:t>
      </w:r>
    </w:p>
    <w:p w14:paraId="4F0FBB49">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1、</w:t>
      </w:r>
      <w:r>
        <w:rPr>
          <w:rFonts w:hint="eastAsia" w:ascii="宋体" w:hAnsi="宋体" w:eastAsia="宋体" w:cs="Times New Roman"/>
          <w:kern w:val="2"/>
          <w:sz w:val="24"/>
          <w:szCs w:val="24"/>
          <w:highlight w:val="none"/>
          <w:lang w:val="en-US" w:eastAsia="zh-CN" w:bidi="ar-SA"/>
        </w:rPr>
        <w:t>储存设施有效容积、管路布局、设备功能须满足满负荷3天以上用量要求，完整实现卸料、储料、转料功能，无跑冒滴漏。</w:t>
      </w:r>
    </w:p>
    <w:p w14:paraId="3773088C">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2、</w:t>
      </w:r>
      <w:r>
        <w:rPr>
          <w:rFonts w:hint="eastAsia" w:ascii="宋体" w:hAnsi="宋体" w:eastAsia="宋体" w:cs="Times New Roman"/>
          <w:kern w:val="2"/>
          <w:sz w:val="24"/>
          <w:szCs w:val="24"/>
          <w:highlight w:val="none"/>
          <w:lang w:val="en-US" w:eastAsia="zh-CN" w:bidi="ar-SA"/>
        </w:rPr>
        <w:t>整套设备成功接入采购人DCS系统，远程自动控制、就地手动控制功能运行正常，计量数据精准无偏差</w:t>
      </w:r>
      <w:r>
        <w:rPr>
          <w:rFonts w:hint="eastAsia" w:hAnsi="宋体" w:cs="Times New Roman"/>
          <w:kern w:val="2"/>
          <w:sz w:val="24"/>
          <w:szCs w:val="24"/>
          <w:highlight w:val="none"/>
          <w:lang w:val="en-US" w:eastAsia="zh-CN" w:bidi="ar-SA"/>
        </w:rPr>
        <w:t>，</w:t>
      </w:r>
      <w:r>
        <w:rPr>
          <w:rFonts w:hint="eastAsia" w:ascii="宋体" w:hAnsi="宋体" w:eastAsia="宋体" w:cs="Times New Roman"/>
          <w:kern w:val="2"/>
          <w:sz w:val="24"/>
          <w:szCs w:val="24"/>
          <w:highlight w:val="none"/>
          <w:lang w:val="en-US" w:eastAsia="zh-CN" w:bidi="ar-SA"/>
        </w:rPr>
        <w:t>视为设备验收合格。</w:t>
      </w:r>
    </w:p>
    <w:p w14:paraId="36B0E79B">
      <w:pPr>
        <w:numPr>
          <w:ilvl w:val="0"/>
          <w:numId w:val="0"/>
        </w:numPr>
        <w:spacing w:before="240" w:line="360" w:lineRule="auto"/>
        <w:rPr>
          <w:rFonts w:hint="eastAsia" w:hAnsi="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6.2 产品取样、检测与第三方复检规则</w:t>
      </w:r>
    </w:p>
    <w:p w14:paraId="4EE09822">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1、</w:t>
      </w:r>
      <w:r>
        <w:rPr>
          <w:rFonts w:hint="eastAsia" w:ascii="宋体" w:hAnsi="宋体" w:eastAsia="宋体" w:cs="Times New Roman"/>
          <w:b/>
          <w:bCs/>
          <w:kern w:val="2"/>
          <w:sz w:val="24"/>
          <w:szCs w:val="24"/>
          <w:highlight w:val="none"/>
          <w:lang w:val="en-US" w:eastAsia="zh-CN" w:bidi="ar-SA"/>
        </w:rPr>
        <w:t>取样规则：</w:t>
      </w:r>
      <w:r>
        <w:rPr>
          <w:rFonts w:hint="eastAsia" w:ascii="宋体" w:hAnsi="宋体" w:eastAsia="宋体" w:cs="Times New Roman"/>
          <w:kern w:val="2"/>
          <w:sz w:val="24"/>
          <w:szCs w:val="24"/>
          <w:highlight w:val="none"/>
          <w:lang w:val="en-US" w:eastAsia="zh-CN" w:bidi="ar-SA"/>
        </w:rPr>
        <w:t>每车到货后双方共同见证取样，可采用罐车顶部取样或卸料中段取样；每批次共留样4份，分别用于：采购人实验室自检、第三方机构检测、2份封存备样；</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拒不到场、拒绝签字，不影响取样及检测结果效力。</w:t>
      </w:r>
    </w:p>
    <w:p w14:paraId="0E5F5EC8">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2、</w:t>
      </w:r>
      <w:r>
        <w:rPr>
          <w:rFonts w:hint="eastAsia" w:ascii="宋体" w:hAnsi="宋体" w:eastAsia="宋体" w:cs="Times New Roman"/>
          <w:b/>
          <w:bCs/>
          <w:kern w:val="2"/>
          <w:sz w:val="24"/>
          <w:szCs w:val="24"/>
          <w:highlight w:val="none"/>
          <w:lang w:val="en-US" w:eastAsia="zh-CN" w:bidi="ar-SA"/>
        </w:rPr>
        <w:t>日常检测项目：</w:t>
      </w:r>
      <w:r>
        <w:rPr>
          <w:rFonts w:hint="eastAsia" w:ascii="宋体" w:hAnsi="宋体" w:eastAsia="宋体" w:cs="Times New Roman"/>
          <w:kern w:val="2"/>
          <w:sz w:val="24"/>
          <w:szCs w:val="24"/>
          <w:highlight w:val="none"/>
          <w:lang w:val="en-US" w:eastAsia="zh-CN" w:bidi="ar-SA"/>
        </w:rPr>
        <w:t>每车次必检 Ca (OH)₂含量、pH 值；盐酸不溶物、粒度、铁、氧化镁指标不定期抽检。</w:t>
      </w:r>
    </w:p>
    <w:p w14:paraId="5730823A">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3、</w:t>
      </w:r>
      <w:r>
        <w:rPr>
          <w:rFonts w:hint="eastAsia" w:ascii="宋体" w:hAnsi="宋体" w:eastAsia="宋体" w:cs="Times New Roman"/>
          <w:b/>
          <w:bCs/>
          <w:kern w:val="2"/>
          <w:sz w:val="24"/>
          <w:szCs w:val="24"/>
          <w:highlight w:val="none"/>
          <w:lang w:val="en-US" w:eastAsia="zh-CN" w:bidi="ar-SA"/>
        </w:rPr>
        <w:t>常态化第三方抽检：</w:t>
      </w:r>
      <w:r>
        <w:rPr>
          <w:rFonts w:hint="eastAsia" w:ascii="宋体" w:hAnsi="宋体" w:eastAsia="宋体" w:cs="Times New Roman"/>
          <w:kern w:val="2"/>
          <w:sz w:val="24"/>
          <w:szCs w:val="24"/>
          <w:highlight w:val="none"/>
          <w:lang w:val="en-US" w:eastAsia="zh-CN" w:bidi="ar-SA"/>
        </w:rPr>
        <w:t>采购人每月随机安排</w:t>
      </w:r>
      <w:r>
        <w:rPr>
          <w:rFonts w:hint="eastAsia" w:hAnsi="宋体" w:cs="Times New Roman"/>
          <w:kern w:val="2"/>
          <w:sz w:val="24"/>
          <w:szCs w:val="24"/>
          <w:highlight w:val="none"/>
          <w:lang w:val="en-US" w:eastAsia="zh-CN" w:bidi="ar-SA"/>
        </w:rPr>
        <w:t>2</w:t>
      </w:r>
      <w:r>
        <w:rPr>
          <w:rFonts w:hint="eastAsia" w:ascii="宋体" w:hAnsi="宋体" w:eastAsia="宋体" w:cs="Times New Roman"/>
          <w:kern w:val="2"/>
          <w:sz w:val="24"/>
          <w:szCs w:val="24"/>
          <w:highlight w:val="none"/>
          <w:lang w:val="en-US" w:eastAsia="zh-CN" w:bidi="ar-SA"/>
        </w:rPr>
        <w:t>次第三方抽检，检测项目包含全部理化指标；双方提前约定3家具备CMA省级及以上计量认证资质检测机构，检测全部费用由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承担；</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拒付检测费用，采购人可直接从当期货款中扣除，付款延误责任由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自行承担；第三方合格报告为货款结算必备附件。</w:t>
      </w:r>
    </w:p>
    <w:p w14:paraId="675F2111">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4、</w:t>
      </w:r>
      <w:r>
        <w:rPr>
          <w:rFonts w:hint="eastAsia" w:ascii="宋体" w:hAnsi="宋体" w:eastAsia="宋体" w:cs="Times New Roman"/>
          <w:b/>
          <w:bCs/>
          <w:kern w:val="2"/>
          <w:sz w:val="24"/>
          <w:szCs w:val="24"/>
          <w:highlight w:val="none"/>
          <w:lang w:val="en-US" w:eastAsia="zh-CN" w:bidi="ar-SA"/>
        </w:rPr>
        <w:t>异议复检流程：</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对厂内检测结果存在异议，仅可申请1次第三方复检，复检样品仅限本次封存备样；采购人在约定机构中随机指定检测单位；</w:t>
      </w:r>
    </w:p>
    <w:p w14:paraId="2201C69A">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第三方检测合格：检测费用由采购人承担；</w:t>
      </w:r>
    </w:p>
    <w:p w14:paraId="7E268CAE">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第三方检测不合格：检测费用由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承担；</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申请复检的，两份备样任意一份检测不合格，整车判定不合格，不予结算货款。</w:t>
      </w:r>
    </w:p>
    <w:p w14:paraId="0C7BBBE3">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5、</w:t>
      </w:r>
      <w:r>
        <w:rPr>
          <w:rFonts w:hint="eastAsia" w:ascii="宋体" w:hAnsi="宋体" w:eastAsia="宋体" w:cs="Times New Roman"/>
          <w:b/>
          <w:bCs/>
          <w:kern w:val="2"/>
          <w:sz w:val="24"/>
          <w:szCs w:val="24"/>
          <w:highlight w:val="none"/>
          <w:lang w:val="en-US" w:eastAsia="zh-CN" w:bidi="ar-SA"/>
        </w:rPr>
        <w:t>采购人不定期抽检：</w:t>
      </w:r>
      <w:r>
        <w:rPr>
          <w:rFonts w:hint="eastAsia" w:ascii="宋体" w:hAnsi="宋体" w:eastAsia="宋体" w:cs="Times New Roman"/>
          <w:kern w:val="2"/>
          <w:sz w:val="24"/>
          <w:szCs w:val="24"/>
          <w:highlight w:val="none"/>
          <w:lang w:val="en-US" w:eastAsia="zh-CN" w:bidi="ar-SA"/>
        </w:rPr>
        <w:t>采购人可在合同期内无周期随机抽样送检，检测费用由采购人承担，</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须全程配合取样、封样。</w:t>
      </w:r>
    </w:p>
    <w:p w14:paraId="12D40FB8">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6、</w:t>
      </w:r>
      <w:r>
        <w:rPr>
          <w:rFonts w:hint="eastAsia" w:ascii="宋体" w:hAnsi="宋体" w:eastAsia="宋体" w:cs="Times New Roman"/>
          <w:b/>
          <w:bCs/>
          <w:kern w:val="2"/>
          <w:sz w:val="24"/>
          <w:szCs w:val="24"/>
          <w:highlight w:val="none"/>
          <w:lang w:val="en-US" w:eastAsia="zh-CN" w:bidi="ar-SA"/>
        </w:rPr>
        <w:t>检测报告判定要求：</w:t>
      </w:r>
      <w:r>
        <w:rPr>
          <w:rFonts w:hint="eastAsia" w:ascii="宋体" w:hAnsi="宋体" w:eastAsia="宋体" w:cs="Times New Roman"/>
          <w:kern w:val="2"/>
          <w:sz w:val="24"/>
          <w:szCs w:val="24"/>
          <w:highlight w:val="none"/>
          <w:lang w:val="en-US" w:eastAsia="zh-CN" w:bidi="ar-SA"/>
        </w:rPr>
        <w:t>所有第三方报告需包含样品图片、封条、执行标准、全部检测指标；第三方检测报告（含复检报告）为货款结算唯一最终判定依据。</w:t>
      </w:r>
    </w:p>
    <w:p w14:paraId="12722F24">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hAnsi="宋体" w:cs="Times New Roman"/>
          <w:b/>
          <w:bCs/>
          <w:kern w:val="2"/>
          <w:sz w:val="24"/>
          <w:szCs w:val="24"/>
          <w:highlight w:val="none"/>
          <w:lang w:val="en-US" w:eastAsia="zh-CN" w:bidi="ar-SA"/>
        </w:rPr>
      </w:pPr>
      <w:r>
        <w:rPr>
          <w:rFonts w:hint="eastAsia" w:hAnsi="宋体" w:cs="Times New Roman"/>
          <w:b/>
          <w:bCs/>
          <w:kern w:val="2"/>
          <w:sz w:val="24"/>
          <w:szCs w:val="24"/>
          <w:highlight w:val="none"/>
          <w:lang w:val="en-US" w:eastAsia="zh-CN" w:bidi="ar-SA"/>
        </w:rPr>
        <w:t>6.3 不合格产品处置与违约处罚</w:t>
      </w:r>
    </w:p>
    <w:p w14:paraId="5E2C63BD">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1、</w:t>
      </w:r>
      <w:r>
        <w:rPr>
          <w:rFonts w:hint="eastAsia" w:ascii="宋体" w:hAnsi="宋体" w:eastAsia="宋体" w:cs="Times New Roman"/>
          <w:b/>
          <w:bCs/>
          <w:kern w:val="2"/>
          <w:sz w:val="24"/>
          <w:szCs w:val="24"/>
          <w:highlight w:val="none"/>
          <w:lang w:val="en-US" w:eastAsia="zh-CN" w:bidi="ar-SA"/>
        </w:rPr>
        <w:t>单车检测不合格：</w:t>
      </w:r>
      <w:r>
        <w:rPr>
          <w:rFonts w:hint="eastAsia" w:ascii="宋体" w:hAnsi="宋体" w:eastAsia="宋体" w:cs="Times New Roman"/>
          <w:kern w:val="2"/>
          <w:sz w:val="24"/>
          <w:szCs w:val="24"/>
          <w:highlight w:val="none"/>
          <w:lang w:val="en-US" w:eastAsia="zh-CN" w:bidi="ar-SA"/>
        </w:rPr>
        <w:t>该车次货款全部不予结算，不合格货物由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自行清运，10小时内补发合格产品。</w:t>
      </w:r>
    </w:p>
    <w:p w14:paraId="44381E59">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2、</w:t>
      </w:r>
      <w:r>
        <w:rPr>
          <w:rFonts w:hint="eastAsia" w:ascii="宋体" w:hAnsi="宋体" w:eastAsia="宋体" w:cs="Times New Roman"/>
          <w:b/>
          <w:bCs/>
          <w:kern w:val="2"/>
          <w:sz w:val="24"/>
          <w:szCs w:val="24"/>
          <w:highlight w:val="none"/>
          <w:lang w:val="en-US" w:eastAsia="zh-CN" w:bidi="ar-SA"/>
        </w:rPr>
        <w:t>累计3车次或连续2车次产品检测不合格：</w:t>
      </w:r>
      <w:r>
        <w:rPr>
          <w:rFonts w:hint="eastAsia" w:ascii="宋体" w:hAnsi="宋体" w:eastAsia="宋体" w:cs="Times New Roman"/>
          <w:kern w:val="2"/>
          <w:sz w:val="24"/>
          <w:szCs w:val="24"/>
          <w:highlight w:val="none"/>
          <w:lang w:val="en-US" w:eastAsia="zh-CN" w:bidi="ar-SA"/>
        </w:rPr>
        <w:t>采购人有权单方解除供货合同，将</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列入供应商</w:t>
      </w:r>
      <w:r>
        <w:rPr>
          <w:rFonts w:hint="eastAsia" w:hAnsi="宋体" w:cs="Times New Roman"/>
          <w:kern w:val="2"/>
          <w:sz w:val="24"/>
          <w:szCs w:val="24"/>
          <w:highlight w:val="none"/>
          <w:lang w:val="en-US" w:eastAsia="zh-CN" w:bidi="ar-SA"/>
        </w:rPr>
        <w:t>黑</w:t>
      </w:r>
      <w:r>
        <w:rPr>
          <w:rFonts w:hint="eastAsia" w:ascii="宋体" w:hAnsi="宋体" w:eastAsia="宋体" w:cs="Times New Roman"/>
          <w:kern w:val="2"/>
          <w:sz w:val="24"/>
          <w:szCs w:val="24"/>
          <w:highlight w:val="none"/>
          <w:lang w:val="en-US" w:eastAsia="zh-CN" w:bidi="ar-SA"/>
        </w:rPr>
        <w:t>名单</w:t>
      </w:r>
      <w:r>
        <w:rPr>
          <w:rFonts w:hint="eastAsia" w:hAnsi="宋体" w:cs="Times New Roman"/>
          <w:kern w:val="2"/>
          <w:sz w:val="24"/>
          <w:szCs w:val="24"/>
          <w:highlight w:val="none"/>
          <w:lang w:val="en-US" w:eastAsia="zh-CN" w:bidi="ar-SA"/>
        </w:rPr>
        <w:t>。同时没收履约保证金，并要求乙方承担合同约定的全部违约责任。</w:t>
      </w:r>
    </w:p>
    <w:p w14:paraId="50C8E1EC">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kern w:val="2"/>
          <w:sz w:val="24"/>
          <w:szCs w:val="24"/>
          <w:highlight w:val="none"/>
          <w:lang w:val="en-US" w:eastAsia="zh-CN" w:bidi="ar-SA"/>
        </w:rPr>
      </w:pPr>
      <w:r>
        <w:rPr>
          <w:rFonts w:hint="eastAsia" w:hAnsi="宋体" w:cs="Times New Roman"/>
          <w:b/>
          <w:bCs/>
          <w:kern w:val="2"/>
          <w:sz w:val="24"/>
          <w:szCs w:val="24"/>
          <w:highlight w:val="none"/>
          <w:lang w:val="en-US" w:eastAsia="zh-CN" w:bidi="ar-SA"/>
        </w:rPr>
        <w:t>3、</w:t>
      </w:r>
      <w:r>
        <w:rPr>
          <w:rFonts w:hint="eastAsia" w:ascii="宋体" w:hAnsi="宋体" w:eastAsia="宋体" w:cs="Times New Roman"/>
          <w:b/>
          <w:bCs/>
          <w:kern w:val="2"/>
          <w:sz w:val="24"/>
          <w:szCs w:val="24"/>
          <w:highlight w:val="none"/>
          <w:lang w:val="en-US" w:eastAsia="zh-CN" w:bidi="ar-SA"/>
        </w:rPr>
        <w:t>环保监管追责：</w:t>
      </w:r>
      <w:r>
        <w:rPr>
          <w:rFonts w:hint="eastAsia" w:ascii="宋体" w:hAnsi="宋体" w:eastAsia="宋体" w:cs="Times New Roman"/>
          <w:kern w:val="2"/>
          <w:sz w:val="24"/>
          <w:szCs w:val="24"/>
          <w:highlight w:val="none"/>
          <w:lang w:val="en-US" w:eastAsia="zh-CN" w:bidi="ar-SA"/>
        </w:rPr>
        <w:t>因</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纳米液钙质量不达标导致烟气排放超标，被生态环境主管部门处罚采购人，全部罚款、整改费用、停产损失由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全额承担；上级环保督查抽检物料不合格产生的所有责任与损失均由</w:t>
      </w:r>
      <w:r>
        <w:rPr>
          <w:rFonts w:hint="eastAsia" w:hAnsi="宋体" w:cs="Times New Roman"/>
          <w:kern w:val="2"/>
          <w:sz w:val="24"/>
          <w:szCs w:val="24"/>
          <w:highlight w:val="none"/>
          <w:lang w:val="en-US" w:eastAsia="zh-CN" w:bidi="ar-SA"/>
        </w:rPr>
        <w:t>响应人</w:t>
      </w:r>
      <w:r>
        <w:rPr>
          <w:rFonts w:hint="eastAsia" w:ascii="宋体" w:hAnsi="宋体" w:eastAsia="宋体" w:cs="Times New Roman"/>
          <w:kern w:val="2"/>
          <w:sz w:val="24"/>
          <w:szCs w:val="24"/>
          <w:highlight w:val="none"/>
          <w:lang w:val="en-US" w:eastAsia="zh-CN" w:bidi="ar-SA"/>
        </w:rPr>
        <w:t>承担。因乙方产品质量问题导致甲方被环保部门通报、列入重点监控名单、被上级环保督查通报、被媒体曝光等，由此产生的全部罚款、整改费用、停产损失、声誉损失及甲方因此支付的其他一切费用，均由乙方全额承担。</w:t>
      </w:r>
    </w:p>
    <w:p w14:paraId="36FC707F">
      <w:pPr>
        <w:numPr>
          <w:ilvl w:val="0"/>
          <w:numId w:val="9"/>
        </w:numPr>
        <w:spacing w:before="240" w:line="360" w:lineRule="auto"/>
        <w:rPr>
          <w:rFonts w:hint="eastAsia" w:ascii="黑体" w:hAnsi="黑体" w:eastAsia="黑体" w:cs="微软雅黑"/>
          <w:b/>
          <w:bCs/>
          <w:kern w:val="44"/>
          <w:sz w:val="28"/>
          <w:szCs w:val="28"/>
          <w:highlight w:val="none"/>
          <w:lang w:val="en-US" w:eastAsia="zh-CN"/>
        </w:rPr>
      </w:pPr>
      <w:r>
        <w:rPr>
          <w:rFonts w:hint="eastAsia" w:ascii="黑体" w:hAnsi="黑体" w:eastAsia="黑体" w:cs="微软雅黑"/>
          <w:b/>
          <w:bCs/>
          <w:kern w:val="44"/>
          <w:sz w:val="28"/>
          <w:szCs w:val="28"/>
          <w:highlight w:val="none"/>
          <w:lang w:val="en-US" w:eastAsia="zh-CN"/>
        </w:rPr>
        <w:t>其他约定</w:t>
      </w:r>
    </w:p>
    <w:p w14:paraId="3946B76F">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hAnsi="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1、本需求书为采购最低技术标准，响应人技术方案、产品参数不得低于本文件要求；响应文件承诺优于本文件标准的，以响应承诺作为履约验收依据；</w:t>
      </w:r>
    </w:p>
    <w:p w14:paraId="3B2A8269">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hAnsi="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2、响应人应对本技术需求书及在履行本合同过程中知悉的甲方所有技术信息、工艺参数、设备配置、运行数据等商业秘密承担保密义务，不得向任何第三方泄露，不得用于本合同以外的任何目的。违反上述约定的，响应人应赔偿甲方全部损失，并支付合同暂定总价10% 的违约金。响应人保证其提供的产品及配套设备不侵犯任何第三方的知识产权。如因响应人提供的产品及设备侵犯第三方知识产权导致甲方被索赔或诉讼的，响应人应承担全部法律责任，并赔偿甲方全部损失（包括但不限于赔偿第三方的费用、诉讼费、律师费、和解金等）。</w:t>
      </w:r>
    </w:p>
    <w:p w14:paraId="18499BF9">
      <w:pPr>
        <w:keepNext w:val="0"/>
        <w:keepLines w:val="0"/>
        <w:widowControl w:val="0"/>
        <w:numPr>
          <w:ilvl w:val="0"/>
          <w:numId w:val="0"/>
        </w:numPr>
        <w:suppressLineNumbers w:val="0"/>
        <w:tabs>
          <w:tab w:val="left" w:pos="709"/>
        </w:tabs>
        <w:spacing w:before="0" w:beforeLines="0" w:beforeAutospacing="0" w:after="0" w:afterLines="50" w:afterAutospacing="0" w:line="360" w:lineRule="auto"/>
        <w:ind w:leftChars="0" w:right="0" w:rightChars="0"/>
        <w:contextualSpacing/>
        <w:jc w:val="left"/>
        <w:rPr>
          <w:rFonts w:hint="eastAsia" w:ascii="宋体" w:hAnsi="宋体" w:eastAsia="宋体" w:cs="Times New Roman"/>
          <w:bCs/>
          <w:kern w:val="2"/>
          <w:sz w:val="24"/>
          <w:szCs w:val="24"/>
          <w:highlight w:val="none"/>
          <w:lang w:val="en-US" w:eastAsia="zh-CN" w:bidi="ar-SA"/>
        </w:rPr>
      </w:pPr>
      <w:r>
        <w:rPr>
          <w:rFonts w:hint="eastAsia" w:hAnsi="宋体" w:cs="Times New Roman"/>
          <w:kern w:val="2"/>
          <w:sz w:val="24"/>
          <w:szCs w:val="24"/>
          <w:highlight w:val="none"/>
          <w:lang w:val="en-US" w:eastAsia="zh-CN" w:bidi="ar-SA"/>
        </w:rPr>
        <w:t>3、本技术需求书作为《东莞市海心沙资源综合利用中心环保热电厂2026年度纳米液钙采购项目合同》的附件一，与主合同具有同等法律效力。</w:t>
      </w:r>
      <w:r>
        <w:rPr>
          <w:rFonts w:hint="eastAsia" w:ascii="宋体" w:hAnsi="宋体" w:eastAsia="宋体" w:cs="Times New Roman"/>
          <w:kern w:val="2"/>
          <w:sz w:val="24"/>
          <w:szCs w:val="24"/>
          <w:highlight w:val="none"/>
          <w:lang w:val="en-US" w:eastAsia="zh-CN" w:bidi="ar-SA"/>
        </w:rPr>
        <w:t>本需求书与正式采购合同条款不一致的，以对甲方更为有利的条款为准。</w:t>
      </w:r>
    </w:p>
    <w:sectPr>
      <w:footerReference r:id="rId4" w:type="first"/>
      <w:footerReference r:id="rId3" w:type="default"/>
      <w:pgSz w:w="11915" w:h="16840"/>
      <w:pgMar w:top="1157" w:right="1134" w:bottom="1157" w:left="1134" w:header="737" w:footer="624"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2010600030101010101"/>
    <w:charset w:val="7A"/>
    <w:family w:val="auto"/>
    <w:pitch w:val="default"/>
    <w:sig w:usb0="00000000" w:usb1="00000000" w:usb2="00000006" w:usb3="00000000" w:csb0="00040001"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FTToken">
    <w:panose1 w:val="05000000000000000000"/>
    <w:charset w:val="00"/>
    <w:family w:val="auto"/>
    <w:pitch w:val="default"/>
    <w:sig w:usb0="00000000" w:usb1="1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A00F9EE" w:usb2="02000008" w:usb3="00000000" w:csb0="60000193" w:csb1="0DD40000"/>
  </w:font>
  <w:font w:name="Cambria">
    <w:altName w:val="FT KliphSerif"/>
    <w:panose1 w:val="02040503050406030204"/>
    <w:charset w:val="00"/>
    <w:family w:val="roman"/>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
    <w:altName w:val="鸿蒙黑体"/>
    <w:panose1 w:val="00000000000000000000"/>
    <w:charset w:val="86"/>
    <w:family w:val="auto"/>
    <w:pitch w:val="default"/>
    <w:sig w:usb0="00000000" w:usb1="00000000" w:usb2="00000010" w:usb3="00000000" w:csb0="00040000" w:csb1="00000000"/>
  </w:font>
  <w:font w:name="鸿蒙黑体">
    <w:panose1 w:val="00000500000000000000"/>
    <w:charset w:val="86"/>
    <w:family w:val="auto"/>
    <w:pitch w:val="default"/>
    <w:sig w:usb0="A00002BF" w:usb1="18EF7CFA" w:usb2="00000016" w:usb3="00000000" w:csb0="00040001" w:csb1="00000000"/>
  </w:font>
  <w:font w:name="楷体_GB2312">
    <w:altName w:val="楷体-简"/>
    <w:panose1 w:val="02010609030101010101"/>
    <w:charset w:val="86"/>
    <w:family w:val="modern"/>
    <w:pitch w:val="default"/>
    <w:sig w:usb0="00000000" w:usb1="00000000" w:usb2="00000000" w:usb3="00000000" w:csb0="00040000" w:csb1="00000000"/>
  </w:font>
  <w:font w:name="楷体-简">
    <w:panose1 w:val="02010609060101010101"/>
    <w:charset w:val="86"/>
    <w:family w:val="auto"/>
    <w:pitch w:val="default"/>
    <w:sig w:usb0="A00002BF" w:usb1="3ACF7CFA" w:usb2="00000016" w:usb3="00000000" w:csb0="00040001" w:csb1="00000000"/>
  </w:font>
  <w:font w:name="华文宋体">
    <w:altName w:val="书宋-简"/>
    <w:panose1 w:val="02010600040101010101"/>
    <w:charset w:val="86"/>
    <w:family w:val="auto"/>
    <w:pitch w:val="default"/>
    <w:sig w:usb0="00000000" w:usb1="00000000" w:usb2="00000000" w:usb3="00000000" w:csb0="0004009F" w:csb1="DFD70000"/>
  </w:font>
  <w:font w:name="Futura Bk">
    <w:altName w:val="FT EliraSans"/>
    <w:panose1 w:val="00000000000000000000"/>
    <w:charset w:val="00"/>
    <w:family w:val="swiss"/>
    <w:pitch w:val="default"/>
    <w:sig w:usb0="00000000" w:usb1="00000000" w:usb2="00000000" w:usb3="00000000" w:csb0="0000009F" w:csb1="00000000"/>
  </w:font>
  <w:font w:name="FT EliraSans">
    <w:panose1 w:val="00000500000000000000"/>
    <w:charset w:val="00"/>
    <w:family w:val="auto"/>
    <w:pitch w:val="default"/>
    <w:sig w:usb0="80000003" w:usb1="00000000" w:usb2="00000000" w:usb3="00000000" w:csb0="0000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仿宋">
    <w:altName w:val="仿宋-简"/>
    <w:panose1 w:val="02010609060101010101"/>
    <w:charset w:val="86"/>
    <w:family w:val="modern"/>
    <w:pitch w:val="default"/>
    <w:sig w:usb0="00000000" w:usb1="00000000" w:usb2="00000016" w:usb3="00000000" w:csb0="00040001" w:csb1="0000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方正书宋_GBK">
    <w:altName w:val="书宋-简"/>
    <w:panose1 w:val="02000000000000000000"/>
    <w:charset w:val="86"/>
    <w:family w:val="script"/>
    <w:pitch w:val="default"/>
    <w:sig w:usb0="00000000" w:usb1="00000000" w:usb2="00082016" w:usb3="00000000" w:csb0="00040001" w:csb1="00000000"/>
  </w:font>
  <w:font w:name="微软雅黑">
    <w:altName w:val="方正雅意黑 GB18030L2 R"/>
    <w:panose1 w:val="020B0503020204020204"/>
    <w:charset w:val="86"/>
    <w:family w:val="swiss"/>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新宋体">
    <w:altName w:val="书宋-简"/>
    <w:panose1 w:val="02010609030101010101"/>
    <w:charset w:val="86"/>
    <w:family w:val="modern"/>
    <w:pitch w:val="default"/>
    <w:sig w:usb0="00000000" w:usb1="00000000" w:usb2="00000006" w:usb3="00000000" w:csb0="00040001" w:csb1="00000000"/>
  </w:font>
  <w:font w:name="长城仿宋">
    <w:altName w:val="仿宋-简"/>
    <w:panose1 w:val="00000000000000000000"/>
    <w:charset w:val="86"/>
    <w:family w:val="modern"/>
    <w:pitch w:val="default"/>
    <w:sig w:usb0="00000000" w:usb1="00000000" w:usb2="00000010" w:usb3="00000000" w:csb0="00040000" w:csb1="00000000"/>
  </w:font>
  <w:font w:name="Century">
    <w:altName w:val="FT Thymes"/>
    <w:panose1 w:val="02040604050505020304"/>
    <w:charset w:val="00"/>
    <w:family w:val="roman"/>
    <w:pitch w:val="default"/>
    <w:sig w:usb0="00000000" w:usb1="00000000" w:usb2="00000000" w:usb3="00000000" w:csb0="2000009F" w:csb1="DFD70000"/>
  </w:font>
  <w:font w:name="MS Mincho">
    <w:altName w:val="书宋-简"/>
    <w:panose1 w:val="02020609040205080304"/>
    <w:charset w:val="80"/>
    <w:family w:val="roman"/>
    <w:pitch w:val="default"/>
    <w:sig w:usb0="00000000" w:usb1="00000000" w:usb2="00000012" w:usb3="00000000" w:csb0="4002009F" w:csb1="DFD70000"/>
  </w:font>
  <w:font w:name="Yu Gothic UI">
    <w:altName w:val="书宋-简"/>
    <w:panose1 w:val="020B0500000000000000"/>
    <w:charset w:val="80"/>
    <w:family w:val="auto"/>
    <w:pitch w:val="default"/>
    <w:sig w:usb0="00000000" w:usb1="00000000" w:usb2="00000016" w:usb3="00000000" w:csb0="2002009F" w:csb1="00000000"/>
  </w:font>
  <w:font w:name="等线">
    <w:altName w:val="方正等线-简"/>
    <w:panose1 w:val="02010600030101010101"/>
    <w:charset w:val="86"/>
    <w:family w:val="auto"/>
    <w:pitch w:val="default"/>
    <w:sig w:usb0="00000000" w:usb1="00000000" w:usb2="00000016" w:usb3="00000000" w:csb0="0004000F" w:csb1="00000000"/>
  </w:font>
  <w:font w:name="方正等线-简">
    <w:panose1 w:val="02000500000000000000"/>
    <w:charset w:val="86"/>
    <w:family w:val="auto"/>
    <w:pitch w:val="default"/>
    <w:sig w:usb0="A10102FF" w:usb1="38CF7CFB" w:usb2="0001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6B275">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1905" t="0" r="0" b="0"/>
              <wp:wrapNone/>
              <wp:docPr id="2"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wps:spPr>
                    <wps:txbx>
                      <w:txbxContent>
                        <w:p w14:paraId="28C27577">
                          <w:pPr>
                            <w:pStyle w:val="2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12"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6W/D9EAAAADAQAADwAAAAAAAAABACAAAAAiAAAAZHJz&#10;L2Rvd25yZXYueG1sUEsBAhQAFAAAAAgAh07iQDZ9ebILAgAAAwQAAA4AAAAAAAAAAQAgAAAAIAEA&#10;AGRycy9lMm9Eb2MueG1sUEsFBgAAAAAGAAYAWQEAAJ0FAAAAAA==&#10;">
              <v:fill on="f" focussize="0,0"/>
              <v:stroke on="f"/>
              <v:imagedata o:title=""/>
              <o:lock v:ext="edit" aspectratio="f"/>
              <v:textbox inset="0mm,0mm,0mm,0mm" style="mso-fit-shape-to-text:t;">
                <w:txbxContent>
                  <w:p w14:paraId="28C2757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C1271">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0476B0CF">
                          <w:pPr>
                            <w:pStyle w:val="28"/>
                          </w:pPr>
                          <w:r>
                            <w:fldChar w:fldCharType="begin"/>
                          </w:r>
                          <w:r>
                            <w:instrText xml:space="preserve"> PAGE  \* MERGEFORMAT </w:instrText>
                          </w:r>
                          <w:r>
                            <w:fldChar w:fldCharType="separate"/>
                          </w:r>
                          <w:r>
                            <w:t>27</w:t>
                          </w:r>
                          <w:r>
                            <w:fldChar w:fldCharType="end"/>
                          </w:r>
                        </w:p>
                      </w:txbxContent>
                    </wps:txbx>
                    <wps:bodyPr rot="0" vert="horz" wrap="none" lIns="0" tIns="0" rIns="0" bIns="0" anchor="t" anchorCtr="0" upright="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ql5uc8AAAAFAQAADwAAAAAAAAABACAAAAAiAAAAZHJzL2Rvd25yZXYu&#10;eG1sUEsBAhQAFAAAAAgAh07iQJWvYc0EAgAABQQAAA4AAAAAAAAAAQAgAAAAHgEAAGRycy9lMm9E&#10;b2MueG1sUEsFBgAAAAAGAAYAWQEAAJQFAAAAAA==&#10;">
              <v:fill on="f" focussize="0,0"/>
              <v:stroke on="f"/>
              <v:imagedata o:title=""/>
              <o:lock v:ext="edit" aspectratio="f"/>
              <v:textbox inset="0mm,0mm,0mm,0mm" style="mso-fit-shape-to-text:t;">
                <w:txbxContent>
                  <w:p w14:paraId="0476B0CF">
                    <w:pPr>
                      <w:pStyle w:val="2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lvlText w:val="%1"/>
      <w:lvlJc w:val="left"/>
      <w:pPr>
        <w:tabs>
          <w:tab w:val="left" w:pos="432"/>
        </w:tabs>
        <w:ind w:left="432" w:hanging="632"/>
      </w:pPr>
      <w:rPr>
        <w:rFonts w:hint="default" w:ascii="Times New Roman" w:hAnsi="Times New Roman" w:eastAsia="宋体"/>
        <w:b/>
        <w:i w:val="0"/>
        <w:spacing w:val="8"/>
        <w:w w:val="100"/>
        <w:sz w:val="32"/>
        <w:szCs w:val="32"/>
      </w:rPr>
    </w:lvl>
    <w:lvl w:ilvl="1" w:tentative="0">
      <w:start w:val="1"/>
      <w:numFmt w:val="decimal"/>
      <w:lvlText w:val="%1.%2"/>
      <w:lvlJc w:val="left"/>
      <w:pPr>
        <w:tabs>
          <w:tab w:val="left" w:pos="431"/>
        </w:tabs>
        <w:ind w:left="431" w:hanging="431"/>
      </w:pPr>
      <w:rPr>
        <w:rFonts w:hint="default" w:ascii="Times New Roman" w:hAnsi="Times New Roman" w:eastAsia="宋体"/>
        <w:b/>
        <w:i w:val="0"/>
        <w:sz w:val="24"/>
        <w:szCs w:val="24"/>
      </w:rPr>
    </w:lvl>
    <w:lvl w:ilvl="2" w:tentative="0">
      <w:start w:val="1"/>
      <w:numFmt w:val="decimal"/>
      <w:pStyle w:val="122"/>
      <w:lvlText w:val="%1.%2.%3"/>
      <w:lvlJc w:val="left"/>
      <w:pPr>
        <w:tabs>
          <w:tab w:val="left" w:pos="833"/>
        </w:tabs>
        <w:ind w:left="833" w:hanging="833"/>
      </w:pPr>
      <w:rPr>
        <w:rFonts w:hint="default" w:ascii="Times New Roman" w:hAnsi="Times New Roman" w:eastAsia="宋体"/>
        <w:b/>
        <w:i w:val="0"/>
        <w:sz w:val="24"/>
        <w:szCs w:val="24"/>
      </w:rPr>
    </w:lvl>
    <w:lvl w:ilvl="3" w:tentative="0">
      <w:start w:val="1"/>
      <w:numFmt w:val="decimal"/>
      <w:lvlText w:val="%1.%2.%3.%4"/>
      <w:lvlJc w:val="left"/>
      <w:pPr>
        <w:tabs>
          <w:tab w:val="left" w:pos="0"/>
        </w:tabs>
        <w:ind w:left="0" w:firstLine="0"/>
      </w:pPr>
      <w:rPr>
        <w:rFonts w:hint="default" w:ascii="Times New Roman" w:hAnsi="Times New Roman" w:eastAsia="宋体"/>
        <w:sz w:val="24"/>
        <w:szCs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0ED47B7B"/>
    <w:multiLevelType w:val="multilevel"/>
    <w:tmpl w:val="0ED47B7B"/>
    <w:lvl w:ilvl="0" w:tentative="0">
      <w:start w:val="1"/>
      <w:numFmt w:val="decimal"/>
      <w:lvlText w:val="第%1章"/>
      <w:lvlJc w:val="left"/>
      <w:pPr>
        <w:ind w:left="420" w:hanging="420"/>
      </w:pPr>
      <w:rPr>
        <w:rFonts w:hint="eastAsia"/>
      </w:rPr>
    </w:lvl>
    <w:lvl w:ilvl="1" w:tentative="0">
      <w:start w:val="1"/>
      <w:numFmt w:val="decimal"/>
      <w:pStyle w:val="130"/>
      <w:suff w:val="space"/>
      <w:lvlText w:val="%1.%2."/>
      <w:lvlJc w:val="left"/>
      <w:pPr>
        <w:ind w:left="1994" w:hanging="576"/>
      </w:pPr>
      <w:rPr>
        <w:rFonts w:hint="eastAsia"/>
      </w:rPr>
    </w:lvl>
    <w:lvl w:ilvl="2" w:tentative="0">
      <w:start w:val="1"/>
      <w:numFmt w:val="decimal"/>
      <w:suff w:val="space"/>
      <w:lvlText w:val="%1.%2.%3."/>
      <w:lvlJc w:val="left"/>
      <w:pPr>
        <w:ind w:left="720" w:hanging="720"/>
      </w:pPr>
      <w:rPr>
        <w:rFonts w:hint="eastAsia"/>
      </w:rPr>
    </w:lvl>
    <w:lvl w:ilvl="3" w:tentative="0">
      <w:start w:val="1"/>
      <w:numFmt w:val="decimal"/>
      <w:suff w:val="space"/>
      <w:lvlText w:val="%1.%2.%3.%4."/>
      <w:lvlJc w:val="left"/>
      <w:pPr>
        <w:ind w:left="864" w:hanging="864"/>
      </w:pPr>
      <w:rPr>
        <w:rFonts w:hint="eastAsia"/>
        <w:sz w:val="24"/>
        <w:szCs w:val="24"/>
      </w:rPr>
    </w:lvl>
    <w:lvl w:ilvl="4" w:tentative="0">
      <w:start w:val="1"/>
      <w:numFmt w:val="decimal"/>
      <w:suff w:val="space"/>
      <w:lvlText w:val="%1.%2.%3.%4.%5."/>
      <w:lvlJc w:val="left"/>
      <w:pPr>
        <w:ind w:left="1008" w:hanging="1008"/>
      </w:pPr>
      <w:rPr>
        <w:rFonts w:hint="eastAsia"/>
      </w:rPr>
    </w:lvl>
    <w:lvl w:ilvl="5" w:tentative="0">
      <w:start w:val="1"/>
      <w:numFmt w:val="decimal"/>
      <w:suff w:val="space"/>
      <w:lvlText w:val="%1.%2.%3.%4.%5.%6."/>
      <w:lvlJc w:val="left"/>
      <w:pPr>
        <w:ind w:left="1152" w:hanging="1152"/>
      </w:pPr>
      <w:rPr>
        <w:rFonts w:hint="eastAsia"/>
      </w:rPr>
    </w:lvl>
    <w:lvl w:ilvl="6" w:tentative="0">
      <w:start w:val="1"/>
      <w:numFmt w:val="decimal"/>
      <w:suff w:val="space"/>
      <w:lvlText w:val="%1.%2.%3.%4.%5.%6.%7."/>
      <w:lvlJc w:val="left"/>
      <w:pPr>
        <w:ind w:left="1296" w:hanging="1296"/>
      </w:pPr>
      <w:rPr>
        <w:rFonts w:hint="eastAsia"/>
      </w:rPr>
    </w:lvl>
    <w:lvl w:ilvl="7" w:tentative="0">
      <w:start w:val="1"/>
      <w:numFmt w:val="decimal"/>
      <w:suff w:val="space"/>
      <w:lvlText w:val="%1.%2.%3.%4.%5.%6.%7.%8."/>
      <w:lvlJc w:val="left"/>
      <w:pPr>
        <w:ind w:left="1440" w:hanging="1440"/>
      </w:pPr>
      <w:rPr>
        <w:rFonts w:hint="eastAsia"/>
      </w:rPr>
    </w:lvl>
    <w:lvl w:ilvl="8" w:tentative="0">
      <w:start w:val="1"/>
      <w:numFmt w:val="decimal"/>
      <w:suff w:val="space"/>
      <w:lvlText w:val="%1.%2.%3.%4.%5.%6.%7.%8.%9."/>
      <w:lvlJc w:val="left"/>
      <w:pPr>
        <w:ind w:left="1584" w:hanging="1584"/>
      </w:pPr>
      <w:rPr>
        <w:rFonts w:hint="eastAsia"/>
      </w:rPr>
    </w:lvl>
  </w:abstractNum>
  <w:abstractNum w:abstractNumId="2">
    <w:nsid w:val="2125525A"/>
    <w:multiLevelType w:val="singleLevel"/>
    <w:tmpl w:val="2125525A"/>
    <w:lvl w:ilvl="0" w:tentative="0">
      <w:start w:val="1"/>
      <w:numFmt w:val="decimal"/>
      <w:pStyle w:val="117"/>
      <w:lvlText w:val="（%1）"/>
      <w:lvlJc w:val="left"/>
      <w:pPr>
        <w:tabs>
          <w:tab w:val="left" w:pos="1275"/>
        </w:tabs>
        <w:ind w:left="1275" w:hanging="705"/>
      </w:pPr>
      <w:rPr>
        <w:rFonts w:hint="eastAsia"/>
      </w:rPr>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41772B59"/>
    <w:multiLevelType w:val="multilevel"/>
    <w:tmpl w:val="41772B59"/>
    <w:lvl w:ilvl="0" w:tentative="0">
      <w:start w:val="1"/>
      <w:numFmt w:val="bullet"/>
      <w:pStyle w:val="125"/>
      <w:lvlText w:val=""/>
      <w:lvlJc w:val="left"/>
      <w:pPr>
        <w:tabs>
          <w:tab w:val="left" w:pos="840"/>
        </w:tabs>
        <w:ind w:left="840" w:hanging="420"/>
      </w:pPr>
      <w:rPr>
        <w:rFonts w:hint="default" w:ascii="Wingdings" w:hAnsi="Wingdings" w:cs="Wingdings"/>
        <w:color w:val="000000"/>
      </w:rPr>
    </w:lvl>
    <w:lvl w:ilvl="1" w:tentative="0">
      <w:start w:val="1"/>
      <w:numFmt w:val="bullet"/>
      <w:lvlText w:val=""/>
      <w:lvlJc w:val="left"/>
      <w:pPr>
        <w:tabs>
          <w:tab w:val="left" w:pos="1260"/>
        </w:tabs>
        <w:ind w:left="1260" w:hanging="420"/>
      </w:pPr>
      <w:rPr>
        <w:rFonts w:hint="default" w:ascii="Wingdings" w:hAnsi="Wingdings" w:cs="Wingdings"/>
      </w:rPr>
    </w:lvl>
    <w:lvl w:ilvl="2" w:tentative="0">
      <w:start w:val="1"/>
      <w:numFmt w:val="bullet"/>
      <w:lvlText w:val=""/>
      <w:lvlJc w:val="left"/>
      <w:pPr>
        <w:tabs>
          <w:tab w:val="left" w:pos="1680"/>
        </w:tabs>
        <w:ind w:left="1680" w:hanging="420"/>
      </w:pPr>
      <w:rPr>
        <w:rFonts w:hint="default" w:ascii="Wingdings" w:hAnsi="Wingdings" w:cs="Wingdings"/>
      </w:rPr>
    </w:lvl>
    <w:lvl w:ilvl="3" w:tentative="0">
      <w:start w:val="1"/>
      <w:numFmt w:val="bullet"/>
      <w:lvlText w:val=""/>
      <w:lvlJc w:val="left"/>
      <w:pPr>
        <w:tabs>
          <w:tab w:val="left" w:pos="2100"/>
        </w:tabs>
        <w:ind w:left="2100" w:hanging="420"/>
      </w:pPr>
      <w:rPr>
        <w:rFonts w:hint="default" w:ascii="Wingdings" w:hAnsi="Wingdings" w:cs="Wingdings"/>
      </w:rPr>
    </w:lvl>
    <w:lvl w:ilvl="4" w:tentative="0">
      <w:start w:val="1"/>
      <w:numFmt w:val="bullet"/>
      <w:lvlText w:val=""/>
      <w:lvlJc w:val="left"/>
      <w:pPr>
        <w:tabs>
          <w:tab w:val="left" w:pos="2520"/>
        </w:tabs>
        <w:ind w:left="2520" w:hanging="420"/>
      </w:pPr>
      <w:rPr>
        <w:rFonts w:hint="default" w:ascii="Wingdings" w:hAnsi="Wingdings" w:cs="Wingdings"/>
      </w:rPr>
    </w:lvl>
    <w:lvl w:ilvl="5" w:tentative="0">
      <w:start w:val="1"/>
      <w:numFmt w:val="bullet"/>
      <w:lvlText w:val=""/>
      <w:lvlJc w:val="left"/>
      <w:pPr>
        <w:tabs>
          <w:tab w:val="left" w:pos="2940"/>
        </w:tabs>
        <w:ind w:left="2940" w:hanging="420"/>
      </w:pPr>
      <w:rPr>
        <w:rFonts w:hint="default" w:ascii="Wingdings" w:hAnsi="Wingdings" w:cs="Wingdings"/>
      </w:rPr>
    </w:lvl>
    <w:lvl w:ilvl="6" w:tentative="0">
      <w:start w:val="1"/>
      <w:numFmt w:val="bullet"/>
      <w:lvlText w:val=""/>
      <w:lvlJc w:val="left"/>
      <w:pPr>
        <w:tabs>
          <w:tab w:val="left" w:pos="3360"/>
        </w:tabs>
        <w:ind w:left="3360" w:hanging="420"/>
      </w:pPr>
      <w:rPr>
        <w:rFonts w:hint="default" w:ascii="Wingdings" w:hAnsi="Wingdings" w:cs="Wingdings"/>
      </w:rPr>
    </w:lvl>
    <w:lvl w:ilvl="7" w:tentative="0">
      <w:start w:val="1"/>
      <w:numFmt w:val="bullet"/>
      <w:lvlText w:val=""/>
      <w:lvlJc w:val="left"/>
      <w:pPr>
        <w:tabs>
          <w:tab w:val="left" w:pos="3780"/>
        </w:tabs>
        <w:ind w:left="3780" w:hanging="420"/>
      </w:pPr>
      <w:rPr>
        <w:rFonts w:hint="default" w:ascii="Wingdings" w:hAnsi="Wingdings" w:cs="Wingdings"/>
      </w:rPr>
    </w:lvl>
    <w:lvl w:ilvl="8" w:tentative="0">
      <w:start w:val="1"/>
      <w:numFmt w:val="bullet"/>
      <w:lvlText w:val=""/>
      <w:lvlJc w:val="left"/>
      <w:pPr>
        <w:tabs>
          <w:tab w:val="left" w:pos="4200"/>
        </w:tabs>
        <w:ind w:left="4200" w:hanging="420"/>
      </w:pPr>
      <w:rPr>
        <w:rFonts w:hint="default" w:ascii="Wingdings" w:hAnsi="Wingdings" w:cs="Wingdings"/>
      </w:rPr>
    </w:lvl>
  </w:abstractNum>
  <w:abstractNum w:abstractNumId="5">
    <w:nsid w:val="4CA75A52"/>
    <w:multiLevelType w:val="multilevel"/>
    <w:tmpl w:val="4CA75A52"/>
    <w:lvl w:ilvl="0" w:tentative="0">
      <w:start w:val="1"/>
      <w:numFmt w:val="decimal"/>
      <w:pStyle w:val="172"/>
      <w:lvlText w:val="%1)"/>
      <w:lvlJc w:val="left"/>
      <w:pPr>
        <w:ind w:left="2127" w:firstLine="0"/>
      </w:pPr>
      <w:rPr>
        <w:rFonts w:hint="eastAsia"/>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6">
    <w:nsid w:val="56FB16F3"/>
    <w:multiLevelType w:val="multilevel"/>
    <w:tmpl w:val="56FB16F3"/>
    <w:lvl w:ilvl="0" w:tentative="0">
      <w:start w:val="1"/>
      <w:numFmt w:val="decimal"/>
      <w:pStyle w:val="133"/>
      <w:lvlText w:val="%1"/>
      <w:lvlJc w:val="left"/>
      <w:pPr>
        <w:tabs>
          <w:tab w:val="left" w:pos="432"/>
        </w:tabs>
        <w:ind w:left="432" w:hanging="432"/>
      </w:pPr>
    </w:lvl>
    <w:lvl w:ilvl="1" w:tentative="0">
      <w:start w:val="1"/>
      <w:numFmt w:val="decimal"/>
      <w:pStyle w:val="135"/>
      <w:lvlText w:val="%1.%2"/>
      <w:lvlJc w:val="left"/>
      <w:pPr>
        <w:tabs>
          <w:tab w:val="left" w:pos="576"/>
        </w:tabs>
        <w:ind w:left="576" w:hanging="576"/>
      </w:pPr>
    </w:lvl>
    <w:lvl w:ilvl="2" w:tentative="0">
      <w:start w:val="1"/>
      <w:numFmt w:val="decimal"/>
      <w:pStyle w:val="5"/>
      <w:lvlText w:val="%1.%2.%3"/>
      <w:lvlJc w:val="left"/>
      <w:pPr>
        <w:tabs>
          <w:tab w:val="left" w:pos="720"/>
        </w:tabs>
        <w:ind w:left="72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7">
    <w:nsid w:val="5C206524"/>
    <w:multiLevelType w:val="multilevel"/>
    <w:tmpl w:val="5C206524"/>
    <w:lvl w:ilvl="0" w:tentative="0">
      <w:start w:val="4"/>
      <w:numFmt w:val="chineseCounting"/>
      <w:suff w:val="nothing"/>
      <w:lvlText w:val="%1、"/>
      <w:lvlJc w:val="left"/>
      <w:rPr>
        <w:rFonts w:hint="eastAsia"/>
      </w:rPr>
    </w:lvl>
    <w:lvl w:ilvl="1" w:tentative="0">
      <w:start w:val="1"/>
      <w:numFmt w:val="chineseCounting"/>
      <w:suff w:val="nothing"/>
      <w:lvlText w:val="（%2）"/>
      <w:lvlJc w:val="left"/>
      <w:rPr>
        <w:rFonts w:hint="default"/>
      </w:rPr>
    </w:lvl>
    <w:lvl w:ilvl="2" w:tentative="0">
      <w:start w:val="1"/>
      <w:numFmt w:val="decimal"/>
      <w:suff w:val="nothing"/>
      <w:lvlText w:val="%3．"/>
      <w:lvlJc w:val="left"/>
      <w:rPr>
        <w:rFonts w:hint="default"/>
      </w:rPr>
    </w:lvl>
    <w:lvl w:ilvl="3" w:tentative="0">
      <w:start w:val="1"/>
      <w:numFmt w:val="decimal"/>
      <w:suff w:val="nothing"/>
      <w:lvlText w:val="（%4）"/>
      <w:lvlJc w:val="left"/>
      <w:rPr>
        <w:rFonts w:hint="default"/>
      </w:rPr>
    </w:lvl>
    <w:lvl w:ilvl="4" w:tentative="0">
      <w:start w:val="1"/>
      <w:numFmt w:val="decimalEnclosedCircleChinese"/>
      <w:suff w:val="nothing"/>
      <w:lvlText w:val="%5"/>
      <w:lvlJc w:val="left"/>
      <w:rPr>
        <w:rFonts w:hint="default"/>
      </w:rPr>
    </w:lvl>
    <w:lvl w:ilvl="5" w:tentative="0">
      <w:start w:val="1"/>
      <w:numFmt w:val="upperLetter"/>
      <w:suff w:val="nothing"/>
      <w:lvlText w:val="%6."/>
      <w:lvlJc w:val="left"/>
      <w:rPr>
        <w:rFonts w:hint="default"/>
      </w:rPr>
    </w:lvl>
    <w:lvl w:ilvl="6" w:tentative="0">
      <w:start w:val="1"/>
      <w:numFmt w:val="lowerLetter"/>
      <w:suff w:val="nothing"/>
      <w:lvlText w:val="%7．"/>
      <w:lvlJc w:val="left"/>
      <w:rPr>
        <w:rFonts w:hint="default"/>
      </w:rPr>
    </w:lvl>
    <w:lvl w:ilvl="7" w:tentative="0">
      <w:start w:val="1"/>
      <w:numFmt w:val="upperLetter"/>
      <w:suff w:val="nothing"/>
      <w:lvlText w:val="（%8）"/>
      <w:lvlJc w:val="left"/>
      <w:rPr>
        <w:rFonts w:hint="default"/>
      </w:rPr>
    </w:lvl>
    <w:lvl w:ilvl="8" w:tentative="0">
      <w:start w:val="1"/>
      <w:numFmt w:val="lowerLetter"/>
      <w:suff w:val="nothing"/>
      <w:lvlText w:val="（%9）"/>
      <w:lvlJc w:val="left"/>
      <w:rPr>
        <w:rFonts w:hint="default"/>
      </w:rPr>
    </w:lvl>
  </w:abstractNum>
  <w:abstractNum w:abstractNumId="8">
    <w:nsid w:val="6FC158F1"/>
    <w:multiLevelType w:val="singleLevel"/>
    <w:tmpl w:val="6FC158F1"/>
    <w:lvl w:ilvl="0" w:tentative="0">
      <w:start w:val="1"/>
      <w:numFmt w:val="bullet"/>
      <w:pStyle w:val="22"/>
      <w:lvlText w:val=""/>
      <w:lvlJc w:val="left"/>
      <w:pPr>
        <w:tabs>
          <w:tab w:val="left" w:pos="780"/>
        </w:tabs>
        <w:ind w:left="780" w:hanging="360"/>
      </w:pPr>
      <w:rPr>
        <w:rFonts w:hint="default" w:ascii="Wingdings" w:hAnsi="Wingdings"/>
      </w:rPr>
    </w:lvl>
  </w:abstractNum>
  <w:num w:numId="1">
    <w:abstractNumId w:val="6"/>
  </w:num>
  <w:num w:numId="2">
    <w:abstractNumId w:val="8"/>
  </w:num>
  <w:num w:numId="3">
    <w:abstractNumId w:val="3"/>
  </w:num>
  <w:num w:numId="4">
    <w:abstractNumId w:val="2"/>
  </w:num>
  <w:num w:numId="5">
    <w:abstractNumId w:val="0"/>
  </w:num>
  <w:num w:numId="6">
    <w:abstractNumId w:val="4"/>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76"/>
  <w:drawingGridVerticalSpacing w:val="235"/>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0ZTA3ZTkxMTJkMjU0ZjNlMmMzZTRhMjMwNjhhMGQifQ=="/>
  </w:docVars>
  <w:rsids>
    <w:rsidRoot w:val="00842F56"/>
    <w:rsid w:val="000001D6"/>
    <w:rsid w:val="0000220A"/>
    <w:rsid w:val="00002B42"/>
    <w:rsid w:val="00003AC1"/>
    <w:rsid w:val="0000471E"/>
    <w:rsid w:val="0000684C"/>
    <w:rsid w:val="00007577"/>
    <w:rsid w:val="000115E7"/>
    <w:rsid w:val="00012862"/>
    <w:rsid w:val="00015B10"/>
    <w:rsid w:val="00017AE4"/>
    <w:rsid w:val="000204E8"/>
    <w:rsid w:val="00022415"/>
    <w:rsid w:val="0003039F"/>
    <w:rsid w:val="00034785"/>
    <w:rsid w:val="00040B8C"/>
    <w:rsid w:val="000434A4"/>
    <w:rsid w:val="000471F9"/>
    <w:rsid w:val="00053213"/>
    <w:rsid w:val="000537C2"/>
    <w:rsid w:val="0005674A"/>
    <w:rsid w:val="000610CC"/>
    <w:rsid w:val="000613BD"/>
    <w:rsid w:val="00067874"/>
    <w:rsid w:val="0007326E"/>
    <w:rsid w:val="00075AB2"/>
    <w:rsid w:val="000767E9"/>
    <w:rsid w:val="00080745"/>
    <w:rsid w:val="00080E64"/>
    <w:rsid w:val="00083C4A"/>
    <w:rsid w:val="00083CE6"/>
    <w:rsid w:val="00084038"/>
    <w:rsid w:val="00084C20"/>
    <w:rsid w:val="00090FE7"/>
    <w:rsid w:val="000921D1"/>
    <w:rsid w:val="000948B5"/>
    <w:rsid w:val="000962D1"/>
    <w:rsid w:val="00097B0B"/>
    <w:rsid w:val="000A0943"/>
    <w:rsid w:val="000A147F"/>
    <w:rsid w:val="000A36E7"/>
    <w:rsid w:val="000A38CB"/>
    <w:rsid w:val="000A5655"/>
    <w:rsid w:val="000A79C7"/>
    <w:rsid w:val="000B1292"/>
    <w:rsid w:val="000B1A86"/>
    <w:rsid w:val="000B4481"/>
    <w:rsid w:val="000C6E4A"/>
    <w:rsid w:val="000C7016"/>
    <w:rsid w:val="000C76FF"/>
    <w:rsid w:val="000D0FBC"/>
    <w:rsid w:val="000D1556"/>
    <w:rsid w:val="000D279B"/>
    <w:rsid w:val="000D2805"/>
    <w:rsid w:val="000D3E93"/>
    <w:rsid w:val="000D63DC"/>
    <w:rsid w:val="000D7D49"/>
    <w:rsid w:val="000E3DEA"/>
    <w:rsid w:val="000E51A8"/>
    <w:rsid w:val="000E6213"/>
    <w:rsid w:val="000F0050"/>
    <w:rsid w:val="000F0B4A"/>
    <w:rsid w:val="000F0FD9"/>
    <w:rsid w:val="000F17AD"/>
    <w:rsid w:val="000F18F1"/>
    <w:rsid w:val="000F3C43"/>
    <w:rsid w:val="000F4C6B"/>
    <w:rsid w:val="000F729A"/>
    <w:rsid w:val="00100CDC"/>
    <w:rsid w:val="0010418B"/>
    <w:rsid w:val="00105A25"/>
    <w:rsid w:val="00107D17"/>
    <w:rsid w:val="00111EE0"/>
    <w:rsid w:val="00112E02"/>
    <w:rsid w:val="00113105"/>
    <w:rsid w:val="00113B27"/>
    <w:rsid w:val="00113FDD"/>
    <w:rsid w:val="00114103"/>
    <w:rsid w:val="0011730C"/>
    <w:rsid w:val="00123D22"/>
    <w:rsid w:val="0012473A"/>
    <w:rsid w:val="00124C5D"/>
    <w:rsid w:val="00125692"/>
    <w:rsid w:val="00126D6A"/>
    <w:rsid w:val="001273B7"/>
    <w:rsid w:val="00134361"/>
    <w:rsid w:val="00140B9A"/>
    <w:rsid w:val="00143C02"/>
    <w:rsid w:val="0014466E"/>
    <w:rsid w:val="00145194"/>
    <w:rsid w:val="0014540D"/>
    <w:rsid w:val="00146829"/>
    <w:rsid w:val="00147DC1"/>
    <w:rsid w:val="0015444D"/>
    <w:rsid w:val="00157408"/>
    <w:rsid w:val="00157DF2"/>
    <w:rsid w:val="0016143F"/>
    <w:rsid w:val="001623C2"/>
    <w:rsid w:val="00162EA9"/>
    <w:rsid w:val="00163A5F"/>
    <w:rsid w:val="001640A1"/>
    <w:rsid w:val="001662A8"/>
    <w:rsid w:val="00171957"/>
    <w:rsid w:val="00172A7B"/>
    <w:rsid w:val="001748ED"/>
    <w:rsid w:val="00176069"/>
    <w:rsid w:val="0017636C"/>
    <w:rsid w:val="00177F3B"/>
    <w:rsid w:val="00180B70"/>
    <w:rsid w:val="0018310D"/>
    <w:rsid w:val="00183590"/>
    <w:rsid w:val="00183F35"/>
    <w:rsid w:val="001867B4"/>
    <w:rsid w:val="0019113F"/>
    <w:rsid w:val="001946D6"/>
    <w:rsid w:val="00194C19"/>
    <w:rsid w:val="001A0C79"/>
    <w:rsid w:val="001A1AF4"/>
    <w:rsid w:val="001A2B0D"/>
    <w:rsid w:val="001A4B7F"/>
    <w:rsid w:val="001A5126"/>
    <w:rsid w:val="001B4101"/>
    <w:rsid w:val="001B682D"/>
    <w:rsid w:val="001B7179"/>
    <w:rsid w:val="001C0E7D"/>
    <w:rsid w:val="001C1EA3"/>
    <w:rsid w:val="001C246B"/>
    <w:rsid w:val="001C3809"/>
    <w:rsid w:val="001D0689"/>
    <w:rsid w:val="001D0DDC"/>
    <w:rsid w:val="001D0FBA"/>
    <w:rsid w:val="001D459F"/>
    <w:rsid w:val="001D5E68"/>
    <w:rsid w:val="001D76C1"/>
    <w:rsid w:val="001E066F"/>
    <w:rsid w:val="001E2E10"/>
    <w:rsid w:val="001E2FA5"/>
    <w:rsid w:val="001E396A"/>
    <w:rsid w:val="001F221A"/>
    <w:rsid w:val="001F3CDC"/>
    <w:rsid w:val="001F441C"/>
    <w:rsid w:val="001F5F7D"/>
    <w:rsid w:val="00203D86"/>
    <w:rsid w:val="00204E5F"/>
    <w:rsid w:val="00204E64"/>
    <w:rsid w:val="00205741"/>
    <w:rsid w:val="0020788D"/>
    <w:rsid w:val="0021387E"/>
    <w:rsid w:val="00213908"/>
    <w:rsid w:val="00215161"/>
    <w:rsid w:val="002208A6"/>
    <w:rsid w:val="002217BF"/>
    <w:rsid w:val="0022209E"/>
    <w:rsid w:val="002240B0"/>
    <w:rsid w:val="00224B89"/>
    <w:rsid w:val="0022628D"/>
    <w:rsid w:val="00230BB4"/>
    <w:rsid w:val="00230D7B"/>
    <w:rsid w:val="00233B30"/>
    <w:rsid w:val="002410F7"/>
    <w:rsid w:val="00242AFC"/>
    <w:rsid w:val="002451CE"/>
    <w:rsid w:val="00246F4E"/>
    <w:rsid w:val="00247D59"/>
    <w:rsid w:val="00250521"/>
    <w:rsid w:val="00252841"/>
    <w:rsid w:val="00252853"/>
    <w:rsid w:val="00252B07"/>
    <w:rsid w:val="00255E77"/>
    <w:rsid w:val="0025665E"/>
    <w:rsid w:val="002640DC"/>
    <w:rsid w:val="00264162"/>
    <w:rsid w:val="0026680C"/>
    <w:rsid w:val="00267ECC"/>
    <w:rsid w:val="002702F7"/>
    <w:rsid w:val="00270535"/>
    <w:rsid w:val="002718BE"/>
    <w:rsid w:val="00271C58"/>
    <w:rsid w:val="00275661"/>
    <w:rsid w:val="00280483"/>
    <w:rsid w:val="0028246D"/>
    <w:rsid w:val="00283AFE"/>
    <w:rsid w:val="00286D4D"/>
    <w:rsid w:val="002A0860"/>
    <w:rsid w:val="002A0C18"/>
    <w:rsid w:val="002A432A"/>
    <w:rsid w:val="002A6576"/>
    <w:rsid w:val="002A7AAD"/>
    <w:rsid w:val="002B2987"/>
    <w:rsid w:val="002B698D"/>
    <w:rsid w:val="002B6A8C"/>
    <w:rsid w:val="002B77D8"/>
    <w:rsid w:val="002C0F9D"/>
    <w:rsid w:val="002C1FC9"/>
    <w:rsid w:val="002C20EB"/>
    <w:rsid w:val="002C21A3"/>
    <w:rsid w:val="002C3364"/>
    <w:rsid w:val="002C4799"/>
    <w:rsid w:val="002C4F67"/>
    <w:rsid w:val="002C6057"/>
    <w:rsid w:val="002C6216"/>
    <w:rsid w:val="002D2B12"/>
    <w:rsid w:val="002D675F"/>
    <w:rsid w:val="002D6E86"/>
    <w:rsid w:val="002E0535"/>
    <w:rsid w:val="002E49E0"/>
    <w:rsid w:val="002E5B68"/>
    <w:rsid w:val="002E6E95"/>
    <w:rsid w:val="00307441"/>
    <w:rsid w:val="0031024E"/>
    <w:rsid w:val="00311C29"/>
    <w:rsid w:val="00311D86"/>
    <w:rsid w:val="00314A1F"/>
    <w:rsid w:val="00321CF2"/>
    <w:rsid w:val="00324965"/>
    <w:rsid w:val="003255D4"/>
    <w:rsid w:val="0032579E"/>
    <w:rsid w:val="00331E51"/>
    <w:rsid w:val="003334CF"/>
    <w:rsid w:val="00335AC1"/>
    <w:rsid w:val="0033754B"/>
    <w:rsid w:val="00343EF7"/>
    <w:rsid w:val="0034787A"/>
    <w:rsid w:val="00350160"/>
    <w:rsid w:val="00350F17"/>
    <w:rsid w:val="003606A6"/>
    <w:rsid w:val="00360BD4"/>
    <w:rsid w:val="00362199"/>
    <w:rsid w:val="0036495A"/>
    <w:rsid w:val="00364AC0"/>
    <w:rsid w:val="0036674A"/>
    <w:rsid w:val="00366F88"/>
    <w:rsid w:val="00367894"/>
    <w:rsid w:val="00371EC2"/>
    <w:rsid w:val="00372610"/>
    <w:rsid w:val="00373186"/>
    <w:rsid w:val="00375092"/>
    <w:rsid w:val="003754B6"/>
    <w:rsid w:val="00375705"/>
    <w:rsid w:val="0038183B"/>
    <w:rsid w:val="00383EA6"/>
    <w:rsid w:val="00385FD7"/>
    <w:rsid w:val="003875FE"/>
    <w:rsid w:val="00391A84"/>
    <w:rsid w:val="00391CA6"/>
    <w:rsid w:val="00393E34"/>
    <w:rsid w:val="003A0DCC"/>
    <w:rsid w:val="003A299D"/>
    <w:rsid w:val="003A4C94"/>
    <w:rsid w:val="003A6471"/>
    <w:rsid w:val="003B1336"/>
    <w:rsid w:val="003B18FF"/>
    <w:rsid w:val="003B2B2E"/>
    <w:rsid w:val="003B3D44"/>
    <w:rsid w:val="003B4559"/>
    <w:rsid w:val="003B7CD0"/>
    <w:rsid w:val="003B7CD7"/>
    <w:rsid w:val="003B7D32"/>
    <w:rsid w:val="003C0BCC"/>
    <w:rsid w:val="003C1AE6"/>
    <w:rsid w:val="003C249A"/>
    <w:rsid w:val="003C35D2"/>
    <w:rsid w:val="003C6F58"/>
    <w:rsid w:val="003D023A"/>
    <w:rsid w:val="003D2632"/>
    <w:rsid w:val="003D4899"/>
    <w:rsid w:val="003E0ADF"/>
    <w:rsid w:val="003E2D4E"/>
    <w:rsid w:val="003E3073"/>
    <w:rsid w:val="003F11A4"/>
    <w:rsid w:val="003F14B7"/>
    <w:rsid w:val="003F2D38"/>
    <w:rsid w:val="003F6CE3"/>
    <w:rsid w:val="0040339B"/>
    <w:rsid w:val="00407D4A"/>
    <w:rsid w:val="00410FE3"/>
    <w:rsid w:val="00415BC7"/>
    <w:rsid w:val="00415E62"/>
    <w:rsid w:val="00417E94"/>
    <w:rsid w:val="0042045F"/>
    <w:rsid w:val="00420469"/>
    <w:rsid w:val="00421650"/>
    <w:rsid w:val="00421C0E"/>
    <w:rsid w:val="00424F2C"/>
    <w:rsid w:val="00425FE2"/>
    <w:rsid w:val="00426D9E"/>
    <w:rsid w:val="00431B78"/>
    <w:rsid w:val="0043387C"/>
    <w:rsid w:val="00436784"/>
    <w:rsid w:val="004450E2"/>
    <w:rsid w:val="0044659B"/>
    <w:rsid w:val="004471E4"/>
    <w:rsid w:val="00451EF5"/>
    <w:rsid w:val="004527F2"/>
    <w:rsid w:val="004539C2"/>
    <w:rsid w:val="00454F6E"/>
    <w:rsid w:val="004604B6"/>
    <w:rsid w:val="00460AD4"/>
    <w:rsid w:val="0046320C"/>
    <w:rsid w:val="0046332D"/>
    <w:rsid w:val="00463881"/>
    <w:rsid w:val="00465FC7"/>
    <w:rsid w:val="00467CD0"/>
    <w:rsid w:val="0047003B"/>
    <w:rsid w:val="00470601"/>
    <w:rsid w:val="004725CF"/>
    <w:rsid w:val="00480DDD"/>
    <w:rsid w:val="004813F3"/>
    <w:rsid w:val="00481E9A"/>
    <w:rsid w:val="00484138"/>
    <w:rsid w:val="00490CEB"/>
    <w:rsid w:val="0049570E"/>
    <w:rsid w:val="0049626D"/>
    <w:rsid w:val="004A09A5"/>
    <w:rsid w:val="004A11DD"/>
    <w:rsid w:val="004A5275"/>
    <w:rsid w:val="004A7384"/>
    <w:rsid w:val="004B1290"/>
    <w:rsid w:val="004B20EF"/>
    <w:rsid w:val="004B2CFB"/>
    <w:rsid w:val="004B4A25"/>
    <w:rsid w:val="004B6CE5"/>
    <w:rsid w:val="004D013C"/>
    <w:rsid w:val="004D68B6"/>
    <w:rsid w:val="004E113D"/>
    <w:rsid w:val="004E6A81"/>
    <w:rsid w:val="004F471E"/>
    <w:rsid w:val="004F5797"/>
    <w:rsid w:val="004F5F2D"/>
    <w:rsid w:val="004F6B6E"/>
    <w:rsid w:val="004F7185"/>
    <w:rsid w:val="004F75C3"/>
    <w:rsid w:val="005041FB"/>
    <w:rsid w:val="00504FC8"/>
    <w:rsid w:val="005119C0"/>
    <w:rsid w:val="00515506"/>
    <w:rsid w:val="00515953"/>
    <w:rsid w:val="005177E9"/>
    <w:rsid w:val="00517A7B"/>
    <w:rsid w:val="005209C6"/>
    <w:rsid w:val="00521EDD"/>
    <w:rsid w:val="0052233D"/>
    <w:rsid w:val="00523646"/>
    <w:rsid w:val="00525AAC"/>
    <w:rsid w:val="005273DA"/>
    <w:rsid w:val="00533951"/>
    <w:rsid w:val="00533DA8"/>
    <w:rsid w:val="00534A6C"/>
    <w:rsid w:val="00541506"/>
    <w:rsid w:val="00541BD2"/>
    <w:rsid w:val="00543F05"/>
    <w:rsid w:val="00543F84"/>
    <w:rsid w:val="00544EE9"/>
    <w:rsid w:val="005458BD"/>
    <w:rsid w:val="005473D9"/>
    <w:rsid w:val="005519E9"/>
    <w:rsid w:val="00551AA3"/>
    <w:rsid w:val="00553D98"/>
    <w:rsid w:val="005543FD"/>
    <w:rsid w:val="005548FA"/>
    <w:rsid w:val="00556818"/>
    <w:rsid w:val="0055750D"/>
    <w:rsid w:val="00560F9A"/>
    <w:rsid w:val="00562EE7"/>
    <w:rsid w:val="00566517"/>
    <w:rsid w:val="00572888"/>
    <w:rsid w:val="00572BB1"/>
    <w:rsid w:val="00572C20"/>
    <w:rsid w:val="00574619"/>
    <w:rsid w:val="00575CE4"/>
    <w:rsid w:val="0058099A"/>
    <w:rsid w:val="005829D9"/>
    <w:rsid w:val="0058654E"/>
    <w:rsid w:val="005937E9"/>
    <w:rsid w:val="00593C8F"/>
    <w:rsid w:val="005944E4"/>
    <w:rsid w:val="00594661"/>
    <w:rsid w:val="00594CA3"/>
    <w:rsid w:val="005958F5"/>
    <w:rsid w:val="00595F83"/>
    <w:rsid w:val="005A1371"/>
    <w:rsid w:val="005A4291"/>
    <w:rsid w:val="005A5BA9"/>
    <w:rsid w:val="005B5626"/>
    <w:rsid w:val="005B7366"/>
    <w:rsid w:val="005C19EA"/>
    <w:rsid w:val="005C36E9"/>
    <w:rsid w:val="005C5580"/>
    <w:rsid w:val="005C567B"/>
    <w:rsid w:val="005D0610"/>
    <w:rsid w:val="005D4AA7"/>
    <w:rsid w:val="005D73A3"/>
    <w:rsid w:val="005D7E18"/>
    <w:rsid w:val="005E2EBE"/>
    <w:rsid w:val="005F0F23"/>
    <w:rsid w:val="005F2946"/>
    <w:rsid w:val="005F2A7F"/>
    <w:rsid w:val="005F3493"/>
    <w:rsid w:val="005F766B"/>
    <w:rsid w:val="0060458B"/>
    <w:rsid w:val="00606176"/>
    <w:rsid w:val="00607B36"/>
    <w:rsid w:val="0061025B"/>
    <w:rsid w:val="00613F29"/>
    <w:rsid w:val="006171FE"/>
    <w:rsid w:val="0062049E"/>
    <w:rsid w:val="00624D59"/>
    <w:rsid w:val="006260CB"/>
    <w:rsid w:val="0062698A"/>
    <w:rsid w:val="006279C0"/>
    <w:rsid w:val="00636364"/>
    <w:rsid w:val="006379DF"/>
    <w:rsid w:val="00643393"/>
    <w:rsid w:val="00645438"/>
    <w:rsid w:val="00645A10"/>
    <w:rsid w:val="00646974"/>
    <w:rsid w:val="00646AEE"/>
    <w:rsid w:val="00647629"/>
    <w:rsid w:val="00651084"/>
    <w:rsid w:val="00654213"/>
    <w:rsid w:val="00657E41"/>
    <w:rsid w:val="00657ED5"/>
    <w:rsid w:val="00660268"/>
    <w:rsid w:val="00661C3B"/>
    <w:rsid w:val="00662192"/>
    <w:rsid w:val="00662809"/>
    <w:rsid w:val="00662DEB"/>
    <w:rsid w:val="006672D5"/>
    <w:rsid w:val="006712D2"/>
    <w:rsid w:val="00682396"/>
    <w:rsid w:val="00682CFF"/>
    <w:rsid w:val="00683055"/>
    <w:rsid w:val="00685D88"/>
    <w:rsid w:val="006878DA"/>
    <w:rsid w:val="006936BF"/>
    <w:rsid w:val="00695E52"/>
    <w:rsid w:val="0069664C"/>
    <w:rsid w:val="00696EB1"/>
    <w:rsid w:val="006A1707"/>
    <w:rsid w:val="006A2EA4"/>
    <w:rsid w:val="006A3210"/>
    <w:rsid w:val="006A3BDC"/>
    <w:rsid w:val="006A7068"/>
    <w:rsid w:val="006A7B9E"/>
    <w:rsid w:val="006B06CE"/>
    <w:rsid w:val="006B5199"/>
    <w:rsid w:val="006C41DF"/>
    <w:rsid w:val="006C6B32"/>
    <w:rsid w:val="006C76EA"/>
    <w:rsid w:val="006D065A"/>
    <w:rsid w:val="006D27F8"/>
    <w:rsid w:val="006D3E94"/>
    <w:rsid w:val="006D7408"/>
    <w:rsid w:val="006D7E2E"/>
    <w:rsid w:val="006D7FA2"/>
    <w:rsid w:val="006E1ABF"/>
    <w:rsid w:val="006E1FC1"/>
    <w:rsid w:val="006E2126"/>
    <w:rsid w:val="006E2FF7"/>
    <w:rsid w:val="006E6BA4"/>
    <w:rsid w:val="006E7179"/>
    <w:rsid w:val="006E7DBF"/>
    <w:rsid w:val="006F0929"/>
    <w:rsid w:val="006F1C67"/>
    <w:rsid w:val="006F375C"/>
    <w:rsid w:val="006F3EDC"/>
    <w:rsid w:val="006F4AC2"/>
    <w:rsid w:val="006F524A"/>
    <w:rsid w:val="006F5FA4"/>
    <w:rsid w:val="00701840"/>
    <w:rsid w:val="0070414C"/>
    <w:rsid w:val="00705B15"/>
    <w:rsid w:val="0071225A"/>
    <w:rsid w:val="00712DD9"/>
    <w:rsid w:val="00713D2D"/>
    <w:rsid w:val="00714480"/>
    <w:rsid w:val="00716808"/>
    <w:rsid w:val="00717785"/>
    <w:rsid w:val="00720989"/>
    <w:rsid w:val="00722278"/>
    <w:rsid w:val="00723E22"/>
    <w:rsid w:val="00731EE5"/>
    <w:rsid w:val="00731F6C"/>
    <w:rsid w:val="007347F8"/>
    <w:rsid w:val="00734E2D"/>
    <w:rsid w:val="0073500B"/>
    <w:rsid w:val="00736213"/>
    <w:rsid w:val="00737A84"/>
    <w:rsid w:val="00740981"/>
    <w:rsid w:val="0074102E"/>
    <w:rsid w:val="00742C08"/>
    <w:rsid w:val="00745C27"/>
    <w:rsid w:val="00747139"/>
    <w:rsid w:val="00747304"/>
    <w:rsid w:val="00751171"/>
    <w:rsid w:val="0075575A"/>
    <w:rsid w:val="00755C86"/>
    <w:rsid w:val="00762B81"/>
    <w:rsid w:val="0076365B"/>
    <w:rsid w:val="00765407"/>
    <w:rsid w:val="00765F01"/>
    <w:rsid w:val="007668C6"/>
    <w:rsid w:val="00770AFF"/>
    <w:rsid w:val="00772092"/>
    <w:rsid w:val="00774B07"/>
    <w:rsid w:val="007757B0"/>
    <w:rsid w:val="00781D41"/>
    <w:rsid w:val="007858A5"/>
    <w:rsid w:val="00786732"/>
    <w:rsid w:val="007872EC"/>
    <w:rsid w:val="00787FAF"/>
    <w:rsid w:val="00797AC2"/>
    <w:rsid w:val="007A05FC"/>
    <w:rsid w:val="007A103A"/>
    <w:rsid w:val="007A5719"/>
    <w:rsid w:val="007B0098"/>
    <w:rsid w:val="007B1B3B"/>
    <w:rsid w:val="007B2386"/>
    <w:rsid w:val="007B5D47"/>
    <w:rsid w:val="007B6665"/>
    <w:rsid w:val="007B70C9"/>
    <w:rsid w:val="007C3EAD"/>
    <w:rsid w:val="007C4CCD"/>
    <w:rsid w:val="007C586A"/>
    <w:rsid w:val="007C7E9C"/>
    <w:rsid w:val="007D2A11"/>
    <w:rsid w:val="007D3D6E"/>
    <w:rsid w:val="007D4827"/>
    <w:rsid w:val="007E3FB9"/>
    <w:rsid w:val="007E562E"/>
    <w:rsid w:val="007E6507"/>
    <w:rsid w:val="007E6C24"/>
    <w:rsid w:val="007E6D90"/>
    <w:rsid w:val="007F24FC"/>
    <w:rsid w:val="007F255A"/>
    <w:rsid w:val="007F26D8"/>
    <w:rsid w:val="007F4D76"/>
    <w:rsid w:val="007F7B2F"/>
    <w:rsid w:val="00806598"/>
    <w:rsid w:val="00810995"/>
    <w:rsid w:val="00812E3A"/>
    <w:rsid w:val="00813603"/>
    <w:rsid w:val="00813638"/>
    <w:rsid w:val="00813AC3"/>
    <w:rsid w:val="008140F1"/>
    <w:rsid w:val="00820A0F"/>
    <w:rsid w:val="00821359"/>
    <w:rsid w:val="00821F41"/>
    <w:rsid w:val="0082280A"/>
    <w:rsid w:val="008254B6"/>
    <w:rsid w:val="008270AA"/>
    <w:rsid w:val="00827176"/>
    <w:rsid w:val="0083049B"/>
    <w:rsid w:val="008308C7"/>
    <w:rsid w:val="00831789"/>
    <w:rsid w:val="00832FF4"/>
    <w:rsid w:val="008334B6"/>
    <w:rsid w:val="00833D4E"/>
    <w:rsid w:val="00834CDC"/>
    <w:rsid w:val="008364A2"/>
    <w:rsid w:val="00836832"/>
    <w:rsid w:val="0084167D"/>
    <w:rsid w:val="00842078"/>
    <w:rsid w:val="00842F56"/>
    <w:rsid w:val="008451CC"/>
    <w:rsid w:val="008466A0"/>
    <w:rsid w:val="00850720"/>
    <w:rsid w:val="00850E57"/>
    <w:rsid w:val="008512D9"/>
    <w:rsid w:val="0085463D"/>
    <w:rsid w:val="00855047"/>
    <w:rsid w:val="00856679"/>
    <w:rsid w:val="0086016C"/>
    <w:rsid w:val="008627DF"/>
    <w:rsid w:val="008634C7"/>
    <w:rsid w:val="008709B6"/>
    <w:rsid w:val="00871D48"/>
    <w:rsid w:val="00873758"/>
    <w:rsid w:val="00876B55"/>
    <w:rsid w:val="00877D02"/>
    <w:rsid w:val="00880866"/>
    <w:rsid w:val="0088125A"/>
    <w:rsid w:val="00881B9C"/>
    <w:rsid w:val="0088298E"/>
    <w:rsid w:val="008840B4"/>
    <w:rsid w:val="00885908"/>
    <w:rsid w:val="00885F7C"/>
    <w:rsid w:val="00886D28"/>
    <w:rsid w:val="008870D8"/>
    <w:rsid w:val="00892D42"/>
    <w:rsid w:val="00897612"/>
    <w:rsid w:val="008A0615"/>
    <w:rsid w:val="008A1AED"/>
    <w:rsid w:val="008A4C29"/>
    <w:rsid w:val="008A541C"/>
    <w:rsid w:val="008A7C49"/>
    <w:rsid w:val="008B252B"/>
    <w:rsid w:val="008B2CD0"/>
    <w:rsid w:val="008B4E23"/>
    <w:rsid w:val="008B7375"/>
    <w:rsid w:val="008B74F1"/>
    <w:rsid w:val="008B7650"/>
    <w:rsid w:val="008B7E17"/>
    <w:rsid w:val="008D01E4"/>
    <w:rsid w:val="008D0697"/>
    <w:rsid w:val="008D369B"/>
    <w:rsid w:val="008D3DD9"/>
    <w:rsid w:val="008D5629"/>
    <w:rsid w:val="008E2793"/>
    <w:rsid w:val="008E2A9A"/>
    <w:rsid w:val="008E335F"/>
    <w:rsid w:val="008E4CA5"/>
    <w:rsid w:val="008E507B"/>
    <w:rsid w:val="008E75D7"/>
    <w:rsid w:val="008F115F"/>
    <w:rsid w:val="008F4B9A"/>
    <w:rsid w:val="008F60AA"/>
    <w:rsid w:val="009031F9"/>
    <w:rsid w:val="00903500"/>
    <w:rsid w:val="00904A14"/>
    <w:rsid w:val="00905FEB"/>
    <w:rsid w:val="00906B5E"/>
    <w:rsid w:val="00907551"/>
    <w:rsid w:val="009135A4"/>
    <w:rsid w:val="009143EA"/>
    <w:rsid w:val="00914A09"/>
    <w:rsid w:val="00915D7E"/>
    <w:rsid w:val="00916288"/>
    <w:rsid w:val="00922551"/>
    <w:rsid w:val="009301D9"/>
    <w:rsid w:val="0093144F"/>
    <w:rsid w:val="00935A22"/>
    <w:rsid w:val="00936045"/>
    <w:rsid w:val="00936050"/>
    <w:rsid w:val="00940432"/>
    <w:rsid w:val="00940906"/>
    <w:rsid w:val="0094186E"/>
    <w:rsid w:val="0094188D"/>
    <w:rsid w:val="00942731"/>
    <w:rsid w:val="00947A7F"/>
    <w:rsid w:val="00951843"/>
    <w:rsid w:val="0095237E"/>
    <w:rsid w:val="00954BE9"/>
    <w:rsid w:val="00955E3F"/>
    <w:rsid w:val="0095648E"/>
    <w:rsid w:val="00956A17"/>
    <w:rsid w:val="00960170"/>
    <w:rsid w:val="00961502"/>
    <w:rsid w:val="00962A06"/>
    <w:rsid w:val="00962C49"/>
    <w:rsid w:val="0096426F"/>
    <w:rsid w:val="009644B4"/>
    <w:rsid w:val="00964E2B"/>
    <w:rsid w:val="009673FC"/>
    <w:rsid w:val="00970688"/>
    <w:rsid w:val="009720F1"/>
    <w:rsid w:val="0097310A"/>
    <w:rsid w:val="0097327A"/>
    <w:rsid w:val="00974942"/>
    <w:rsid w:val="00977D1C"/>
    <w:rsid w:val="009806BA"/>
    <w:rsid w:val="00981577"/>
    <w:rsid w:val="009828CB"/>
    <w:rsid w:val="00983EC7"/>
    <w:rsid w:val="00984EE0"/>
    <w:rsid w:val="00985CA7"/>
    <w:rsid w:val="00991E02"/>
    <w:rsid w:val="0099250B"/>
    <w:rsid w:val="00992890"/>
    <w:rsid w:val="00995C70"/>
    <w:rsid w:val="00997055"/>
    <w:rsid w:val="009A513B"/>
    <w:rsid w:val="009A542A"/>
    <w:rsid w:val="009A56BC"/>
    <w:rsid w:val="009A73F0"/>
    <w:rsid w:val="009B05D5"/>
    <w:rsid w:val="009B1366"/>
    <w:rsid w:val="009B1AD7"/>
    <w:rsid w:val="009B1D1D"/>
    <w:rsid w:val="009B31D6"/>
    <w:rsid w:val="009B419B"/>
    <w:rsid w:val="009B448A"/>
    <w:rsid w:val="009B456D"/>
    <w:rsid w:val="009C0E70"/>
    <w:rsid w:val="009C254D"/>
    <w:rsid w:val="009C3305"/>
    <w:rsid w:val="009C3556"/>
    <w:rsid w:val="009D2778"/>
    <w:rsid w:val="009D47B9"/>
    <w:rsid w:val="009E287D"/>
    <w:rsid w:val="009E2DDE"/>
    <w:rsid w:val="009E3466"/>
    <w:rsid w:val="009E4E62"/>
    <w:rsid w:val="009F281B"/>
    <w:rsid w:val="009F4609"/>
    <w:rsid w:val="009F754F"/>
    <w:rsid w:val="009F798F"/>
    <w:rsid w:val="00A001D8"/>
    <w:rsid w:val="00A0064D"/>
    <w:rsid w:val="00A00F47"/>
    <w:rsid w:val="00A06158"/>
    <w:rsid w:val="00A16BBF"/>
    <w:rsid w:val="00A23673"/>
    <w:rsid w:val="00A23BDB"/>
    <w:rsid w:val="00A35A50"/>
    <w:rsid w:val="00A41C58"/>
    <w:rsid w:val="00A421C7"/>
    <w:rsid w:val="00A44143"/>
    <w:rsid w:val="00A4486C"/>
    <w:rsid w:val="00A4510E"/>
    <w:rsid w:val="00A47A10"/>
    <w:rsid w:val="00A50592"/>
    <w:rsid w:val="00A511E4"/>
    <w:rsid w:val="00A51310"/>
    <w:rsid w:val="00A51C5A"/>
    <w:rsid w:val="00A52171"/>
    <w:rsid w:val="00A528FF"/>
    <w:rsid w:val="00A52FA3"/>
    <w:rsid w:val="00A54882"/>
    <w:rsid w:val="00A54BF5"/>
    <w:rsid w:val="00A566E0"/>
    <w:rsid w:val="00A607D3"/>
    <w:rsid w:val="00A612C9"/>
    <w:rsid w:val="00A627C9"/>
    <w:rsid w:val="00A64558"/>
    <w:rsid w:val="00A65261"/>
    <w:rsid w:val="00A75C2A"/>
    <w:rsid w:val="00A765CF"/>
    <w:rsid w:val="00A83F6F"/>
    <w:rsid w:val="00A84474"/>
    <w:rsid w:val="00A87460"/>
    <w:rsid w:val="00A931DE"/>
    <w:rsid w:val="00A94AD9"/>
    <w:rsid w:val="00A9538E"/>
    <w:rsid w:val="00A95EEA"/>
    <w:rsid w:val="00A964DC"/>
    <w:rsid w:val="00A97489"/>
    <w:rsid w:val="00AA0060"/>
    <w:rsid w:val="00AA3E12"/>
    <w:rsid w:val="00AB1636"/>
    <w:rsid w:val="00AB180C"/>
    <w:rsid w:val="00AB1FB9"/>
    <w:rsid w:val="00AB4888"/>
    <w:rsid w:val="00AB615A"/>
    <w:rsid w:val="00AC1B28"/>
    <w:rsid w:val="00AC3A6D"/>
    <w:rsid w:val="00AC3C98"/>
    <w:rsid w:val="00AC7FF9"/>
    <w:rsid w:val="00AD36C0"/>
    <w:rsid w:val="00AD66EF"/>
    <w:rsid w:val="00AD72AF"/>
    <w:rsid w:val="00AE0EBD"/>
    <w:rsid w:val="00AE4532"/>
    <w:rsid w:val="00AF2659"/>
    <w:rsid w:val="00AF4E31"/>
    <w:rsid w:val="00AF5099"/>
    <w:rsid w:val="00AF65E2"/>
    <w:rsid w:val="00AF6840"/>
    <w:rsid w:val="00B036EE"/>
    <w:rsid w:val="00B04628"/>
    <w:rsid w:val="00B1123F"/>
    <w:rsid w:val="00B13B7D"/>
    <w:rsid w:val="00B1596C"/>
    <w:rsid w:val="00B20F53"/>
    <w:rsid w:val="00B224A6"/>
    <w:rsid w:val="00B229AA"/>
    <w:rsid w:val="00B23D89"/>
    <w:rsid w:val="00B24566"/>
    <w:rsid w:val="00B31830"/>
    <w:rsid w:val="00B3266A"/>
    <w:rsid w:val="00B331CC"/>
    <w:rsid w:val="00B3416D"/>
    <w:rsid w:val="00B37773"/>
    <w:rsid w:val="00B41E65"/>
    <w:rsid w:val="00B438D5"/>
    <w:rsid w:val="00B44991"/>
    <w:rsid w:val="00B44B02"/>
    <w:rsid w:val="00B45929"/>
    <w:rsid w:val="00B520BE"/>
    <w:rsid w:val="00B60319"/>
    <w:rsid w:val="00B6445F"/>
    <w:rsid w:val="00B64D01"/>
    <w:rsid w:val="00B66774"/>
    <w:rsid w:val="00B6702C"/>
    <w:rsid w:val="00B70E8A"/>
    <w:rsid w:val="00B73641"/>
    <w:rsid w:val="00B76516"/>
    <w:rsid w:val="00B769B0"/>
    <w:rsid w:val="00B808F7"/>
    <w:rsid w:val="00B80F1E"/>
    <w:rsid w:val="00B812A1"/>
    <w:rsid w:val="00B82F30"/>
    <w:rsid w:val="00B83938"/>
    <w:rsid w:val="00B92C3B"/>
    <w:rsid w:val="00B94A7F"/>
    <w:rsid w:val="00B95F6E"/>
    <w:rsid w:val="00BA1F08"/>
    <w:rsid w:val="00BA4126"/>
    <w:rsid w:val="00BA4691"/>
    <w:rsid w:val="00BA6B9E"/>
    <w:rsid w:val="00BA7419"/>
    <w:rsid w:val="00BB3343"/>
    <w:rsid w:val="00BB3F86"/>
    <w:rsid w:val="00BB475A"/>
    <w:rsid w:val="00BB5856"/>
    <w:rsid w:val="00BB70A8"/>
    <w:rsid w:val="00BC036D"/>
    <w:rsid w:val="00BC040C"/>
    <w:rsid w:val="00BC3B9C"/>
    <w:rsid w:val="00BC4011"/>
    <w:rsid w:val="00BC444E"/>
    <w:rsid w:val="00BC55BD"/>
    <w:rsid w:val="00BD04FC"/>
    <w:rsid w:val="00BD0BF1"/>
    <w:rsid w:val="00BD49C2"/>
    <w:rsid w:val="00BD6B3E"/>
    <w:rsid w:val="00BD6D11"/>
    <w:rsid w:val="00BD6D79"/>
    <w:rsid w:val="00BD7A36"/>
    <w:rsid w:val="00BE00FB"/>
    <w:rsid w:val="00BF22AD"/>
    <w:rsid w:val="00BF2A12"/>
    <w:rsid w:val="00BF303D"/>
    <w:rsid w:val="00BF4927"/>
    <w:rsid w:val="00C0223E"/>
    <w:rsid w:val="00C02DC5"/>
    <w:rsid w:val="00C042D7"/>
    <w:rsid w:val="00C05A39"/>
    <w:rsid w:val="00C05F96"/>
    <w:rsid w:val="00C07BF9"/>
    <w:rsid w:val="00C07EDD"/>
    <w:rsid w:val="00C11CBE"/>
    <w:rsid w:val="00C124A3"/>
    <w:rsid w:val="00C1292E"/>
    <w:rsid w:val="00C1565C"/>
    <w:rsid w:val="00C2423B"/>
    <w:rsid w:val="00C24CE6"/>
    <w:rsid w:val="00C24FD5"/>
    <w:rsid w:val="00C265DD"/>
    <w:rsid w:val="00C31435"/>
    <w:rsid w:val="00C33E87"/>
    <w:rsid w:val="00C3481A"/>
    <w:rsid w:val="00C34FC7"/>
    <w:rsid w:val="00C35D1B"/>
    <w:rsid w:val="00C4208C"/>
    <w:rsid w:val="00C4313A"/>
    <w:rsid w:val="00C4560B"/>
    <w:rsid w:val="00C45753"/>
    <w:rsid w:val="00C459C8"/>
    <w:rsid w:val="00C51507"/>
    <w:rsid w:val="00C51773"/>
    <w:rsid w:val="00C51E31"/>
    <w:rsid w:val="00C55976"/>
    <w:rsid w:val="00C55988"/>
    <w:rsid w:val="00C6082F"/>
    <w:rsid w:val="00C61C6C"/>
    <w:rsid w:val="00C61EDC"/>
    <w:rsid w:val="00C6218E"/>
    <w:rsid w:val="00C624C7"/>
    <w:rsid w:val="00C640DA"/>
    <w:rsid w:val="00C71E7D"/>
    <w:rsid w:val="00C72D0E"/>
    <w:rsid w:val="00C72DB8"/>
    <w:rsid w:val="00C72FF8"/>
    <w:rsid w:val="00C74159"/>
    <w:rsid w:val="00C75FE6"/>
    <w:rsid w:val="00C772CA"/>
    <w:rsid w:val="00C84AC6"/>
    <w:rsid w:val="00C908B1"/>
    <w:rsid w:val="00C925BA"/>
    <w:rsid w:val="00C931B2"/>
    <w:rsid w:val="00CA2E88"/>
    <w:rsid w:val="00CA4E21"/>
    <w:rsid w:val="00CA5224"/>
    <w:rsid w:val="00CB1968"/>
    <w:rsid w:val="00CB1C06"/>
    <w:rsid w:val="00CB2092"/>
    <w:rsid w:val="00CB3B56"/>
    <w:rsid w:val="00CB43AF"/>
    <w:rsid w:val="00CB5C5F"/>
    <w:rsid w:val="00CC0CC5"/>
    <w:rsid w:val="00CC2E54"/>
    <w:rsid w:val="00CC51D5"/>
    <w:rsid w:val="00CC71F7"/>
    <w:rsid w:val="00CC7577"/>
    <w:rsid w:val="00CD00B9"/>
    <w:rsid w:val="00CD1CCC"/>
    <w:rsid w:val="00CD27BC"/>
    <w:rsid w:val="00CE0FE7"/>
    <w:rsid w:val="00CE5C50"/>
    <w:rsid w:val="00CF0642"/>
    <w:rsid w:val="00CF1A97"/>
    <w:rsid w:val="00CF2000"/>
    <w:rsid w:val="00CF42B5"/>
    <w:rsid w:val="00CF4DD0"/>
    <w:rsid w:val="00CF5AF6"/>
    <w:rsid w:val="00CF5C08"/>
    <w:rsid w:val="00CF6309"/>
    <w:rsid w:val="00D00411"/>
    <w:rsid w:val="00D00903"/>
    <w:rsid w:val="00D04967"/>
    <w:rsid w:val="00D06668"/>
    <w:rsid w:val="00D13B0D"/>
    <w:rsid w:val="00D174E4"/>
    <w:rsid w:val="00D17E25"/>
    <w:rsid w:val="00D22075"/>
    <w:rsid w:val="00D221B6"/>
    <w:rsid w:val="00D22D1C"/>
    <w:rsid w:val="00D235DD"/>
    <w:rsid w:val="00D25740"/>
    <w:rsid w:val="00D258A7"/>
    <w:rsid w:val="00D27093"/>
    <w:rsid w:val="00D32294"/>
    <w:rsid w:val="00D326E6"/>
    <w:rsid w:val="00D33051"/>
    <w:rsid w:val="00D343CE"/>
    <w:rsid w:val="00D3507D"/>
    <w:rsid w:val="00D4136B"/>
    <w:rsid w:val="00D41FBA"/>
    <w:rsid w:val="00D42A82"/>
    <w:rsid w:val="00D43F8D"/>
    <w:rsid w:val="00D51B42"/>
    <w:rsid w:val="00D5398F"/>
    <w:rsid w:val="00D54CC1"/>
    <w:rsid w:val="00D54E4B"/>
    <w:rsid w:val="00D5555D"/>
    <w:rsid w:val="00D56367"/>
    <w:rsid w:val="00D61223"/>
    <w:rsid w:val="00D62C35"/>
    <w:rsid w:val="00D6461F"/>
    <w:rsid w:val="00D65130"/>
    <w:rsid w:val="00D700F6"/>
    <w:rsid w:val="00D736E7"/>
    <w:rsid w:val="00D74079"/>
    <w:rsid w:val="00D75CCD"/>
    <w:rsid w:val="00D76525"/>
    <w:rsid w:val="00D76616"/>
    <w:rsid w:val="00D80497"/>
    <w:rsid w:val="00D829BC"/>
    <w:rsid w:val="00D842B9"/>
    <w:rsid w:val="00D87A15"/>
    <w:rsid w:val="00D933A0"/>
    <w:rsid w:val="00D9433C"/>
    <w:rsid w:val="00D94832"/>
    <w:rsid w:val="00D95683"/>
    <w:rsid w:val="00DA1B1C"/>
    <w:rsid w:val="00DA26B0"/>
    <w:rsid w:val="00DA40ED"/>
    <w:rsid w:val="00DA49B8"/>
    <w:rsid w:val="00DA5971"/>
    <w:rsid w:val="00DB10A2"/>
    <w:rsid w:val="00DB33B9"/>
    <w:rsid w:val="00DB52EE"/>
    <w:rsid w:val="00DB5943"/>
    <w:rsid w:val="00DB727B"/>
    <w:rsid w:val="00DB7321"/>
    <w:rsid w:val="00DC0C07"/>
    <w:rsid w:val="00DC472F"/>
    <w:rsid w:val="00DC4CC2"/>
    <w:rsid w:val="00DC5B16"/>
    <w:rsid w:val="00DD23E6"/>
    <w:rsid w:val="00DD3702"/>
    <w:rsid w:val="00DD38C3"/>
    <w:rsid w:val="00DD7504"/>
    <w:rsid w:val="00DE0584"/>
    <w:rsid w:val="00DE3E06"/>
    <w:rsid w:val="00DE3F2D"/>
    <w:rsid w:val="00DE4F8C"/>
    <w:rsid w:val="00DF4BA8"/>
    <w:rsid w:val="00DF6887"/>
    <w:rsid w:val="00DF69D8"/>
    <w:rsid w:val="00E012B0"/>
    <w:rsid w:val="00E02D27"/>
    <w:rsid w:val="00E127E2"/>
    <w:rsid w:val="00E137C0"/>
    <w:rsid w:val="00E16353"/>
    <w:rsid w:val="00E1725C"/>
    <w:rsid w:val="00E20837"/>
    <w:rsid w:val="00E20B11"/>
    <w:rsid w:val="00E2410B"/>
    <w:rsid w:val="00E25749"/>
    <w:rsid w:val="00E31282"/>
    <w:rsid w:val="00E3164C"/>
    <w:rsid w:val="00E3246A"/>
    <w:rsid w:val="00E33046"/>
    <w:rsid w:val="00E41A08"/>
    <w:rsid w:val="00E44260"/>
    <w:rsid w:val="00E44C8F"/>
    <w:rsid w:val="00E45236"/>
    <w:rsid w:val="00E5041E"/>
    <w:rsid w:val="00E513DD"/>
    <w:rsid w:val="00E51400"/>
    <w:rsid w:val="00E540AF"/>
    <w:rsid w:val="00E54C1C"/>
    <w:rsid w:val="00E619FF"/>
    <w:rsid w:val="00E635F4"/>
    <w:rsid w:val="00E63E71"/>
    <w:rsid w:val="00E6581D"/>
    <w:rsid w:val="00E65AA4"/>
    <w:rsid w:val="00E73622"/>
    <w:rsid w:val="00E73A9B"/>
    <w:rsid w:val="00E75912"/>
    <w:rsid w:val="00E75D7C"/>
    <w:rsid w:val="00E75E77"/>
    <w:rsid w:val="00E8197C"/>
    <w:rsid w:val="00E8378F"/>
    <w:rsid w:val="00E91CA9"/>
    <w:rsid w:val="00E95340"/>
    <w:rsid w:val="00E97201"/>
    <w:rsid w:val="00EA0408"/>
    <w:rsid w:val="00EA2DC4"/>
    <w:rsid w:val="00EA2EAA"/>
    <w:rsid w:val="00EA45E2"/>
    <w:rsid w:val="00EA663F"/>
    <w:rsid w:val="00EB4365"/>
    <w:rsid w:val="00EB691E"/>
    <w:rsid w:val="00EC489A"/>
    <w:rsid w:val="00EC612B"/>
    <w:rsid w:val="00EC7E04"/>
    <w:rsid w:val="00ED0F96"/>
    <w:rsid w:val="00ED4E25"/>
    <w:rsid w:val="00EE0B0F"/>
    <w:rsid w:val="00EE1EC9"/>
    <w:rsid w:val="00EE3683"/>
    <w:rsid w:val="00EE47DD"/>
    <w:rsid w:val="00EE4A61"/>
    <w:rsid w:val="00EF517A"/>
    <w:rsid w:val="00F00DCF"/>
    <w:rsid w:val="00F016EB"/>
    <w:rsid w:val="00F0521E"/>
    <w:rsid w:val="00F05B93"/>
    <w:rsid w:val="00F07849"/>
    <w:rsid w:val="00F10593"/>
    <w:rsid w:val="00F10FAB"/>
    <w:rsid w:val="00F14101"/>
    <w:rsid w:val="00F16CE0"/>
    <w:rsid w:val="00F16DE4"/>
    <w:rsid w:val="00F17AC5"/>
    <w:rsid w:val="00F202ED"/>
    <w:rsid w:val="00F2112E"/>
    <w:rsid w:val="00F2340F"/>
    <w:rsid w:val="00F3237B"/>
    <w:rsid w:val="00F342E4"/>
    <w:rsid w:val="00F34941"/>
    <w:rsid w:val="00F3729A"/>
    <w:rsid w:val="00F40D6A"/>
    <w:rsid w:val="00F414BA"/>
    <w:rsid w:val="00F42E9B"/>
    <w:rsid w:val="00F46C49"/>
    <w:rsid w:val="00F50379"/>
    <w:rsid w:val="00F50979"/>
    <w:rsid w:val="00F51231"/>
    <w:rsid w:val="00F522FC"/>
    <w:rsid w:val="00F52711"/>
    <w:rsid w:val="00F531DA"/>
    <w:rsid w:val="00F53A7D"/>
    <w:rsid w:val="00F53E78"/>
    <w:rsid w:val="00F6352B"/>
    <w:rsid w:val="00F6617A"/>
    <w:rsid w:val="00F66745"/>
    <w:rsid w:val="00F66792"/>
    <w:rsid w:val="00F66FD0"/>
    <w:rsid w:val="00F73569"/>
    <w:rsid w:val="00F735CF"/>
    <w:rsid w:val="00F77555"/>
    <w:rsid w:val="00F81567"/>
    <w:rsid w:val="00F8347B"/>
    <w:rsid w:val="00F84263"/>
    <w:rsid w:val="00F84FBA"/>
    <w:rsid w:val="00F863D9"/>
    <w:rsid w:val="00F90209"/>
    <w:rsid w:val="00F919C0"/>
    <w:rsid w:val="00F95ADB"/>
    <w:rsid w:val="00F96243"/>
    <w:rsid w:val="00F97C26"/>
    <w:rsid w:val="00FA03D2"/>
    <w:rsid w:val="00FA3A17"/>
    <w:rsid w:val="00FA549F"/>
    <w:rsid w:val="00FA6B2F"/>
    <w:rsid w:val="00FA746F"/>
    <w:rsid w:val="00FA7976"/>
    <w:rsid w:val="00FA7A25"/>
    <w:rsid w:val="00FB2290"/>
    <w:rsid w:val="00FB3006"/>
    <w:rsid w:val="00FB791D"/>
    <w:rsid w:val="00FC1F10"/>
    <w:rsid w:val="00FC30C7"/>
    <w:rsid w:val="00FC370C"/>
    <w:rsid w:val="00FC6FFD"/>
    <w:rsid w:val="00FD06A4"/>
    <w:rsid w:val="00FD1DB5"/>
    <w:rsid w:val="00FD20A4"/>
    <w:rsid w:val="00FD4278"/>
    <w:rsid w:val="00FD57DE"/>
    <w:rsid w:val="00FE0DA4"/>
    <w:rsid w:val="00FE4DD5"/>
    <w:rsid w:val="00FE733B"/>
    <w:rsid w:val="00FF0D93"/>
    <w:rsid w:val="00FF1764"/>
    <w:rsid w:val="00FF19C3"/>
    <w:rsid w:val="00FF4FAE"/>
    <w:rsid w:val="00FF57E3"/>
    <w:rsid w:val="00FF61F8"/>
    <w:rsid w:val="0100457B"/>
    <w:rsid w:val="01032796"/>
    <w:rsid w:val="01146F2F"/>
    <w:rsid w:val="01194549"/>
    <w:rsid w:val="01581876"/>
    <w:rsid w:val="01646ABA"/>
    <w:rsid w:val="016E575E"/>
    <w:rsid w:val="017A38C2"/>
    <w:rsid w:val="01862C69"/>
    <w:rsid w:val="01A36F96"/>
    <w:rsid w:val="01BD3060"/>
    <w:rsid w:val="01EC37DA"/>
    <w:rsid w:val="01EC5216"/>
    <w:rsid w:val="02026EA6"/>
    <w:rsid w:val="02597D5E"/>
    <w:rsid w:val="0274508D"/>
    <w:rsid w:val="02831B32"/>
    <w:rsid w:val="028D0DF1"/>
    <w:rsid w:val="029657A2"/>
    <w:rsid w:val="02EF4B43"/>
    <w:rsid w:val="03072E69"/>
    <w:rsid w:val="034031E1"/>
    <w:rsid w:val="03452886"/>
    <w:rsid w:val="035B12CD"/>
    <w:rsid w:val="035F4641"/>
    <w:rsid w:val="036323E8"/>
    <w:rsid w:val="03825ABD"/>
    <w:rsid w:val="039E387B"/>
    <w:rsid w:val="03A56A88"/>
    <w:rsid w:val="03C148B6"/>
    <w:rsid w:val="03DC001F"/>
    <w:rsid w:val="03E72B61"/>
    <w:rsid w:val="03E77012"/>
    <w:rsid w:val="04274119"/>
    <w:rsid w:val="042D0B90"/>
    <w:rsid w:val="044625E2"/>
    <w:rsid w:val="04653F60"/>
    <w:rsid w:val="046876AD"/>
    <w:rsid w:val="04DB3EC7"/>
    <w:rsid w:val="04E84A2A"/>
    <w:rsid w:val="04F1496E"/>
    <w:rsid w:val="04F74332"/>
    <w:rsid w:val="050F67FE"/>
    <w:rsid w:val="052D3058"/>
    <w:rsid w:val="057535D9"/>
    <w:rsid w:val="0580778D"/>
    <w:rsid w:val="0596469C"/>
    <w:rsid w:val="05A247CB"/>
    <w:rsid w:val="05B62E1C"/>
    <w:rsid w:val="05C5366B"/>
    <w:rsid w:val="05C606DF"/>
    <w:rsid w:val="05CE2272"/>
    <w:rsid w:val="05D139F7"/>
    <w:rsid w:val="05FC3B93"/>
    <w:rsid w:val="06374B22"/>
    <w:rsid w:val="0679343B"/>
    <w:rsid w:val="069C231E"/>
    <w:rsid w:val="06A50AB1"/>
    <w:rsid w:val="06A938A5"/>
    <w:rsid w:val="06B4732E"/>
    <w:rsid w:val="06BB6D6A"/>
    <w:rsid w:val="06C226A4"/>
    <w:rsid w:val="06D77B1C"/>
    <w:rsid w:val="06E7221A"/>
    <w:rsid w:val="06EF2720"/>
    <w:rsid w:val="07222102"/>
    <w:rsid w:val="073D2FB4"/>
    <w:rsid w:val="07534A2B"/>
    <w:rsid w:val="077965D0"/>
    <w:rsid w:val="078F7AA5"/>
    <w:rsid w:val="07927383"/>
    <w:rsid w:val="07A7561A"/>
    <w:rsid w:val="07AC4469"/>
    <w:rsid w:val="07BD2558"/>
    <w:rsid w:val="07D11560"/>
    <w:rsid w:val="07FC6D8E"/>
    <w:rsid w:val="0806043B"/>
    <w:rsid w:val="08147BB3"/>
    <w:rsid w:val="082D3363"/>
    <w:rsid w:val="083A5C5E"/>
    <w:rsid w:val="084478D8"/>
    <w:rsid w:val="085C31D8"/>
    <w:rsid w:val="088C3027"/>
    <w:rsid w:val="08A03E72"/>
    <w:rsid w:val="08A74D19"/>
    <w:rsid w:val="08AA3851"/>
    <w:rsid w:val="092C2494"/>
    <w:rsid w:val="0931402C"/>
    <w:rsid w:val="093A0307"/>
    <w:rsid w:val="093A2AD9"/>
    <w:rsid w:val="093D3528"/>
    <w:rsid w:val="09885055"/>
    <w:rsid w:val="099105AE"/>
    <w:rsid w:val="099B0F38"/>
    <w:rsid w:val="099B3AD6"/>
    <w:rsid w:val="09AA48FF"/>
    <w:rsid w:val="0A0663E6"/>
    <w:rsid w:val="0A204AC7"/>
    <w:rsid w:val="0A3B07F0"/>
    <w:rsid w:val="0A442A3C"/>
    <w:rsid w:val="0A550002"/>
    <w:rsid w:val="0A6C4717"/>
    <w:rsid w:val="0A7063E6"/>
    <w:rsid w:val="0A737192"/>
    <w:rsid w:val="0A9B42F2"/>
    <w:rsid w:val="0AB94B2B"/>
    <w:rsid w:val="0AC31071"/>
    <w:rsid w:val="0ACF378B"/>
    <w:rsid w:val="0AF46074"/>
    <w:rsid w:val="0AF656E5"/>
    <w:rsid w:val="0B306D25"/>
    <w:rsid w:val="0B324457"/>
    <w:rsid w:val="0B33557F"/>
    <w:rsid w:val="0B3F45C1"/>
    <w:rsid w:val="0B51087E"/>
    <w:rsid w:val="0B6B44E1"/>
    <w:rsid w:val="0B905E6D"/>
    <w:rsid w:val="0BBD715A"/>
    <w:rsid w:val="0BC36EF0"/>
    <w:rsid w:val="0BD714FF"/>
    <w:rsid w:val="0BEC0F75"/>
    <w:rsid w:val="0C3541F2"/>
    <w:rsid w:val="0C467D59"/>
    <w:rsid w:val="0C572C27"/>
    <w:rsid w:val="0C5D00F6"/>
    <w:rsid w:val="0C823F64"/>
    <w:rsid w:val="0C873E24"/>
    <w:rsid w:val="0C9539F9"/>
    <w:rsid w:val="0CA00610"/>
    <w:rsid w:val="0CAD1289"/>
    <w:rsid w:val="0CE03B72"/>
    <w:rsid w:val="0CEC3EAB"/>
    <w:rsid w:val="0CF602B9"/>
    <w:rsid w:val="0D0357A2"/>
    <w:rsid w:val="0D07594A"/>
    <w:rsid w:val="0D0F0E61"/>
    <w:rsid w:val="0D307FF1"/>
    <w:rsid w:val="0D403759"/>
    <w:rsid w:val="0D4061B8"/>
    <w:rsid w:val="0D7A0C40"/>
    <w:rsid w:val="0D964CA6"/>
    <w:rsid w:val="0DAE269C"/>
    <w:rsid w:val="0DD04EE5"/>
    <w:rsid w:val="0DD057E5"/>
    <w:rsid w:val="0DFA4B05"/>
    <w:rsid w:val="0EC61699"/>
    <w:rsid w:val="0EFE5362"/>
    <w:rsid w:val="0F0A6196"/>
    <w:rsid w:val="0F205EAD"/>
    <w:rsid w:val="0F334D78"/>
    <w:rsid w:val="0F635049"/>
    <w:rsid w:val="0F643686"/>
    <w:rsid w:val="0FC81F27"/>
    <w:rsid w:val="0FE7309E"/>
    <w:rsid w:val="1043702C"/>
    <w:rsid w:val="104966C0"/>
    <w:rsid w:val="107A5B8D"/>
    <w:rsid w:val="108A7A81"/>
    <w:rsid w:val="109B1F8A"/>
    <w:rsid w:val="10DC749F"/>
    <w:rsid w:val="10ED7502"/>
    <w:rsid w:val="10FE7726"/>
    <w:rsid w:val="1113594B"/>
    <w:rsid w:val="1128142A"/>
    <w:rsid w:val="114A6581"/>
    <w:rsid w:val="114C42A1"/>
    <w:rsid w:val="11522BB5"/>
    <w:rsid w:val="116778C7"/>
    <w:rsid w:val="1177428C"/>
    <w:rsid w:val="11C24A75"/>
    <w:rsid w:val="11CB00D6"/>
    <w:rsid w:val="11CE37BB"/>
    <w:rsid w:val="11FB1491"/>
    <w:rsid w:val="122973B6"/>
    <w:rsid w:val="122A72A8"/>
    <w:rsid w:val="123F6DA6"/>
    <w:rsid w:val="12507D85"/>
    <w:rsid w:val="126013F1"/>
    <w:rsid w:val="12847530"/>
    <w:rsid w:val="12C17C0A"/>
    <w:rsid w:val="12CD0BC7"/>
    <w:rsid w:val="12CD7E12"/>
    <w:rsid w:val="12E16446"/>
    <w:rsid w:val="12E757D5"/>
    <w:rsid w:val="12EC6645"/>
    <w:rsid w:val="12F11527"/>
    <w:rsid w:val="12F268E2"/>
    <w:rsid w:val="13161A84"/>
    <w:rsid w:val="1329487C"/>
    <w:rsid w:val="134866F6"/>
    <w:rsid w:val="13B26760"/>
    <w:rsid w:val="13F6528D"/>
    <w:rsid w:val="14044A9A"/>
    <w:rsid w:val="141A68B6"/>
    <w:rsid w:val="144E5BAF"/>
    <w:rsid w:val="146B341E"/>
    <w:rsid w:val="14747E0B"/>
    <w:rsid w:val="147E0DC6"/>
    <w:rsid w:val="1493239F"/>
    <w:rsid w:val="149B6EA9"/>
    <w:rsid w:val="14AB004F"/>
    <w:rsid w:val="14B15567"/>
    <w:rsid w:val="14EE3D05"/>
    <w:rsid w:val="14F506B7"/>
    <w:rsid w:val="150763F2"/>
    <w:rsid w:val="150A65E3"/>
    <w:rsid w:val="150B29A6"/>
    <w:rsid w:val="150F5B5B"/>
    <w:rsid w:val="151418E7"/>
    <w:rsid w:val="151A4A2D"/>
    <w:rsid w:val="154A4EFB"/>
    <w:rsid w:val="154D409D"/>
    <w:rsid w:val="15660FDA"/>
    <w:rsid w:val="15883A78"/>
    <w:rsid w:val="15BF5FE8"/>
    <w:rsid w:val="15C262FB"/>
    <w:rsid w:val="15C676EF"/>
    <w:rsid w:val="15E418D6"/>
    <w:rsid w:val="16091D65"/>
    <w:rsid w:val="161865F8"/>
    <w:rsid w:val="161C503A"/>
    <w:rsid w:val="16591B36"/>
    <w:rsid w:val="166168DF"/>
    <w:rsid w:val="1694591D"/>
    <w:rsid w:val="169C594C"/>
    <w:rsid w:val="16A53A88"/>
    <w:rsid w:val="16AA530D"/>
    <w:rsid w:val="16C05E02"/>
    <w:rsid w:val="16E4109C"/>
    <w:rsid w:val="16F20A76"/>
    <w:rsid w:val="16F83EDC"/>
    <w:rsid w:val="17072A83"/>
    <w:rsid w:val="171A50F3"/>
    <w:rsid w:val="171C6F3B"/>
    <w:rsid w:val="17332A24"/>
    <w:rsid w:val="17345E8F"/>
    <w:rsid w:val="17467324"/>
    <w:rsid w:val="17564F32"/>
    <w:rsid w:val="17603F55"/>
    <w:rsid w:val="178C2913"/>
    <w:rsid w:val="17B747CC"/>
    <w:rsid w:val="17C369DD"/>
    <w:rsid w:val="18073F08"/>
    <w:rsid w:val="1837782B"/>
    <w:rsid w:val="1843072E"/>
    <w:rsid w:val="185F3665"/>
    <w:rsid w:val="188379C1"/>
    <w:rsid w:val="18856D22"/>
    <w:rsid w:val="18975246"/>
    <w:rsid w:val="18A1683C"/>
    <w:rsid w:val="18C3544F"/>
    <w:rsid w:val="195524BA"/>
    <w:rsid w:val="19660802"/>
    <w:rsid w:val="19692EEC"/>
    <w:rsid w:val="19737818"/>
    <w:rsid w:val="19876FCE"/>
    <w:rsid w:val="199D7F05"/>
    <w:rsid w:val="19A30E80"/>
    <w:rsid w:val="19A97DF4"/>
    <w:rsid w:val="19B73F85"/>
    <w:rsid w:val="19C11DE3"/>
    <w:rsid w:val="19C355C9"/>
    <w:rsid w:val="19C64063"/>
    <w:rsid w:val="19CF0A6F"/>
    <w:rsid w:val="19D441B2"/>
    <w:rsid w:val="19E1314E"/>
    <w:rsid w:val="19F50079"/>
    <w:rsid w:val="1A2453EF"/>
    <w:rsid w:val="1A3D0EEE"/>
    <w:rsid w:val="1A553EC1"/>
    <w:rsid w:val="1A5E6EBD"/>
    <w:rsid w:val="1A821D66"/>
    <w:rsid w:val="1A830591"/>
    <w:rsid w:val="1A8832B6"/>
    <w:rsid w:val="1AA962B6"/>
    <w:rsid w:val="1AAB3B53"/>
    <w:rsid w:val="1ABF4A38"/>
    <w:rsid w:val="1AFA79D1"/>
    <w:rsid w:val="1AFC6D3C"/>
    <w:rsid w:val="1B0E1D0E"/>
    <w:rsid w:val="1B35404A"/>
    <w:rsid w:val="1B49533C"/>
    <w:rsid w:val="1B5811BD"/>
    <w:rsid w:val="1B5F2A76"/>
    <w:rsid w:val="1B6464FD"/>
    <w:rsid w:val="1B7B3544"/>
    <w:rsid w:val="1B947ED6"/>
    <w:rsid w:val="1BBB3F63"/>
    <w:rsid w:val="1BC822F1"/>
    <w:rsid w:val="1BCA09C5"/>
    <w:rsid w:val="1BE323D0"/>
    <w:rsid w:val="1C2E62C5"/>
    <w:rsid w:val="1C340046"/>
    <w:rsid w:val="1C384F42"/>
    <w:rsid w:val="1C3F0F93"/>
    <w:rsid w:val="1C6D2643"/>
    <w:rsid w:val="1C6E062E"/>
    <w:rsid w:val="1C75123A"/>
    <w:rsid w:val="1C782DBF"/>
    <w:rsid w:val="1C785C12"/>
    <w:rsid w:val="1CA84168"/>
    <w:rsid w:val="1CA97CE2"/>
    <w:rsid w:val="1CBA1EAB"/>
    <w:rsid w:val="1CDA2E0B"/>
    <w:rsid w:val="1CEE0E42"/>
    <w:rsid w:val="1CF3211F"/>
    <w:rsid w:val="1D05311E"/>
    <w:rsid w:val="1D0E0D07"/>
    <w:rsid w:val="1D3948E5"/>
    <w:rsid w:val="1D6479FD"/>
    <w:rsid w:val="1D672F03"/>
    <w:rsid w:val="1D966254"/>
    <w:rsid w:val="1DD87027"/>
    <w:rsid w:val="1DE552E4"/>
    <w:rsid w:val="1E1B09E6"/>
    <w:rsid w:val="1E1B4162"/>
    <w:rsid w:val="1E4137E8"/>
    <w:rsid w:val="1E4B7068"/>
    <w:rsid w:val="1E516529"/>
    <w:rsid w:val="1E7105B7"/>
    <w:rsid w:val="1E793D3B"/>
    <w:rsid w:val="1E864B46"/>
    <w:rsid w:val="1E965227"/>
    <w:rsid w:val="1EA4671A"/>
    <w:rsid w:val="1EB7583B"/>
    <w:rsid w:val="1EC665CA"/>
    <w:rsid w:val="1EF9077F"/>
    <w:rsid w:val="1F2E3A12"/>
    <w:rsid w:val="1F9D516C"/>
    <w:rsid w:val="1FBA473A"/>
    <w:rsid w:val="1FC82D20"/>
    <w:rsid w:val="1FD47FE6"/>
    <w:rsid w:val="1FDB3E2C"/>
    <w:rsid w:val="1FE438EC"/>
    <w:rsid w:val="202A4011"/>
    <w:rsid w:val="203C6E10"/>
    <w:rsid w:val="204B2D1A"/>
    <w:rsid w:val="204C2FF0"/>
    <w:rsid w:val="2059268C"/>
    <w:rsid w:val="205D1457"/>
    <w:rsid w:val="20720778"/>
    <w:rsid w:val="20AC752A"/>
    <w:rsid w:val="20B46C79"/>
    <w:rsid w:val="20C23837"/>
    <w:rsid w:val="20CE6CD9"/>
    <w:rsid w:val="20D11F09"/>
    <w:rsid w:val="20FD731A"/>
    <w:rsid w:val="21113041"/>
    <w:rsid w:val="21210442"/>
    <w:rsid w:val="217A3D6D"/>
    <w:rsid w:val="21835426"/>
    <w:rsid w:val="21B437D0"/>
    <w:rsid w:val="21BE3265"/>
    <w:rsid w:val="21CD6ACE"/>
    <w:rsid w:val="21D56496"/>
    <w:rsid w:val="21DD7DC4"/>
    <w:rsid w:val="21FE6D82"/>
    <w:rsid w:val="22140B6D"/>
    <w:rsid w:val="2222671E"/>
    <w:rsid w:val="222C0407"/>
    <w:rsid w:val="222E565F"/>
    <w:rsid w:val="22380CB6"/>
    <w:rsid w:val="223A66B7"/>
    <w:rsid w:val="22472DF4"/>
    <w:rsid w:val="2295001C"/>
    <w:rsid w:val="229B5C7C"/>
    <w:rsid w:val="229D3B4C"/>
    <w:rsid w:val="229E3D5D"/>
    <w:rsid w:val="22A55C69"/>
    <w:rsid w:val="22A81533"/>
    <w:rsid w:val="22B83BEE"/>
    <w:rsid w:val="22E15053"/>
    <w:rsid w:val="22F5243F"/>
    <w:rsid w:val="233030C4"/>
    <w:rsid w:val="23411E36"/>
    <w:rsid w:val="23741A3B"/>
    <w:rsid w:val="23D06654"/>
    <w:rsid w:val="23D611C3"/>
    <w:rsid w:val="240D5F2F"/>
    <w:rsid w:val="241C054F"/>
    <w:rsid w:val="24216F97"/>
    <w:rsid w:val="24252BFE"/>
    <w:rsid w:val="245063C6"/>
    <w:rsid w:val="24921AAB"/>
    <w:rsid w:val="24C438E9"/>
    <w:rsid w:val="24CC0A2E"/>
    <w:rsid w:val="24F81A78"/>
    <w:rsid w:val="24FB67F2"/>
    <w:rsid w:val="25172D53"/>
    <w:rsid w:val="252F23A2"/>
    <w:rsid w:val="25412E58"/>
    <w:rsid w:val="259665E0"/>
    <w:rsid w:val="259C262C"/>
    <w:rsid w:val="259D3570"/>
    <w:rsid w:val="25A30C41"/>
    <w:rsid w:val="25A83D63"/>
    <w:rsid w:val="260102B4"/>
    <w:rsid w:val="26017D0D"/>
    <w:rsid w:val="26343D14"/>
    <w:rsid w:val="26490009"/>
    <w:rsid w:val="265E26E2"/>
    <w:rsid w:val="26931E95"/>
    <w:rsid w:val="26A22B91"/>
    <w:rsid w:val="26B42F56"/>
    <w:rsid w:val="26BB0C37"/>
    <w:rsid w:val="26D869F2"/>
    <w:rsid w:val="26FB6DFA"/>
    <w:rsid w:val="26FE7307"/>
    <w:rsid w:val="271F59C8"/>
    <w:rsid w:val="27495286"/>
    <w:rsid w:val="27670468"/>
    <w:rsid w:val="27677991"/>
    <w:rsid w:val="276D5D20"/>
    <w:rsid w:val="27744272"/>
    <w:rsid w:val="27787B7A"/>
    <w:rsid w:val="27B83660"/>
    <w:rsid w:val="27CC0C59"/>
    <w:rsid w:val="285051C7"/>
    <w:rsid w:val="285D247A"/>
    <w:rsid w:val="28777889"/>
    <w:rsid w:val="28A81AB2"/>
    <w:rsid w:val="28B338A4"/>
    <w:rsid w:val="28DC4888"/>
    <w:rsid w:val="28F16982"/>
    <w:rsid w:val="291800E1"/>
    <w:rsid w:val="291F5120"/>
    <w:rsid w:val="2939689E"/>
    <w:rsid w:val="294B7BA7"/>
    <w:rsid w:val="2956525D"/>
    <w:rsid w:val="297D4412"/>
    <w:rsid w:val="297D4665"/>
    <w:rsid w:val="297F0E9E"/>
    <w:rsid w:val="298E3B02"/>
    <w:rsid w:val="299F1BF2"/>
    <w:rsid w:val="29B63ACC"/>
    <w:rsid w:val="29CA5383"/>
    <w:rsid w:val="29E74FD1"/>
    <w:rsid w:val="2A1F6271"/>
    <w:rsid w:val="2A5E0F8C"/>
    <w:rsid w:val="2AA6250C"/>
    <w:rsid w:val="2ABE7F77"/>
    <w:rsid w:val="2AE5579D"/>
    <w:rsid w:val="2AF72471"/>
    <w:rsid w:val="2B002DC9"/>
    <w:rsid w:val="2B0315F1"/>
    <w:rsid w:val="2B082810"/>
    <w:rsid w:val="2B265DD5"/>
    <w:rsid w:val="2B8853E3"/>
    <w:rsid w:val="2BBB2903"/>
    <w:rsid w:val="2BE46F7C"/>
    <w:rsid w:val="2BF64D77"/>
    <w:rsid w:val="2BFD3A61"/>
    <w:rsid w:val="2C443C25"/>
    <w:rsid w:val="2C5034CA"/>
    <w:rsid w:val="2C522129"/>
    <w:rsid w:val="2C543DE7"/>
    <w:rsid w:val="2C6C6DD6"/>
    <w:rsid w:val="2C6C77F8"/>
    <w:rsid w:val="2C735BBA"/>
    <w:rsid w:val="2C922ACF"/>
    <w:rsid w:val="2C9366C5"/>
    <w:rsid w:val="2CAB0320"/>
    <w:rsid w:val="2CD34274"/>
    <w:rsid w:val="2CFB7349"/>
    <w:rsid w:val="2D3319B5"/>
    <w:rsid w:val="2D582091"/>
    <w:rsid w:val="2D686734"/>
    <w:rsid w:val="2DAB222D"/>
    <w:rsid w:val="2DE27C77"/>
    <w:rsid w:val="2E2465DC"/>
    <w:rsid w:val="2E716921"/>
    <w:rsid w:val="2E7C01C8"/>
    <w:rsid w:val="2EAA031E"/>
    <w:rsid w:val="2EB22E97"/>
    <w:rsid w:val="2EB37960"/>
    <w:rsid w:val="2ED551CF"/>
    <w:rsid w:val="2ED75DC9"/>
    <w:rsid w:val="2EDC2072"/>
    <w:rsid w:val="2EF50C7F"/>
    <w:rsid w:val="2F026A59"/>
    <w:rsid w:val="2F0A00B7"/>
    <w:rsid w:val="2F246546"/>
    <w:rsid w:val="2F3C3683"/>
    <w:rsid w:val="2F4F5285"/>
    <w:rsid w:val="2F5062E5"/>
    <w:rsid w:val="2F7B06F0"/>
    <w:rsid w:val="2F8A6373"/>
    <w:rsid w:val="2F8D2EFD"/>
    <w:rsid w:val="2F9F4237"/>
    <w:rsid w:val="2FAF6BC7"/>
    <w:rsid w:val="2FB43FA2"/>
    <w:rsid w:val="2FB74353"/>
    <w:rsid w:val="2FBC03D9"/>
    <w:rsid w:val="2FBF6C9F"/>
    <w:rsid w:val="2FC641CF"/>
    <w:rsid w:val="300134D8"/>
    <w:rsid w:val="3017056A"/>
    <w:rsid w:val="30345472"/>
    <w:rsid w:val="30385E77"/>
    <w:rsid w:val="304E1FF2"/>
    <w:rsid w:val="30504874"/>
    <w:rsid w:val="306F6FBB"/>
    <w:rsid w:val="30895F4D"/>
    <w:rsid w:val="30C05DA7"/>
    <w:rsid w:val="30CB0F91"/>
    <w:rsid w:val="30DA080A"/>
    <w:rsid w:val="30DC14B6"/>
    <w:rsid w:val="30E50B59"/>
    <w:rsid w:val="30EE014F"/>
    <w:rsid w:val="30F16BD3"/>
    <w:rsid w:val="30F2215B"/>
    <w:rsid w:val="3108431B"/>
    <w:rsid w:val="310E5509"/>
    <w:rsid w:val="31172BA3"/>
    <w:rsid w:val="3193747B"/>
    <w:rsid w:val="31971FF1"/>
    <w:rsid w:val="31AF40F1"/>
    <w:rsid w:val="31EF5C3F"/>
    <w:rsid w:val="31FA2B99"/>
    <w:rsid w:val="32085DA8"/>
    <w:rsid w:val="320917BE"/>
    <w:rsid w:val="320C095D"/>
    <w:rsid w:val="32131066"/>
    <w:rsid w:val="32194741"/>
    <w:rsid w:val="32251BD8"/>
    <w:rsid w:val="328827F7"/>
    <w:rsid w:val="32957A80"/>
    <w:rsid w:val="32CA6CD9"/>
    <w:rsid w:val="32D50C6A"/>
    <w:rsid w:val="32DB0F7C"/>
    <w:rsid w:val="32DD2409"/>
    <w:rsid w:val="32FB74F4"/>
    <w:rsid w:val="330A0633"/>
    <w:rsid w:val="33142B56"/>
    <w:rsid w:val="3333106F"/>
    <w:rsid w:val="33465F3E"/>
    <w:rsid w:val="334C59BA"/>
    <w:rsid w:val="334D546E"/>
    <w:rsid w:val="334E1A96"/>
    <w:rsid w:val="334E5EA9"/>
    <w:rsid w:val="33854CA0"/>
    <w:rsid w:val="33922CA9"/>
    <w:rsid w:val="33B94B30"/>
    <w:rsid w:val="33D208D4"/>
    <w:rsid w:val="33E37050"/>
    <w:rsid w:val="33E4650C"/>
    <w:rsid w:val="34014CEB"/>
    <w:rsid w:val="341244A6"/>
    <w:rsid w:val="34174E0B"/>
    <w:rsid w:val="343F3CA4"/>
    <w:rsid w:val="34570DC8"/>
    <w:rsid w:val="34627AFE"/>
    <w:rsid w:val="34831C97"/>
    <w:rsid w:val="348E1B67"/>
    <w:rsid w:val="34E15F78"/>
    <w:rsid w:val="350E11BA"/>
    <w:rsid w:val="352F0422"/>
    <w:rsid w:val="35311A49"/>
    <w:rsid w:val="35393BFA"/>
    <w:rsid w:val="3598246F"/>
    <w:rsid w:val="35BD63E1"/>
    <w:rsid w:val="35DC1A9F"/>
    <w:rsid w:val="35F955D4"/>
    <w:rsid w:val="361A6E50"/>
    <w:rsid w:val="36213172"/>
    <w:rsid w:val="362F5A75"/>
    <w:rsid w:val="363864B1"/>
    <w:rsid w:val="365424A7"/>
    <w:rsid w:val="36564A5B"/>
    <w:rsid w:val="36771BCE"/>
    <w:rsid w:val="36955860"/>
    <w:rsid w:val="36AE76C3"/>
    <w:rsid w:val="36EF439B"/>
    <w:rsid w:val="37150EA9"/>
    <w:rsid w:val="372D3A76"/>
    <w:rsid w:val="374D298B"/>
    <w:rsid w:val="37653CDF"/>
    <w:rsid w:val="37657C3C"/>
    <w:rsid w:val="37A13EFE"/>
    <w:rsid w:val="37A367C3"/>
    <w:rsid w:val="37AA052D"/>
    <w:rsid w:val="37AE2F55"/>
    <w:rsid w:val="37BE790B"/>
    <w:rsid w:val="37D275E5"/>
    <w:rsid w:val="37D5173B"/>
    <w:rsid w:val="37E4117A"/>
    <w:rsid w:val="37E45908"/>
    <w:rsid w:val="381D60D9"/>
    <w:rsid w:val="381E3D1F"/>
    <w:rsid w:val="38455EC6"/>
    <w:rsid w:val="385F70DE"/>
    <w:rsid w:val="387872F6"/>
    <w:rsid w:val="387C6989"/>
    <w:rsid w:val="38BB700B"/>
    <w:rsid w:val="38D8329D"/>
    <w:rsid w:val="38E726AB"/>
    <w:rsid w:val="39024647"/>
    <w:rsid w:val="392A3942"/>
    <w:rsid w:val="392E4B41"/>
    <w:rsid w:val="393D00F7"/>
    <w:rsid w:val="39B70940"/>
    <w:rsid w:val="39CE1A8D"/>
    <w:rsid w:val="39F01A68"/>
    <w:rsid w:val="3A125D9D"/>
    <w:rsid w:val="3A1C4673"/>
    <w:rsid w:val="3A2431F5"/>
    <w:rsid w:val="3A2F238C"/>
    <w:rsid w:val="3A4C307F"/>
    <w:rsid w:val="3A506ABF"/>
    <w:rsid w:val="3A612A3F"/>
    <w:rsid w:val="3A612DF3"/>
    <w:rsid w:val="3A9F68CE"/>
    <w:rsid w:val="3AAC30A5"/>
    <w:rsid w:val="3ABA48AB"/>
    <w:rsid w:val="3ADA779E"/>
    <w:rsid w:val="3ADD1FEC"/>
    <w:rsid w:val="3AFC2C51"/>
    <w:rsid w:val="3B293023"/>
    <w:rsid w:val="3B455849"/>
    <w:rsid w:val="3B766F5C"/>
    <w:rsid w:val="3BC536B1"/>
    <w:rsid w:val="3BD27484"/>
    <w:rsid w:val="3BE75240"/>
    <w:rsid w:val="3C072788"/>
    <w:rsid w:val="3C225B80"/>
    <w:rsid w:val="3C5D7B43"/>
    <w:rsid w:val="3C5E0A0F"/>
    <w:rsid w:val="3C7E7A3C"/>
    <w:rsid w:val="3C850B8E"/>
    <w:rsid w:val="3CA23F6E"/>
    <w:rsid w:val="3CB812BF"/>
    <w:rsid w:val="3CF61E78"/>
    <w:rsid w:val="3CFC0DF4"/>
    <w:rsid w:val="3D0C0DE5"/>
    <w:rsid w:val="3D2D184C"/>
    <w:rsid w:val="3D423C28"/>
    <w:rsid w:val="3D5742AE"/>
    <w:rsid w:val="3D6A2A68"/>
    <w:rsid w:val="3D7D762D"/>
    <w:rsid w:val="3DC02FBB"/>
    <w:rsid w:val="3DDE7EA2"/>
    <w:rsid w:val="3DF2556A"/>
    <w:rsid w:val="3E030529"/>
    <w:rsid w:val="3E0F3203"/>
    <w:rsid w:val="3E396D4C"/>
    <w:rsid w:val="3E4017D4"/>
    <w:rsid w:val="3E442382"/>
    <w:rsid w:val="3E555C10"/>
    <w:rsid w:val="3E731A85"/>
    <w:rsid w:val="3EC35894"/>
    <w:rsid w:val="3ED11853"/>
    <w:rsid w:val="3EE47C1F"/>
    <w:rsid w:val="3F0A37C5"/>
    <w:rsid w:val="3F11281E"/>
    <w:rsid w:val="3F1A187E"/>
    <w:rsid w:val="3F2C09B1"/>
    <w:rsid w:val="3F3F297E"/>
    <w:rsid w:val="3F4168C2"/>
    <w:rsid w:val="3F43407C"/>
    <w:rsid w:val="3F5E7B79"/>
    <w:rsid w:val="3F703F49"/>
    <w:rsid w:val="3F8659D4"/>
    <w:rsid w:val="3F9B1978"/>
    <w:rsid w:val="3FA44F80"/>
    <w:rsid w:val="3FC24C3F"/>
    <w:rsid w:val="3FF724D8"/>
    <w:rsid w:val="407812FF"/>
    <w:rsid w:val="408B689D"/>
    <w:rsid w:val="4097073D"/>
    <w:rsid w:val="40AB4872"/>
    <w:rsid w:val="40E04B80"/>
    <w:rsid w:val="410855AC"/>
    <w:rsid w:val="410D5D95"/>
    <w:rsid w:val="41101DE3"/>
    <w:rsid w:val="411B0FD0"/>
    <w:rsid w:val="41251DC0"/>
    <w:rsid w:val="41347D6D"/>
    <w:rsid w:val="413B0101"/>
    <w:rsid w:val="41467A51"/>
    <w:rsid w:val="41697B53"/>
    <w:rsid w:val="41865A98"/>
    <w:rsid w:val="41B2009C"/>
    <w:rsid w:val="41DC0A19"/>
    <w:rsid w:val="41E04873"/>
    <w:rsid w:val="41ED2AA1"/>
    <w:rsid w:val="41FB0B50"/>
    <w:rsid w:val="42151933"/>
    <w:rsid w:val="423F7683"/>
    <w:rsid w:val="426F660F"/>
    <w:rsid w:val="428D3FC7"/>
    <w:rsid w:val="433C2209"/>
    <w:rsid w:val="43630CB1"/>
    <w:rsid w:val="436C7F57"/>
    <w:rsid w:val="439671BE"/>
    <w:rsid w:val="439B0314"/>
    <w:rsid w:val="439B7377"/>
    <w:rsid w:val="43BD077F"/>
    <w:rsid w:val="43BF3059"/>
    <w:rsid w:val="43CA20CE"/>
    <w:rsid w:val="43D8485D"/>
    <w:rsid w:val="43E75135"/>
    <w:rsid w:val="43E97A8A"/>
    <w:rsid w:val="44054734"/>
    <w:rsid w:val="44221CCD"/>
    <w:rsid w:val="442A7EF2"/>
    <w:rsid w:val="44604BDA"/>
    <w:rsid w:val="446901A4"/>
    <w:rsid w:val="44836276"/>
    <w:rsid w:val="449508D0"/>
    <w:rsid w:val="44A27536"/>
    <w:rsid w:val="44AA73C0"/>
    <w:rsid w:val="44AE57F9"/>
    <w:rsid w:val="44D63D69"/>
    <w:rsid w:val="44E40213"/>
    <w:rsid w:val="44EF052A"/>
    <w:rsid w:val="44EF624D"/>
    <w:rsid w:val="45101BB9"/>
    <w:rsid w:val="452701FD"/>
    <w:rsid w:val="452D51EA"/>
    <w:rsid w:val="454C692D"/>
    <w:rsid w:val="45562C41"/>
    <w:rsid w:val="45667A01"/>
    <w:rsid w:val="4577128F"/>
    <w:rsid w:val="459C6182"/>
    <w:rsid w:val="45C43104"/>
    <w:rsid w:val="45E27528"/>
    <w:rsid w:val="45E8333E"/>
    <w:rsid w:val="4602492F"/>
    <w:rsid w:val="463140B5"/>
    <w:rsid w:val="464441E5"/>
    <w:rsid w:val="46445C37"/>
    <w:rsid w:val="464B2BB6"/>
    <w:rsid w:val="465365DA"/>
    <w:rsid w:val="465F1645"/>
    <w:rsid w:val="467B04F4"/>
    <w:rsid w:val="46800065"/>
    <w:rsid w:val="46915DD2"/>
    <w:rsid w:val="46A82DB3"/>
    <w:rsid w:val="46B00A58"/>
    <w:rsid w:val="46B549DC"/>
    <w:rsid w:val="46C04D5A"/>
    <w:rsid w:val="46C81D6E"/>
    <w:rsid w:val="46CC5B10"/>
    <w:rsid w:val="47057685"/>
    <w:rsid w:val="471D243C"/>
    <w:rsid w:val="47241D0F"/>
    <w:rsid w:val="47311867"/>
    <w:rsid w:val="47455B21"/>
    <w:rsid w:val="47800FDE"/>
    <w:rsid w:val="478E1476"/>
    <w:rsid w:val="479F2852"/>
    <w:rsid w:val="47AD69F8"/>
    <w:rsid w:val="47AD7360"/>
    <w:rsid w:val="48086415"/>
    <w:rsid w:val="4867563D"/>
    <w:rsid w:val="486A44D7"/>
    <w:rsid w:val="48957A21"/>
    <w:rsid w:val="492D2BA9"/>
    <w:rsid w:val="4982076E"/>
    <w:rsid w:val="49824616"/>
    <w:rsid w:val="498C0A75"/>
    <w:rsid w:val="49B91437"/>
    <w:rsid w:val="49F81001"/>
    <w:rsid w:val="49FB16BE"/>
    <w:rsid w:val="4A0A4DDD"/>
    <w:rsid w:val="4A43251F"/>
    <w:rsid w:val="4A571E48"/>
    <w:rsid w:val="4A5A4E0C"/>
    <w:rsid w:val="4AA75DFF"/>
    <w:rsid w:val="4B036AC0"/>
    <w:rsid w:val="4B054C48"/>
    <w:rsid w:val="4B0B04B0"/>
    <w:rsid w:val="4B3D1240"/>
    <w:rsid w:val="4B4D6260"/>
    <w:rsid w:val="4B60403B"/>
    <w:rsid w:val="4B616C56"/>
    <w:rsid w:val="4B7E53F2"/>
    <w:rsid w:val="4BAB6D46"/>
    <w:rsid w:val="4BB714C5"/>
    <w:rsid w:val="4BCB4C71"/>
    <w:rsid w:val="4BE97A59"/>
    <w:rsid w:val="4BF57303"/>
    <w:rsid w:val="4BF67095"/>
    <w:rsid w:val="4BFC67AA"/>
    <w:rsid w:val="4C025CFB"/>
    <w:rsid w:val="4C0849EF"/>
    <w:rsid w:val="4C263B6D"/>
    <w:rsid w:val="4C490155"/>
    <w:rsid w:val="4C6F2171"/>
    <w:rsid w:val="4C8D58D1"/>
    <w:rsid w:val="4CA101E7"/>
    <w:rsid w:val="4CAE12D9"/>
    <w:rsid w:val="4CCE63D5"/>
    <w:rsid w:val="4CEB32AC"/>
    <w:rsid w:val="4D0748D8"/>
    <w:rsid w:val="4D3D03C8"/>
    <w:rsid w:val="4D4E264E"/>
    <w:rsid w:val="4D567520"/>
    <w:rsid w:val="4D6A3AF7"/>
    <w:rsid w:val="4D73233C"/>
    <w:rsid w:val="4D853C23"/>
    <w:rsid w:val="4D8D633D"/>
    <w:rsid w:val="4D9150A8"/>
    <w:rsid w:val="4D9C4B3C"/>
    <w:rsid w:val="4DAF6BF1"/>
    <w:rsid w:val="4DD3633D"/>
    <w:rsid w:val="4E1E68D8"/>
    <w:rsid w:val="4E41124E"/>
    <w:rsid w:val="4E547C28"/>
    <w:rsid w:val="4E6E4D24"/>
    <w:rsid w:val="4E7A46D3"/>
    <w:rsid w:val="4E8F3E9C"/>
    <w:rsid w:val="4E951DCD"/>
    <w:rsid w:val="4EB853EA"/>
    <w:rsid w:val="4EC4250B"/>
    <w:rsid w:val="4EC8616D"/>
    <w:rsid w:val="4EEA50E7"/>
    <w:rsid w:val="4EEB3549"/>
    <w:rsid w:val="4F222182"/>
    <w:rsid w:val="4F30576A"/>
    <w:rsid w:val="4F367AC5"/>
    <w:rsid w:val="4F3B540D"/>
    <w:rsid w:val="4FD7394F"/>
    <w:rsid w:val="504A4857"/>
    <w:rsid w:val="505111C7"/>
    <w:rsid w:val="50596A9C"/>
    <w:rsid w:val="50860564"/>
    <w:rsid w:val="50A8406F"/>
    <w:rsid w:val="50AD2A87"/>
    <w:rsid w:val="50B54918"/>
    <w:rsid w:val="50C02360"/>
    <w:rsid w:val="50C11D28"/>
    <w:rsid w:val="50C565EE"/>
    <w:rsid w:val="511D1B24"/>
    <w:rsid w:val="512B1487"/>
    <w:rsid w:val="51484B80"/>
    <w:rsid w:val="51552413"/>
    <w:rsid w:val="515D0924"/>
    <w:rsid w:val="51646B6C"/>
    <w:rsid w:val="5186564C"/>
    <w:rsid w:val="51AE76EA"/>
    <w:rsid w:val="51C85FDC"/>
    <w:rsid w:val="51CC19B4"/>
    <w:rsid w:val="51CC47C4"/>
    <w:rsid w:val="51D57658"/>
    <w:rsid w:val="51DC4954"/>
    <w:rsid w:val="51DE2516"/>
    <w:rsid w:val="51F97C28"/>
    <w:rsid w:val="52355910"/>
    <w:rsid w:val="52404529"/>
    <w:rsid w:val="525C5312"/>
    <w:rsid w:val="526923CE"/>
    <w:rsid w:val="528043E7"/>
    <w:rsid w:val="528974B0"/>
    <w:rsid w:val="529B443F"/>
    <w:rsid w:val="52AE0406"/>
    <w:rsid w:val="52AF2F68"/>
    <w:rsid w:val="52E65031"/>
    <w:rsid w:val="53310E3A"/>
    <w:rsid w:val="53367851"/>
    <w:rsid w:val="53514ABF"/>
    <w:rsid w:val="53CC54C9"/>
    <w:rsid w:val="53D0242F"/>
    <w:rsid w:val="53FE5EDD"/>
    <w:rsid w:val="540173A0"/>
    <w:rsid w:val="5409376E"/>
    <w:rsid w:val="54214C15"/>
    <w:rsid w:val="5426635A"/>
    <w:rsid w:val="54354F37"/>
    <w:rsid w:val="54375C0B"/>
    <w:rsid w:val="5449425C"/>
    <w:rsid w:val="54574D8C"/>
    <w:rsid w:val="54793349"/>
    <w:rsid w:val="54A23167"/>
    <w:rsid w:val="54BA4091"/>
    <w:rsid w:val="54C82B6D"/>
    <w:rsid w:val="54CB1E48"/>
    <w:rsid w:val="54D85158"/>
    <w:rsid w:val="54D923E8"/>
    <w:rsid w:val="54EA3BFA"/>
    <w:rsid w:val="55066459"/>
    <w:rsid w:val="552E2C71"/>
    <w:rsid w:val="55306C27"/>
    <w:rsid w:val="55394479"/>
    <w:rsid w:val="555F6D9E"/>
    <w:rsid w:val="5592728B"/>
    <w:rsid w:val="559279C6"/>
    <w:rsid w:val="55C1118A"/>
    <w:rsid w:val="55EE3A66"/>
    <w:rsid w:val="55F631B1"/>
    <w:rsid w:val="55FF4FF3"/>
    <w:rsid w:val="56014E0E"/>
    <w:rsid w:val="56232443"/>
    <w:rsid w:val="562713A5"/>
    <w:rsid w:val="562F31EC"/>
    <w:rsid w:val="56375B7A"/>
    <w:rsid w:val="56503F1D"/>
    <w:rsid w:val="565C7A6A"/>
    <w:rsid w:val="568C1F21"/>
    <w:rsid w:val="5693619E"/>
    <w:rsid w:val="5696578A"/>
    <w:rsid w:val="56A75EA3"/>
    <w:rsid w:val="56B07C36"/>
    <w:rsid w:val="56C91CA7"/>
    <w:rsid w:val="56EF3E22"/>
    <w:rsid w:val="57081D47"/>
    <w:rsid w:val="57352B88"/>
    <w:rsid w:val="57364BD2"/>
    <w:rsid w:val="573C45A1"/>
    <w:rsid w:val="57496ADF"/>
    <w:rsid w:val="576461EE"/>
    <w:rsid w:val="579212BC"/>
    <w:rsid w:val="57AB4125"/>
    <w:rsid w:val="57AC12E1"/>
    <w:rsid w:val="57B436EF"/>
    <w:rsid w:val="57B52D76"/>
    <w:rsid w:val="57B90856"/>
    <w:rsid w:val="57B974E6"/>
    <w:rsid w:val="57BC0308"/>
    <w:rsid w:val="57D66BD7"/>
    <w:rsid w:val="57E54F01"/>
    <w:rsid w:val="581F6587"/>
    <w:rsid w:val="58324273"/>
    <w:rsid w:val="58585BE6"/>
    <w:rsid w:val="588D0864"/>
    <w:rsid w:val="58B35A2E"/>
    <w:rsid w:val="58BB618F"/>
    <w:rsid w:val="58C00A93"/>
    <w:rsid w:val="58CD5870"/>
    <w:rsid w:val="58D06F50"/>
    <w:rsid w:val="5937619E"/>
    <w:rsid w:val="5967311D"/>
    <w:rsid w:val="596E5C1B"/>
    <w:rsid w:val="59CC35FA"/>
    <w:rsid w:val="5A4543BB"/>
    <w:rsid w:val="5A7B12BB"/>
    <w:rsid w:val="5AA26640"/>
    <w:rsid w:val="5ABD103A"/>
    <w:rsid w:val="5AC101EA"/>
    <w:rsid w:val="5ADC36B0"/>
    <w:rsid w:val="5AEB44B6"/>
    <w:rsid w:val="5AF06EB4"/>
    <w:rsid w:val="5B1C5918"/>
    <w:rsid w:val="5B6D18D2"/>
    <w:rsid w:val="5B9501B7"/>
    <w:rsid w:val="5B9B5E2E"/>
    <w:rsid w:val="5BAD6F7B"/>
    <w:rsid w:val="5BBD653D"/>
    <w:rsid w:val="5BC03E9E"/>
    <w:rsid w:val="5BCC5B75"/>
    <w:rsid w:val="5BD34044"/>
    <w:rsid w:val="5BD610A6"/>
    <w:rsid w:val="5BDB06CF"/>
    <w:rsid w:val="5BDB7642"/>
    <w:rsid w:val="5C1215C3"/>
    <w:rsid w:val="5C4C213D"/>
    <w:rsid w:val="5C4E702F"/>
    <w:rsid w:val="5C6B137F"/>
    <w:rsid w:val="5C82019D"/>
    <w:rsid w:val="5CCF02DE"/>
    <w:rsid w:val="5CD750DE"/>
    <w:rsid w:val="5CDB5551"/>
    <w:rsid w:val="5CEF4AD3"/>
    <w:rsid w:val="5D253D92"/>
    <w:rsid w:val="5D32736C"/>
    <w:rsid w:val="5D357204"/>
    <w:rsid w:val="5D50318B"/>
    <w:rsid w:val="5D592EB4"/>
    <w:rsid w:val="5D930DA4"/>
    <w:rsid w:val="5DA741F0"/>
    <w:rsid w:val="5DD96A40"/>
    <w:rsid w:val="5DE9362C"/>
    <w:rsid w:val="5DEE12C0"/>
    <w:rsid w:val="5DF25D27"/>
    <w:rsid w:val="5E0E3FAF"/>
    <w:rsid w:val="5E210C4B"/>
    <w:rsid w:val="5E44501C"/>
    <w:rsid w:val="5E4462DC"/>
    <w:rsid w:val="5E623A9C"/>
    <w:rsid w:val="5E686EDB"/>
    <w:rsid w:val="5E6D5E3C"/>
    <w:rsid w:val="5E880B7F"/>
    <w:rsid w:val="5E8A58F8"/>
    <w:rsid w:val="5EBF644F"/>
    <w:rsid w:val="5ED31D24"/>
    <w:rsid w:val="5EDC4FA5"/>
    <w:rsid w:val="5EDE4920"/>
    <w:rsid w:val="5EE1349A"/>
    <w:rsid w:val="5F122374"/>
    <w:rsid w:val="5F2B65C8"/>
    <w:rsid w:val="5F2F1819"/>
    <w:rsid w:val="5F3876D3"/>
    <w:rsid w:val="5F574600"/>
    <w:rsid w:val="5F7842FD"/>
    <w:rsid w:val="5F93149A"/>
    <w:rsid w:val="5FA50100"/>
    <w:rsid w:val="5FA86AF4"/>
    <w:rsid w:val="5FAC2A2C"/>
    <w:rsid w:val="5FB12DB1"/>
    <w:rsid w:val="5FCB5695"/>
    <w:rsid w:val="6028345A"/>
    <w:rsid w:val="603B0BDF"/>
    <w:rsid w:val="603B54BE"/>
    <w:rsid w:val="606C1599"/>
    <w:rsid w:val="60CC4F73"/>
    <w:rsid w:val="60F60BE2"/>
    <w:rsid w:val="610C1CFD"/>
    <w:rsid w:val="6138028D"/>
    <w:rsid w:val="613D499D"/>
    <w:rsid w:val="61494D76"/>
    <w:rsid w:val="615B2E40"/>
    <w:rsid w:val="61601DC4"/>
    <w:rsid w:val="616A0468"/>
    <w:rsid w:val="616C4B2F"/>
    <w:rsid w:val="61AC183A"/>
    <w:rsid w:val="61C71A6B"/>
    <w:rsid w:val="61E865ED"/>
    <w:rsid w:val="61F57946"/>
    <w:rsid w:val="6203714A"/>
    <w:rsid w:val="62126335"/>
    <w:rsid w:val="621D5E06"/>
    <w:rsid w:val="626C7E1A"/>
    <w:rsid w:val="626D1BCA"/>
    <w:rsid w:val="62A752F8"/>
    <w:rsid w:val="62AA2750"/>
    <w:rsid w:val="62AB783E"/>
    <w:rsid w:val="62B4007A"/>
    <w:rsid w:val="62E77E23"/>
    <w:rsid w:val="62F4153E"/>
    <w:rsid w:val="6303312C"/>
    <w:rsid w:val="63234A7B"/>
    <w:rsid w:val="635B4CC7"/>
    <w:rsid w:val="637104ED"/>
    <w:rsid w:val="637E54F8"/>
    <w:rsid w:val="63992DD3"/>
    <w:rsid w:val="63AE67B1"/>
    <w:rsid w:val="63B23C2B"/>
    <w:rsid w:val="63D41735"/>
    <w:rsid w:val="63D43D3F"/>
    <w:rsid w:val="63DA3A9E"/>
    <w:rsid w:val="6406209B"/>
    <w:rsid w:val="64397724"/>
    <w:rsid w:val="643C638C"/>
    <w:rsid w:val="6491382E"/>
    <w:rsid w:val="64B214B3"/>
    <w:rsid w:val="64BE5069"/>
    <w:rsid w:val="64D06AFA"/>
    <w:rsid w:val="64ED5127"/>
    <w:rsid w:val="652F7AD6"/>
    <w:rsid w:val="65351463"/>
    <w:rsid w:val="653811B9"/>
    <w:rsid w:val="65BF06A8"/>
    <w:rsid w:val="65BF071E"/>
    <w:rsid w:val="65C57BE2"/>
    <w:rsid w:val="65F73BD8"/>
    <w:rsid w:val="66093A43"/>
    <w:rsid w:val="660B0397"/>
    <w:rsid w:val="66221184"/>
    <w:rsid w:val="662C46DA"/>
    <w:rsid w:val="666D739E"/>
    <w:rsid w:val="667217B0"/>
    <w:rsid w:val="66B75C33"/>
    <w:rsid w:val="66D8283C"/>
    <w:rsid w:val="6706237E"/>
    <w:rsid w:val="67110715"/>
    <w:rsid w:val="672E21F4"/>
    <w:rsid w:val="6735383F"/>
    <w:rsid w:val="67354A4A"/>
    <w:rsid w:val="679A2E90"/>
    <w:rsid w:val="67A724E5"/>
    <w:rsid w:val="67B56519"/>
    <w:rsid w:val="67D11DFD"/>
    <w:rsid w:val="67DB05F7"/>
    <w:rsid w:val="68107747"/>
    <w:rsid w:val="68251702"/>
    <w:rsid w:val="683A652E"/>
    <w:rsid w:val="68502CC0"/>
    <w:rsid w:val="685238EA"/>
    <w:rsid w:val="6861174C"/>
    <w:rsid w:val="6861788A"/>
    <w:rsid w:val="688979EA"/>
    <w:rsid w:val="689F0032"/>
    <w:rsid w:val="68B166E3"/>
    <w:rsid w:val="68C13645"/>
    <w:rsid w:val="68D94BF8"/>
    <w:rsid w:val="68F13662"/>
    <w:rsid w:val="68F702B6"/>
    <w:rsid w:val="68F73D29"/>
    <w:rsid w:val="69464554"/>
    <w:rsid w:val="694B78D6"/>
    <w:rsid w:val="69506E0D"/>
    <w:rsid w:val="695E118C"/>
    <w:rsid w:val="697D3047"/>
    <w:rsid w:val="69E36748"/>
    <w:rsid w:val="69FD21DA"/>
    <w:rsid w:val="6A097E54"/>
    <w:rsid w:val="6A15145C"/>
    <w:rsid w:val="6A283C62"/>
    <w:rsid w:val="6A394906"/>
    <w:rsid w:val="6A7B7FB6"/>
    <w:rsid w:val="6A9242F2"/>
    <w:rsid w:val="6AB71783"/>
    <w:rsid w:val="6AC448C6"/>
    <w:rsid w:val="6AC55C69"/>
    <w:rsid w:val="6AC57D29"/>
    <w:rsid w:val="6ACB0C44"/>
    <w:rsid w:val="6AD273D1"/>
    <w:rsid w:val="6AD719DE"/>
    <w:rsid w:val="6B2B57FE"/>
    <w:rsid w:val="6B5B246C"/>
    <w:rsid w:val="6B795405"/>
    <w:rsid w:val="6B836A55"/>
    <w:rsid w:val="6B984DC0"/>
    <w:rsid w:val="6B9B2986"/>
    <w:rsid w:val="6BB25A43"/>
    <w:rsid w:val="6BBB61A2"/>
    <w:rsid w:val="6BE02E3B"/>
    <w:rsid w:val="6C372D1D"/>
    <w:rsid w:val="6CA153A0"/>
    <w:rsid w:val="6CAB6DCF"/>
    <w:rsid w:val="6CB952A8"/>
    <w:rsid w:val="6CC07555"/>
    <w:rsid w:val="6CEA6490"/>
    <w:rsid w:val="6CED749E"/>
    <w:rsid w:val="6D2966FA"/>
    <w:rsid w:val="6D394241"/>
    <w:rsid w:val="6D3E42BD"/>
    <w:rsid w:val="6D615929"/>
    <w:rsid w:val="6D735F5E"/>
    <w:rsid w:val="6D862033"/>
    <w:rsid w:val="6D874D16"/>
    <w:rsid w:val="6D9D2547"/>
    <w:rsid w:val="6DAD2769"/>
    <w:rsid w:val="6DEE20B1"/>
    <w:rsid w:val="6DF06DB4"/>
    <w:rsid w:val="6DFD15E2"/>
    <w:rsid w:val="6E005CA7"/>
    <w:rsid w:val="6E2D34FD"/>
    <w:rsid w:val="6E530A69"/>
    <w:rsid w:val="6E563614"/>
    <w:rsid w:val="6E664B24"/>
    <w:rsid w:val="6E6D58F0"/>
    <w:rsid w:val="6E7F74A0"/>
    <w:rsid w:val="6EAE0CA0"/>
    <w:rsid w:val="6EAE7221"/>
    <w:rsid w:val="6EB02E27"/>
    <w:rsid w:val="6ED51A97"/>
    <w:rsid w:val="6EDA5EEB"/>
    <w:rsid w:val="6EED7D49"/>
    <w:rsid w:val="6EF74414"/>
    <w:rsid w:val="6EFA2643"/>
    <w:rsid w:val="6F4713FD"/>
    <w:rsid w:val="6F4843D0"/>
    <w:rsid w:val="6F676434"/>
    <w:rsid w:val="6F720A0F"/>
    <w:rsid w:val="6F9F2431"/>
    <w:rsid w:val="6FD15D6F"/>
    <w:rsid w:val="6FE02D67"/>
    <w:rsid w:val="6FE658A2"/>
    <w:rsid w:val="700E7B41"/>
    <w:rsid w:val="70154C77"/>
    <w:rsid w:val="703107A4"/>
    <w:rsid w:val="70BA61A0"/>
    <w:rsid w:val="70C1482A"/>
    <w:rsid w:val="70EA5747"/>
    <w:rsid w:val="711E4735"/>
    <w:rsid w:val="71223C52"/>
    <w:rsid w:val="712903AF"/>
    <w:rsid w:val="713759CB"/>
    <w:rsid w:val="714C3590"/>
    <w:rsid w:val="71504F79"/>
    <w:rsid w:val="71572BED"/>
    <w:rsid w:val="71881087"/>
    <w:rsid w:val="71BD5E47"/>
    <w:rsid w:val="71CB601E"/>
    <w:rsid w:val="71E0144A"/>
    <w:rsid w:val="72076259"/>
    <w:rsid w:val="72557A25"/>
    <w:rsid w:val="728D2834"/>
    <w:rsid w:val="729814DF"/>
    <w:rsid w:val="72DC2614"/>
    <w:rsid w:val="72E01611"/>
    <w:rsid w:val="72FC0E9C"/>
    <w:rsid w:val="730261C3"/>
    <w:rsid w:val="732522D3"/>
    <w:rsid w:val="73290157"/>
    <w:rsid w:val="732C2274"/>
    <w:rsid w:val="733325CA"/>
    <w:rsid w:val="734967AA"/>
    <w:rsid w:val="73666BF0"/>
    <w:rsid w:val="737767B4"/>
    <w:rsid w:val="738844E4"/>
    <w:rsid w:val="7392667F"/>
    <w:rsid w:val="7399379B"/>
    <w:rsid w:val="73D51E2E"/>
    <w:rsid w:val="73F969C6"/>
    <w:rsid w:val="74155D7A"/>
    <w:rsid w:val="742B5017"/>
    <w:rsid w:val="7439223A"/>
    <w:rsid w:val="7462534F"/>
    <w:rsid w:val="7496329D"/>
    <w:rsid w:val="74B46FE4"/>
    <w:rsid w:val="74C5350C"/>
    <w:rsid w:val="74DC671C"/>
    <w:rsid w:val="751218FC"/>
    <w:rsid w:val="751F4FBC"/>
    <w:rsid w:val="75284F15"/>
    <w:rsid w:val="752C6BB3"/>
    <w:rsid w:val="752D4710"/>
    <w:rsid w:val="753970BF"/>
    <w:rsid w:val="75490B49"/>
    <w:rsid w:val="75634BBB"/>
    <w:rsid w:val="7590379C"/>
    <w:rsid w:val="759A52FF"/>
    <w:rsid w:val="759B0441"/>
    <w:rsid w:val="759D4280"/>
    <w:rsid w:val="75BB3F35"/>
    <w:rsid w:val="75E1259B"/>
    <w:rsid w:val="75FC428B"/>
    <w:rsid w:val="75FC57A3"/>
    <w:rsid w:val="76263A2B"/>
    <w:rsid w:val="763279B9"/>
    <w:rsid w:val="764C281E"/>
    <w:rsid w:val="76810C57"/>
    <w:rsid w:val="76A07D97"/>
    <w:rsid w:val="76A85010"/>
    <w:rsid w:val="76A92EC9"/>
    <w:rsid w:val="76B5519A"/>
    <w:rsid w:val="76B63C0C"/>
    <w:rsid w:val="76B9517A"/>
    <w:rsid w:val="76F36109"/>
    <w:rsid w:val="76FC4953"/>
    <w:rsid w:val="77064F99"/>
    <w:rsid w:val="77274BCC"/>
    <w:rsid w:val="772B4809"/>
    <w:rsid w:val="774E384D"/>
    <w:rsid w:val="775126BB"/>
    <w:rsid w:val="77901A47"/>
    <w:rsid w:val="779E7934"/>
    <w:rsid w:val="77E65EF3"/>
    <w:rsid w:val="77FE0C6C"/>
    <w:rsid w:val="78852DA0"/>
    <w:rsid w:val="78B77716"/>
    <w:rsid w:val="78BA1F6B"/>
    <w:rsid w:val="78BF28E4"/>
    <w:rsid w:val="78C901B4"/>
    <w:rsid w:val="78F05995"/>
    <w:rsid w:val="790A261B"/>
    <w:rsid w:val="79341D5D"/>
    <w:rsid w:val="796460B1"/>
    <w:rsid w:val="7970632A"/>
    <w:rsid w:val="7983786F"/>
    <w:rsid w:val="79D9630F"/>
    <w:rsid w:val="79E37B88"/>
    <w:rsid w:val="79EB1329"/>
    <w:rsid w:val="7A1571AC"/>
    <w:rsid w:val="7A1A31C5"/>
    <w:rsid w:val="7A1F7FC8"/>
    <w:rsid w:val="7A284694"/>
    <w:rsid w:val="7A8241AF"/>
    <w:rsid w:val="7A9D2A6F"/>
    <w:rsid w:val="7AB27B03"/>
    <w:rsid w:val="7AC45E04"/>
    <w:rsid w:val="7AC747B2"/>
    <w:rsid w:val="7AE30EC1"/>
    <w:rsid w:val="7B0A75DB"/>
    <w:rsid w:val="7B1F572E"/>
    <w:rsid w:val="7B2639F0"/>
    <w:rsid w:val="7B3C0F9E"/>
    <w:rsid w:val="7B5B6C0B"/>
    <w:rsid w:val="7B637DC7"/>
    <w:rsid w:val="7B9F5387"/>
    <w:rsid w:val="7BB81FBA"/>
    <w:rsid w:val="7BCF6E26"/>
    <w:rsid w:val="7BDC53CD"/>
    <w:rsid w:val="7BF2295F"/>
    <w:rsid w:val="7BFC0A80"/>
    <w:rsid w:val="7C2C6976"/>
    <w:rsid w:val="7C467687"/>
    <w:rsid w:val="7C8368C4"/>
    <w:rsid w:val="7C9C017F"/>
    <w:rsid w:val="7CA062FA"/>
    <w:rsid w:val="7CAA488C"/>
    <w:rsid w:val="7CC244A8"/>
    <w:rsid w:val="7CD53BA2"/>
    <w:rsid w:val="7CE37D58"/>
    <w:rsid w:val="7CE65F9F"/>
    <w:rsid w:val="7D160CDD"/>
    <w:rsid w:val="7D210D1E"/>
    <w:rsid w:val="7D4B47E4"/>
    <w:rsid w:val="7D7247A7"/>
    <w:rsid w:val="7D816C22"/>
    <w:rsid w:val="7D84520E"/>
    <w:rsid w:val="7DA15EE1"/>
    <w:rsid w:val="7DA97F93"/>
    <w:rsid w:val="7DBE6A98"/>
    <w:rsid w:val="7DD90A17"/>
    <w:rsid w:val="7DF604F8"/>
    <w:rsid w:val="7E2E21E8"/>
    <w:rsid w:val="7E3E3C12"/>
    <w:rsid w:val="7E4B64EE"/>
    <w:rsid w:val="7E4B6F14"/>
    <w:rsid w:val="7E75153E"/>
    <w:rsid w:val="7E960F8A"/>
    <w:rsid w:val="7E9F5748"/>
    <w:rsid w:val="7EA766E7"/>
    <w:rsid w:val="7EEF4185"/>
    <w:rsid w:val="7F01148B"/>
    <w:rsid w:val="7F263D9B"/>
    <w:rsid w:val="7F673200"/>
    <w:rsid w:val="7F7955EC"/>
    <w:rsid w:val="7FA42277"/>
    <w:rsid w:val="7FC17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paragraph" w:styleId="3">
    <w:name w:val="heading 1"/>
    <w:basedOn w:val="1"/>
    <w:next w:val="1"/>
    <w:link w:val="54"/>
    <w:autoRedefine/>
    <w:qFormat/>
    <w:uiPriority w:val="0"/>
    <w:pPr>
      <w:adjustRightInd w:val="0"/>
      <w:snapToGrid w:val="0"/>
      <w:spacing w:line="460" w:lineRule="exact"/>
      <w:ind w:right="680" w:firstLine="480"/>
      <w:textAlignment w:val="baseline"/>
      <w:outlineLvl w:val="0"/>
    </w:pPr>
    <w:rPr>
      <w:rFonts w:hAnsi="宋体"/>
      <w:b/>
      <w:color w:val="000000"/>
      <w:sz w:val="36"/>
      <w14:shadow w14:blurRad="50800" w14:dist="38100" w14:dir="2700000" w14:sx="100000" w14:sy="100000" w14:kx="0" w14:ky="0" w14:algn="tl">
        <w14:srgbClr w14:val="000000">
          <w14:alpha w14:val="60000"/>
        </w14:srgbClr>
      </w14:shadow>
    </w:rPr>
  </w:style>
  <w:style w:type="paragraph" w:styleId="4">
    <w:name w:val="heading 2"/>
    <w:basedOn w:val="1"/>
    <w:next w:val="1"/>
    <w:link w:val="55"/>
    <w:autoRedefine/>
    <w:qFormat/>
    <w:uiPriority w:val="0"/>
    <w:pPr>
      <w:keepNext/>
      <w:keepLines/>
      <w:widowControl/>
      <w:spacing w:before="260" w:after="260" w:line="416" w:lineRule="auto"/>
      <w:jc w:val="left"/>
      <w:outlineLvl w:val="1"/>
    </w:pPr>
    <w:rPr>
      <w:rFonts w:ascii="Arial" w:hAnsi="Arial" w:eastAsia="黑体"/>
      <w:b/>
      <w:bCs/>
      <w:sz w:val="32"/>
      <w:szCs w:val="32"/>
    </w:rPr>
  </w:style>
  <w:style w:type="paragraph" w:styleId="5">
    <w:name w:val="heading 3"/>
    <w:basedOn w:val="1"/>
    <w:next w:val="1"/>
    <w:link w:val="56"/>
    <w:autoRedefine/>
    <w:qFormat/>
    <w:uiPriority w:val="0"/>
    <w:pPr>
      <w:keepNext/>
      <w:keepLines/>
      <w:numPr>
        <w:ilvl w:val="2"/>
        <w:numId w:val="1"/>
      </w:numPr>
      <w:spacing w:before="260" w:after="260" w:line="416" w:lineRule="auto"/>
      <w:outlineLvl w:val="2"/>
    </w:pPr>
    <w:rPr>
      <w:rFonts w:ascii="Times New Roman"/>
      <w:b/>
      <w:bCs/>
      <w:kern w:val="2"/>
      <w:sz w:val="32"/>
      <w:szCs w:val="32"/>
    </w:rPr>
  </w:style>
  <w:style w:type="paragraph" w:styleId="6">
    <w:name w:val="heading 4"/>
    <w:basedOn w:val="1"/>
    <w:next w:val="1"/>
    <w:link w:val="57"/>
    <w:autoRedefine/>
    <w:qFormat/>
    <w:uiPriority w:val="0"/>
    <w:pPr>
      <w:keepNext/>
      <w:keepLines/>
      <w:numPr>
        <w:ilvl w:val="3"/>
        <w:numId w:val="1"/>
      </w:numPr>
      <w:spacing w:before="280" w:after="290" w:line="376" w:lineRule="auto"/>
      <w:outlineLvl w:val="3"/>
    </w:pPr>
    <w:rPr>
      <w:rFonts w:ascii="Arial" w:hAnsi="Arial" w:eastAsia="黑体" w:cs="Arial"/>
      <w:b/>
      <w:bCs/>
      <w:kern w:val="2"/>
      <w:sz w:val="28"/>
      <w:szCs w:val="28"/>
    </w:rPr>
  </w:style>
  <w:style w:type="paragraph" w:styleId="7">
    <w:name w:val="heading 5"/>
    <w:basedOn w:val="1"/>
    <w:next w:val="1"/>
    <w:link w:val="58"/>
    <w:autoRedefine/>
    <w:qFormat/>
    <w:uiPriority w:val="0"/>
    <w:pPr>
      <w:keepNext/>
      <w:keepLines/>
      <w:numPr>
        <w:ilvl w:val="4"/>
        <w:numId w:val="1"/>
      </w:numPr>
      <w:spacing w:before="280" w:after="290" w:line="376" w:lineRule="auto"/>
      <w:outlineLvl w:val="4"/>
    </w:pPr>
    <w:rPr>
      <w:rFonts w:ascii="Times New Roman"/>
      <w:b/>
      <w:bCs/>
      <w:kern w:val="2"/>
      <w:sz w:val="28"/>
      <w:szCs w:val="28"/>
    </w:rPr>
  </w:style>
  <w:style w:type="paragraph" w:styleId="8">
    <w:name w:val="heading 6"/>
    <w:basedOn w:val="1"/>
    <w:next w:val="1"/>
    <w:link w:val="59"/>
    <w:autoRedefine/>
    <w:qFormat/>
    <w:uiPriority w:val="0"/>
    <w:pPr>
      <w:keepNext/>
      <w:keepLines/>
      <w:numPr>
        <w:ilvl w:val="5"/>
        <w:numId w:val="1"/>
      </w:numPr>
      <w:spacing w:before="240" w:after="64" w:line="320" w:lineRule="auto"/>
      <w:outlineLvl w:val="5"/>
    </w:pPr>
    <w:rPr>
      <w:rFonts w:ascii="Arial" w:hAnsi="Arial" w:eastAsia="黑体" w:cs="Arial"/>
      <w:b/>
      <w:bCs/>
      <w:kern w:val="2"/>
      <w:sz w:val="24"/>
      <w:szCs w:val="24"/>
    </w:rPr>
  </w:style>
  <w:style w:type="paragraph" w:styleId="9">
    <w:name w:val="heading 7"/>
    <w:basedOn w:val="1"/>
    <w:next w:val="1"/>
    <w:link w:val="60"/>
    <w:autoRedefine/>
    <w:qFormat/>
    <w:uiPriority w:val="0"/>
    <w:pPr>
      <w:keepNext/>
      <w:keepLines/>
      <w:numPr>
        <w:ilvl w:val="6"/>
        <w:numId w:val="1"/>
      </w:numPr>
      <w:spacing w:before="240" w:after="64" w:line="320" w:lineRule="auto"/>
      <w:outlineLvl w:val="6"/>
    </w:pPr>
    <w:rPr>
      <w:rFonts w:ascii="Times New Roman"/>
      <w:b/>
      <w:bCs/>
      <w:kern w:val="2"/>
      <w:sz w:val="24"/>
      <w:szCs w:val="24"/>
    </w:rPr>
  </w:style>
  <w:style w:type="paragraph" w:styleId="10">
    <w:name w:val="heading 8"/>
    <w:basedOn w:val="1"/>
    <w:next w:val="1"/>
    <w:link w:val="61"/>
    <w:autoRedefine/>
    <w:qFormat/>
    <w:uiPriority w:val="0"/>
    <w:pPr>
      <w:keepNext/>
      <w:keepLines/>
      <w:numPr>
        <w:ilvl w:val="7"/>
        <w:numId w:val="1"/>
      </w:numPr>
      <w:spacing w:before="240" w:after="64" w:line="320" w:lineRule="auto"/>
      <w:outlineLvl w:val="7"/>
    </w:pPr>
    <w:rPr>
      <w:rFonts w:ascii="Arial" w:hAnsi="Arial" w:eastAsia="黑体" w:cs="Arial"/>
      <w:kern w:val="2"/>
      <w:sz w:val="24"/>
      <w:szCs w:val="24"/>
    </w:rPr>
  </w:style>
  <w:style w:type="paragraph" w:styleId="11">
    <w:name w:val="heading 9"/>
    <w:basedOn w:val="1"/>
    <w:next w:val="1"/>
    <w:link w:val="62"/>
    <w:qFormat/>
    <w:uiPriority w:val="0"/>
    <w:pPr>
      <w:keepNext/>
      <w:keepLines/>
      <w:numPr>
        <w:ilvl w:val="8"/>
        <w:numId w:val="1"/>
      </w:numPr>
      <w:spacing w:before="240" w:after="64" w:line="320" w:lineRule="auto"/>
      <w:outlineLvl w:val="8"/>
    </w:pPr>
    <w:rPr>
      <w:rFonts w:ascii="Arial" w:hAnsi="Arial" w:eastAsia="黑体" w:cs="Arial"/>
      <w:kern w:val="2"/>
      <w:sz w:val="21"/>
      <w:szCs w:val="21"/>
    </w:rPr>
  </w:style>
  <w:style w:type="character" w:default="1" w:styleId="44">
    <w:name w:val="Default Paragraph Font"/>
    <w:semiHidden/>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customStyle="1" w:styleId="2">
    <w:name w:val="Normal Indent1"/>
    <w:basedOn w:val="1"/>
    <w:qFormat/>
    <w:uiPriority w:val="0"/>
    <w:pPr>
      <w:widowControl/>
      <w:spacing w:line="360" w:lineRule="auto"/>
      <w:ind w:firstLine="420"/>
      <w:jc w:val="left"/>
    </w:pPr>
    <w:rPr>
      <w:rFonts w:ascii="宋体"/>
      <w:kern w:val="0"/>
      <w:sz w:val="20"/>
      <w:szCs w:val="20"/>
    </w:rPr>
  </w:style>
  <w:style w:type="paragraph" w:styleId="12">
    <w:name w:val="Normal Indent"/>
    <w:basedOn w:val="1"/>
    <w:link w:val="63"/>
    <w:autoRedefine/>
    <w:qFormat/>
    <w:uiPriority w:val="0"/>
    <w:pPr>
      <w:ind w:firstLine="420" w:firstLineChars="200"/>
    </w:pPr>
    <w:rPr>
      <w:rFonts w:ascii="Times New Roman"/>
      <w:kern w:val="2"/>
      <w:sz w:val="21"/>
      <w:szCs w:val="21"/>
    </w:rPr>
  </w:style>
  <w:style w:type="paragraph" w:styleId="13">
    <w:name w:val="Document Map"/>
    <w:basedOn w:val="1"/>
    <w:semiHidden/>
    <w:qFormat/>
    <w:uiPriority w:val="0"/>
    <w:pPr>
      <w:shd w:val="clear" w:color="auto" w:fill="000080"/>
    </w:pPr>
  </w:style>
  <w:style w:type="paragraph" w:styleId="14">
    <w:name w:val="toa heading"/>
    <w:basedOn w:val="1"/>
    <w:next w:val="1"/>
    <w:autoRedefine/>
    <w:qFormat/>
    <w:uiPriority w:val="0"/>
    <w:pPr>
      <w:spacing w:before="120"/>
    </w:pPr>
    <w:rPr>
      <w:rFonts w:ascii="Arial" w:hAnsi="Arial" w:cs="Arial"/>
      <w:sz w:val="24"/>
    </w:rPr>
  </w:style>
  <w:style w:type="paragraph" w:styleId="15">
    <w:name w:val="annotation text"/>
    <w:basedOn w:val="1"/>
    <w:link w:val="64"/>
    <w:autoRedefine/>
    <w:semiHidden/>
    <w:qFormat/>
    <w:uiPriority w:val="0"/>
    <w:pPr>
      <w:jc w:val="left"/>
    </w:pPr>
    <w:rPr>
      <w:rFonts w:ascii="Times New Roman"/>
      <w:kern w:val="2"/>
      <w:sz w:val="21"/>
      <w:szCs w:val="21"/>
    </w:rPr>
  </w:style>
  <w:style w:type="paragraph" w:styleId="16">
    <w:name w:val="Salutation"/>
    <w:basedOn w:val="1"/>
    <w:next w:val="1"/>
    <w:autoRedefine/>
    <w:qFormat/>
    <w:uiPriority w:val="0"/>
    <w:rPr>
      <w:sz w:val="24"/>
      <w:szCs w:val="24"/>
    </w:rPr>
  </w:style>
  <w:style w:type="paragraph" w:styleId="17">
    <w:name w:val="Body Text 3"/>
    <w:basedOn w:val="1"/>
    <w:qFormat/>
    <w:uiPriority w:val="0"/>
    <w:pPr>
      <w:spacing w:after="120"/>
    </w:pPr>
    <w:rPr>
      <w:sz w:val="16"/>
      <w:szCs w:val="16"/>
    </w:rPr>
  </w:style>
  <w:style w:type="paragraph" w:styleId="18">
    <w:name w:val="Body Text"/>
    <w:basedOn w:val="1"/>
    <w:link w:val="65"/>
    <w:qFormat/>
    <w:uiPriority w:val="0"/>
    <w:pPr>
      <w:widowControl/>
      <w:snapToGrid w:val="0"/>
      <w:spacing w:line="440" w:lineRule="exact"/>
    </w:pPr>
    <w:rPr>
      <w:rFonts w:ascii="仿宋_GB2312" w:hAnsi="宋体" w:eastAsia="仿宋_GB2312" w:cs="仿宋_GB2312"/>
      <w:b/>
      <w:bCs/>
      <w:sz w:val="24"/>
      <w:szCs w:val="24"/>
    </w:rPr>
  </w:style>
  <w:style w:type="paragraph" w:styleId="19">
    <w:name w:val="Body Text Indent"/>
    <w:basedOn w:val="1"/>
    <w:next w:val="1"/>
    <w:autoRedefine/>
    <w:qFormat/>
    <w:uiPriority w:val="0"/>
    <w:pPr>
      <w:ind w:firstLine="570"/>
    </w:pPr>
    <w:rPr>
      <w:sz w:val="28"/>
    </w:rPr>
  </w:style>
  <w:style w:type="paragraph" w:styleId="20">
    <w:name w:val="List 2"/>
    <w:basedOn w:val="1"/>
    <w:autoRedefine/>
    <w:qFormat/>
    <w:uiPriority w:val="0"/>
    <w:pPr>
      <w:ind w:left="100" w:leftChars="200" w:hanging="200" w:hangingChars="200"/>
    </w:pPr>
    <w:rPr>
      <w:szCs w:val="24"/>
    </w:rPr>
  </w:style>
  <w:style w:type="paragraph" w:styleId="21">
    <w:name w:val="Block Text"/>
    <w:basedOn w:val="1"/>
    <w:autoRedefine/>
    <w:qFormat/>
    <w:uiPriority w:val="0"/>
    <w:pPr>
      <w:adjustRightInd w:val="0"/>
      <w:ind w:left="420" w:right="33"/>
      <w:jc w:val="left"/>
      <w:textAlignment w:val="baseline"/>
    </w:pPr>
    <w:rPr>
      <w:sz w:val="24"/>
    </w:rPr>
  </w:style>
  <w:style w:type="paragraph" w:styleId="22">
    <w:name w:val="List Bullet 2"/>
    <w:basedOn w:val="1"/>
    <w:autoRedefine/>
    <w:qFormat/>
    <w:uiPriority w:val="0"/>
    <w:pPr>
      <w:numPr>
        <w:ilvl w:val="0"/>
        <w:numId w:val="2"/>
      </w:numPr>
    </w:pPr>
  </w:style>
  <w:style w:type="paragraph" w:styleId="23">
    <w:name w:val="toc 3"/>
    <w:basedOn w:val="1"/>
    <w:next w:val="1"/>
    <w:semiHidden/>
    <w:qFormat/>
    <w:uiPriority w:val="0"/>
    <w:pPr>
      <w:ind w:left="840" w:leftChars="400"/>
    </w:pPr>
    <w:rPr>
      <w:szCs w:val="24"/>
    </w:rPr>
  </w:style>
  <w:style w:type="paragraph" w:styleId="24">
    <w:name w:val="Plain Text"/>
    <w:basedOn w:val="1"/>
    <w:next w:val="1"/>
    <w:link w:val="66"/>
    <w:autoRedefine/>
    <w:qFormat/>
    <w:uiPriority w:val="0"/>
    <w:pPr>
      <w:widowControl/>
      <w:overflowPunct w:val="0"/>
      <w:autoSpaceDE w:val="0"/>
      <w:autoSpaceDN w:val="0"/>
      <w:adjustRightInd w:val="0"/>
      <w:jc w:val="left"/>
      <w:textAlignment w:val="baseline"/>
    </w:pPr>
    <w:rPr>
      <w:rFonts w:hAnsi="Courier New" w:cs="宋体"/>
      <w:sz w:val="21"/>
      <w:szCs w:val="21"/>
    </w:rPr>
  </w:style>
  <w:style w:type="paragraph" w:styleId="25">
    <w:name w:val="Date"/>
    <w:basedOn w:val="1"/>
    <w:next w:val="1"/>
    <w:autoRedefine/>
    <w:qFormat/>
    <w:uiPriority w:val="0"/>
    <w:pPr>
      <w:ind w:left="100" w:leftChars="2500"/>
    </w:pPr>
  </w:style>
  <w:style w:type="paragraph" w:styleId="26">
    <w:name w:val="Body Text Indent 2"/>
    <w:basedOn w:val="1"/>
    <w:autoRedefine/>
    <w:qFormat/>
    <w:uiPriority w:val="0"/>
    <w:pPr>
      <w:spacing w:after="120" w:line="480" w:lineRule="auto"/>
      <w:ind w:left="420" w:leftChars="200"/>
    </w:pPr>
  </w:style>
  <w:style w:type="paragraph" w:styleId="27">
    <w:name w:val="Balloon Text"/>
    <w:basedOn w:val="1"/>
    <w:link w:val="67"/>
    <w:autoRedefine/>
    <w:semiHidden/>
    <w:qFormat/>
    <w:uiPriority w:val="0"/>
    <w:rPr>
      <w:rFonts w:ascii="Times New Roman"/>
      <w:kern w:val="2"/>
      <w:sz w:val="18"/>
      <w:szCs w:val="18"/>
    </w:rPr>
  </w:style>
  <w:style w:type="paragraph" w:styleId="28">
    <w:name w:val="footer"/>
    <w:basedOn w:val="1"/>
    <w:link w:val="68"/>
    <w:autoRedefine/>
    <w:qFormat/>
    <w:uiPriority w:val="0"/>
    <w:pPr>
      <w:tabs>
        <w:tab w:val="center" w:pos="4153"/>
        <w:tab w:val="right" w:pos="8306"/>
      </w:tabs>
      <w:snapToGrid w:val="0"/>
      <w:jc w:val="left"/>
    </w:pPr>
    <w:rPr>
      <w:rFonts w:ascii="黑体"/>
      <w:kern w:val="2"/>
      <w:sz w:val="18"/>
      <w:szCs w:val="18"/>
    </w:rPr>
  </w:style>
  <w:style w:type="paragraph" w:styleId="29">
    <w:name w:val="header"/>
    <w:basedOn w:val="1"/>
    <w:link w:val="69"/>
    <w:autoRedefine/>
    <w:qFormat/>
    <w:uiPriority w:val="0"/>
    <w:pPr>
      <w:pBdr>
        <w:bottom w:val="single" w:color="auto" w:sz="6" w:space="1"/>
      </w:pBdr>
      <w:tabs>
        <w:tab w:val="center" w:pos="4153"/>
        <w:tab w:val="right" w:pos="8306"/>
      </w:tabs>
      <w:snapToGrid w:val="0"/>
      <w:jc w:val="center"/>
    </w:pPr>
    <w:rPr>
      <w:rFonts w:ascii="Times New Roman"/>
      <w:kern w:val="2"/>
      <w:sz w:val="18"/>
      <w:szCs w:val="18"/>
    </w:rPr>
  </w:style>
  <w:style w:type="paragraph" w:styleId="30">
    <w:name w:val="toc 1"/>
    <w:basedOn w:val="1"/>
    <w:next w:val="1"/>
    <w:autoRedefine/>
    <w:semiHidden/>
    <w:qFormat/>
    <w:uiPriority w:val="0"/>
  </w:style>
  <w:style w:type="paragraph" w:styleId="31">
    <w:name w:val="footnote text"/>
    <w:basedOn w:val="1"/>
    <w:link w:val="70"/>
    <w:autoRedefine/>
    <w:qFormat/>
    <w:uiPriority w:val="0"/>
    <w:pPr>
      <w:snapToGrid w:val="0"/>
      <w:jc w:val="left"/>
    </w:pPr>
    <w:rPr>
      <w:rFonts w:ascii="Times New Roman" w:eastAsia="仿宋_GB2312"/>
      <w:sz w:val="18"/>
      <w:szCs w:val="18"/>
    </w:rPr>
  </w:style>
  <w:style w:type="paragraph" w:styleId="32">
    <w:name w:val="toc 6"/>
    <w:next w:val="1"/>
    <w:autoRedefine/>
    <w:qFormat/>
    <w:uiPriority w:val="0"/>
    <w:pPr>
      <w:widowControl w:val="0"/>
      <w:spacing w:line="360" w:lineRule="auto"/>
      <w:ind w:left="1200" w:firstLine="200" w:firstLineChars="200"/>
    </w:pPr>
    <w:rPr>
      <w:rFonts w:ascii="Calibri" w:hAnsi="Calibri" w:eastAsia="Cambria Math" w:cs="Calibri"/>
      <w:b/>
      <w:bCs/>
      <w:color w:val="000000"/>
      <w:sz w:val="18"/>
      <w:szCs w:val="18"/>
      <w:lang w:val="en-US" w:eastAsia="zh-CN" w:bidi="ar-SA"/>
    </w:rPr>
  </w:style>
  <w:style w:type="paragraph" w:styleId="33">
    <w:name w:val="Body Text Indent 3"/>
    <w:basedOn w:val="1"/>
    <w:link w:val="71"/>
    <w:autoRedefine/>
    <w:qFormat/>
    <w:uiPriority w:val="0"/>
    <w:pPr>
      <w:spacing w:after="120"/>
      <w:ind w:left="420" w:leftChars="200"/>
    </w:pPr>
    <w:rPr>
      <w:rFonts w:ascii="Times New Roman"/>
      <w:kern w:val="2"/>
      <w:sz w:val="16"/>
      <w:szCs w:val="16"/>
    </w:rPr>
  </w:style>
  <w:style w:type="paragraph" w:styleId="34">
    <w:name w:val="toc 2"/>
    <w:basedOn w:val="1"/>
    <w:next w:val="1"/>
    <w:autoRedefine/>
    <w:semiHidden/>
    <w:qFormat/>
    <w:uiPriority w:val="0"/>
    <w:pPr>
      <w:ind w:left="420" w:leftChars="200"/>
    </w:pPr>
  </w:style>
  <w:style w:type="paragraph" w:styleId="35">
    <w:name w:val="Body Text 2"/>
    <w:basedOn w:val="1"/>
    <w:autoRedefine/>
    <w:qFormat/>
    <w:uiPriority w:val="0"/>
    <w:pPr>
      <w:widowControl/>
      <w:spacing w:after="120" w:line="480" w:lineRule="auto"/>
      <w:jc w:val="left"/>
    </w:pPr>
    <w:rPr>
      <w:sz w:val="20"/>
    </w:rPr>
  </w:style>
  <w:style w:type="paragraph" w:styleId="36">
    <w:name w:val="HTML Preformatted"/>
    <w:basedOn w:val="1"/>
    <w:link w:val="7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sz w:val="24"/>
      <w:szCs w:val="24"/>
    </w:rPr>
  </w:style>
  <w:style w:type="paragraph" w:styleId="37">
    <w:name w:val="Normal (Web)"/>
    <w:basedOn w:val="1"/>
    <w:autoRedefine/>
    <w:qFormat/>
    <w:uiPriority w:val="0"/>
    <w:pPr>
      <w:widowControl/>
      <w:spacing w:before="100" w:beforeAutospacing="1" w:after="100" w:afterAutospacing="1"/>
      <w:jc w:val="left"/>
    </w:pPr>
    <w:rPr>
      <w:rFonts w:hAnsi="宋体"/>
      <w:sz w:val="24"/>
      <w:szCs w:val="24"/>
    </w:rPr>
  </w:style>
  <w:style w:type="paragraph" w:styleId="38">
    <w:name w:val="Title"/>
    <w:basedOn w:val="1"/>
    <w:next w:val="1"/>
    <w:link w:val="73"/>
    <w:qFormat/>
    <w:uiPriority w:val="0"/>
    <w:pPr>
      <w:autoSpaceDE w:val="0"/>
      <w:autoSpaceDN w:val="0"/>
      <w:adjustRightInd w:val="0"/>
      <w:spacing w:before="240" w:after="60"/>
      <w:jc w:val="center"/>
      <w:outlineLvl w:val="0"/>
    </w:pPr>
    <w:rPr>
      <w:rFonts w:ascii="Cambria" w:hAnsi="Cambria"/>
      <w:b/>
      <w:bCs/>
      <w:color w:val="000000"/>
      <w:sz w:val="32"/>
      <w:szCs w:val="32"/>
    </w:rPr>
  </w:style>
  <w:style w:type="paragraph" w:styleId="39">
    <w:name w:val="annotation subject"/>
    <w:basedOn w:val="15"/>
    <w:next w:val="15"/>
    <w:link w:val="74"/>
    <w:qFormat/>
    <w:uiPriority w:val="0"/>
    <w:rPr>
      <w:rFonts w:eastAsia="仿宋_GB2312"/>
      <w:b/>
      <w:bCs/>
      <w:kern w:val="0"/>
      <w:sz w:val="24"/>
      <w:szCs w:val="20"/>
    </w:rPr>
  </w:style>
  <w:style w:type="paragraph" w:styleId="40">
    <w:name w:val="Body Text First Indent"/>
    <w:basedOn w:val="18"/>
    <w:next w:val="1"/>
    <w:qFormat/>
    <w:uiPriority w:val="0"/>
    <w:pPr>
      <w:widowControl w:val="0"/>
      <w:snapToGrid/>
      <w:spacing w:after="120" w:line="240" w:lineRule="auto"/>
      <w:ind w:firstLine="420" w:firstLineChars="100"/>
    </w:pPr>
    <w:rPr>
      <w:rFonts w:ascii="Times New Roman" w:hAnsi="Times New Roman" w:eastAsia="宋体" w:cs="Times New Roman"/>
      <w:b w:val="0"/>
      <w:bCs w:val="0"/>
      <w:kern w:val="2"/>
      <w:sz w:val="21"/>
      <w:szCs w:val="21"/>
    </w:rPr>
  </w:style>
  <w:style w:type="paragraph" w:styleId="41">
    <w:name w:val="Body Text First Indent 2"/>
    <w:basedOn w:val="19"/>
    <w:next w:val="1"/>
    <w:autoRedefine/>
    <w:qFormat/>
    <w:uiPriority w:val="0"/>
    <w:pPr>
      <w:spacing w:after="120" w:line="300" w:lineRule="auto"/>
      <w:ind w:left="420" w:leftChars="200" w:firstLine="420" w:firstLineChars="200"/>
    </w:pPr>
    <w:rPr>
      <w:rFonts w:ascii="Times New Roman"/>
      <w:sz w:val="24"/>
    </w:rPr>
  </w:style>
  <w:style w:type="table" w:styleId="43">
    <w:name w:val="Table Grid"/>
    <w:basedOn w:val="4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autoRedefine/>
    <w:qFormat/>
    <w:uiPriority w:val="0"/>
    <w:rPr>
      <w:rFonts w:ascii="黑体" w:eastAsia="黑体"/>
      <w:b/>
      <w:bCs/>
      <w:kern w:val="0"/>
      <w:sz w:val="24"/>
      <w:szCs w:val="20"/>
    </w:rPr>
  </w:style>
  <w:style w:type="character" w:styleId="46">
    <w:name w:val="page number"/>
    <w:autoRedefine/>
    <w:qFormat/>
    <w:uiPriority w:val="0"/>
  </w:style>
  <w:style w:type="character" w:styleId="47">
    <w:name w:val="FollowedHyperlink"/>
    <w:qFormat/>
    <w:uiPriority w:val="0"/>
    <w:rPr>
      <w:color w:val="800080"/>
      <w:u w:val="none"/>
    </w:rPr>
  </w:style>
  <w:style w:type="character" w:styleId="48">
    <w:name w:val="Emphasis"/>
    <w:qFormat/>
    <w:uiPriority w:val="0"/>
  </w:style>
  <w:style w:type="character" w:styleId="49">
    <w:name w:val="Hyperlink"/>
    <w:qFormat/>
    <w:uiPriority w:val="0"/>
    <w:rPr>
      <w:color w:val="0000FF"/>
      <w:u w:val="none"/>
    </w:rPr>
  </w:style>
  <w:style w:type="character" w:styleId="50">
    <w:name w:val="annotation reference"/>
    <w:autoRedefine/>
    <w:qFormat/>
    <w:uiPriority w:val="0"/>
    <w:rPr>
      <w:sz w:val="21"/>
      <w:szCs w:val="21"/>
    </w:rPr>
  </w:style>
  <w:style w:type="paragraph" w:customStyle="1" w:styleId="51">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customStyle="1" w:styleId="52">
    <w:name w:val="标题 5（有编号）（绿盟科技）"/>
    <w:basedOn w:val="1"/>
    <w:next w:val="53"/>
    <w:autoRedefine/>
    <w:qFormat/>
    <w:uiPriority w:val="0"/>
    <w:pPr>
      <w:keepNext/>
      <w:keepLines/>
      <w:numPr>
        <w:ilvl w:val="4"/>
        <w:numId w:val="3"/>
      </w:numPr>
      <w:spacing w:before="280" w:after="156" w:line="377" w:lineRule="auto"/>
      <w:jc w:val="left"/>
      <w:outlineLvl w:val="4"/>
    </w:pPr>
    <w:rPr>
      <w:rFonts w:ascii="Arial" w:hAnsi="Arial" w:eastAsia="黑体"/>
      <w:b/>
      <w:sz w:val="24"/>
      <w:szCs w:val="28"/>
    </w:rPr>
  </w:style>
  <w:style w:type="paragraph" w:customStyle="1" w:styleId="53">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54">
    <w:name w:val="标题 1 Char"/>
    <w:link w:val="3"/>
    <w:autoRedefine/>
    <w:qFormat/>
    <w:uiPriority w:val="0"/>
    <w:rPr>
      <w:rFonts w:ascii="宋体" w:hAnsi="宋体" w:eastAsia="宋体"/>
      <w:b/>
      <w:color w:val="000000"/>
      <w:sz w:val="36"/>
      <w:lang w:val="en-US" w:eastAsia="zh-CN" w:bidi="ar-SA"/>
      <w14:shadow w14:blurRad="50800" w14:dist="38100" w14:dir="2700000" w14:sx="100000" w14:sy="100000" w14:kx="0" w14:ky="0" w14:algn="tl">
        <w14:srgbClr w14:val="000000">
          <w14:alpha w14:val="60000"/>
        </w14:srgbClr>
      </w14:shadow>
    </w:rPr>
  </w:style>
  <w:style w:type="character" w:customStyle="1" w:styleId="55">
    <w:name w:val="标题 2 Char"/>
    <w:link w:val="4"/>
    <w:autoRedefine/>
    <w:qFormat/>
    <w:uiPriority w:val="0"/>
    <w:rPr>
      <w:rFonts w:ascii="Arial" w:hAnsi="Arial" w:eastAsia="黑体"/>
      <w:b/>
      <w:bCs/>
      <w:sz w:val="32"/>
      <w:szCs w:val="32"/>
      <w:lang w:val="en-US" w:eastAsia="zh-CN" w:bidi="ar-SA"/>
    </w:rPr>
  </w:style>
  <w:style w:type="character" w:customStyle="1" w:styleId="56">
    <w:name w:val="标题 3 Char"/>
    <w:link w:val="5"/>
    <w:autoRedefine/>
    <w:qFormat/>
    <w:uiPriority w:val="0"/>
    <w:rPr>
      <w:rFonts w:eastAsia="宋体"/>
      <w:b/>
      <w:bCs/>
      <w:kern w:val="2"/>
      <w:sz w:val="32"/>
      <w:szCs w:val="32"/>
      <w:lang w:val="en-US" w:eastAsia="zh-CN" w:bidi="ar-SA"/>
    </w:rPr>
  </w:style>
  <w:style w:type="character" w:customStyle="1" w:styleId="57">
    <w:name w:val="标题 4 Char"/>
    <w:link w:val="6"/>
    <w:autoRedefine/>
    <w:qFormat/>
    <w:uiPriority w:val="0"/>
    <w:rPr>
      <w:rFonts w:ascii="Arial" w:hAnsi="Arial" w:eastAsia="黑体" w:cs="Arial"/>
      <w:b/>
      <w:bCs/>
      <w:kern w:val="2"/>
      <w:sz w:val="28"/>
      <w:szCs w:val="28"/>
      <w:lang w:val="en-US" w:eastAsia="zh-CN" w:bidi="ar-SA"/>
    </w:rPr>
  </w:style>
  <w:style w:type="character" w:customStyle="1" w:styleId="58">
    <w:name w:val="标题 5 Char"/>
    <w:link w:val="7"/>
    <w:autoRedefine/>
    <w:qFormat/>
    <w:uiPriority w:val="0"/>
    <w:rPr>
      <w:rFonts w:eastAsia="宋体"/>
      <w:b/>
      <w:bCs/>
      <w:kern w:val="2"/>
      <w:sz w:val="28"/>
      <w:szCs w:val="28"/>
      <w:lang w:val="en-US" w:eastAsia="zh-CN" w:bidi="ar-SA"/>
    </w:rPr>
  </w:style>
  <w:style w:type="character" w:customStyle="1" w:styleId="59">
    <w:name w:val="标题 6 Char"/>
    <w:link w:val="8"/>
    <w:autoRedefine/>
    <w:qFormat/>
    <w:uiPriority w:val="0"/>
    <w:rPr>
      <w:rFonts w:ascii="Arial" w:hAnsi="Arial" w:eastAsia="黑体" w:cs="Arial"/>
      <w:b/>
      <w:bCs/>
      <w:kern w:val="2"/>
      <w:sz w:val="24"/>
      <w:szCs w:val="24"/>
      <w:lang w:val="en-US" w:eastAsia="zh-CN" w:bidi="ar-SA"/>
    </w:rPr>
  </w:style>
  <w:style w:type="character" w:customStyle="1" w:styleId="60">
    <w:name w:val="标题 7 Char"/>
    <w:link w:val="9"/>
    <w:autoRedefine/>
    <w:qFormat/>
    <w:uiPriority w:val="0"/>
    <w:rPr>
      <w:rFonts w:eastAsia="宋体"/>
      <w:b/>
      <w:bCs/>
      <w:kern w:val="2"/>
      <w:sz w:val="24"/>
      <w:szCs w:val="24"/>
      <w:lang w:val="en-US" w:eastAsia="zh-CN" w:bidi="ar-SA"/>
    </w:rPr>
  </w:style>
  <w:style w:type="character" w:customStyle="1" w:styleId="61">
    <w:name w:val="标题 8 Char"/>
    <w:link w:val="10"/>
    <w:qFormat/>
    <w:uiPriority w:val="0"/>
    <w:rPr>
      <w:rFonts w:ascii="Arial" w:hAnsi="Arial" w:eastAsia="黑体" w:cs="Arial"/>
      <w:kern w:val="2"/>
      <w:sz w:val="24"/>
      <w:szCs w:val="24"/>
      <w:lang w:val="en-US" w:eastAsia="zh-CN" w:bidi="ar-SA"/>
    </w:rPr>
  </w:style>
  <w:style w:type="character" w:customStyle="1" w:styleId="62">
    <w:name w:val="标题 9 Char"/>
    <w:link w:val="11"/>
    <w:autoRedefine/>
    <w:qFormat/>
    <w:uiPriority w:val="0"/>
    <w:rPr>
      <w:rFonts w:ascii="Arial" w:hAnsi="Arial" w:eastAsia="黑体" w:cs="Arial"/>
      <w:kern w:val="2"/>
      <w:sz w:val="21"/>
      <w:szCs w:val="21"/>
      <w:lang w:val="en-US" w:eastAsia="zh-CN" w:bidi="ar-SA"/>
    </w:rPr>
  </w:style>
  <w:style w:type="character" w:customStyle="1" w:styleId="63">
    <w:name w:val="正文缩进 Char"/>
    <w:link w:val="12"/>
    <w:qFormat/>
    <w:uiPriority w:val="0"/>
    <w:rPr>
      <w:rFonts w:eastAsia="宋体"/>
      <w:kern w:val="2"/>
      <w:sz w:val="21"/>
      <w:szCs w:val="21"/>
      <w:lang w:val="en-US" w:eastAsia="zh-CN" w:bidi="ar-SA"/>
    </w:rPr>
  </w:style>
  <w:style w:type="character" w:customStyle="1" w:styleId="64">
    <w:name w:val="批注文字 Char"/>
    <w:link w:val="15"/>
    <w:autoRedefine/>
    <w:qFormat/>
    <w:uiPriority w:val="0"/>
    <w:rPr>
      <w:rFonts w:eastAsia="宋体"/>
      <w:kern w:val="2"/>
      <w:sz w:val="21"/>
      <w:szCs w:val="21"/>
      <w:lang w:val="en-US" w:eastAsia="zh-CN" w:bidi="ar-SA"/>
    </w:rPr>
  </w:style>
  <w:style w:type="character" w:customStyle="1" w:styleId="65">
    <w:name w:val="正文文本 Char"/>
    <w:link w:val="18"/>
    <w:autoRedefine/>
    <w:qFormat/>
    <w:uiPriority w:val="0"/>
    <w:rPr>
      <w:rFonts w:ascii="仿宋_GB2312" w:hAnsi="宋体" w:eastAsia="仿宋_GB2312" w:cs="仿宋_GB2312"/>
      <w:b/>
      <w:bCs/>
      <w:sz w:val="24"/>
      <w:szCs w:val="24"/>
      <w:lang w:val="en-US" w:eastAsia="zh-CN" w:bidi="ar-SA"/>
    </w:rPr>
  </w:style>
  <w:style w:type="character" w:customStyle="1" w:styleId="66">
    <w:name w:val="纯文本 Char"/>
    <w:link w:val="24"/>
    <w:autoRedefine/>
    <w:qFormat/>
    <w:uiPriority w:val="0"/>
    <w:rPr>
      <w:rFonts w:ascii="宋体" w:hAnsi="Courier New" w:eastAsia="宋体" w:cs="宋体"/>
      <w:sz w:val="21"/>
      <w:szCs w:val="21"/>
      <w:lang w:val="en-US" w:eastAsia="zh-CN" w:bidi="ar-SA"/>
    </w:rPr>
  </w:style>
  <w:style w:type="character" w:customStyle="1" w:styleId="67">
    <w:name w:val="批注框文本 Char"/>
    <w:link w:val="27"/>
    <w:autoRedefine/>
    <w:qFormat/>
    <w:uiPriority w:val="0"/>
    <w:rPr>
      <w:rFonts w:eastAsia="宋体"/>
      <w:kern w:val="2"/>
      <w:sz w:val="18"/>
      <w:szCs w:val="18"/>
      <w:lang w:val="en-US" w:eastAsia="zh-CN" w:bidi="ar-SA"/>
    </w:rPr>
  </w:style>
  <w:style w:type="character" w:customStyle="1" w:styleId="68">
    <w:name w:val="页脚 Char"/>
    <w:link w:val="28"/>
    <w:autoRedefine/>
    <w:qFormat/>
    <w:locked/>
    <w:uiPriority w:val="0"/>
    <w:rPr>
      <w:rFonts w:ascii="黑体" w:eastAsia="宋体"/>
      <w:kern w:val="2"/>
      <w:sz w:val="18"/>
      <w:szCs w:val="18"/>
      <w:lang w:val="en-US" w:eastAsia="zh-CN" w:bidi="ar-SA"/>
    </w:rPr>
  </w:style>
  <w:style w:type="character" w:customStyle="1" w:styleId="69">
    <w:name w:val="页眉 Char"/>
    <w:link w:val="29"/>
    <w:autoRedefine/>
    <w:qFormat/>
    <w:uiPriority w:val="0"/>
    <w:rPr>
      <w:rFonts w:eastAsia="宋体"/>
      <w:kern w:val="2"/>
      <w:sz w:val="18"/>
      <w:szCs w:val="18"/>
      <w:lang w:val="en-US" w:eastAsia="zh-CN" w:bidi="ar-SA"/>
    </w:rPr>
  </w:style>
  <w:style w:type="character" w:customStyle="1" w:styleId="70">
    <w:name w:val="脚注文本 Char"/>
    <w:link w:val="31"/>
    <w:autoRedefine/>
    <w:qFormat/>
    <w:uiPriority w:val="0"/>
    <w:rPr>
      <w:rFonts w:eastAsia="仿宋_GB2312"/>
      <w:sz w:val="18"/>
      <w:szCs w:val="18"/>
      <w:lang w:bidi="ar-SA"/>
    </w:rPr>
  </w:style>
  <w:style w:type="character" w:customStyle="1" w:styleId="71">
    <w:name w:val="正文文本缩进 3 Char"/>
    <w:link w:val="33"/>
    <w:autoRedefine/>
    <w:qFormat/>
    <w:uiPriority w:val="0"/>
    <w:rPr>
      <w:rFonts w:eastAsia="宋体"/>
      <w:kern w:val="2"/>
      <w:sz w:val="16"/>
      <w:szCs w:val="16"/>
      <w:lang w:val="en-US" w:eastAsia="zh-CN" w:bidi="ar-SA"/>
    </w:rPr>
  </w:style>
  <w:style w:type="character" w:customStyle="1" w:styleId="72">
    <w:name w:val="HTML 预设格式 Char"/>
    <w:link w:val="36"/>
    <w:autoRedefine/>
    <w:qFormat/>
    <w:uiPriority w:val="0"/>
    <w:rPr>
      <w:rFonts w:ascii="宋体" w:hAnsi="宋体"/>
      <w:sz w:val="24"/>
      <w:szCs w:val="24"/>
      <w:lang w:bidi="ar-SA"/>
    </w:rPr>
  </w:style>
  <w:style w:type="character" w:customStyle="1" w:styleId="73">
    <w:name w:val="标题 Char"/>
    <w:link w:val="38"/>
    <w:autoRedefine/>
    <w:qFormat/>
    <w:locked/>
    <w:uiPriority w:val="0"/>
    <w:rPr>
      <w:rFonts w:ascii="Cambria" w:hAnsi="Cambria" w:eastAsia="宋体"/>
      <w:b/>
      <w:bCs/>
      <w:color w:val="000000"/>
      <w:kern w:val="0"/>
      <w:sz w:val="32"/>
      <w:szCs w:val="32"/>
      <w:lang w:val="en-US" w:eastAsia="zh-CN" w:bidi="ar-SA"/>
    </w:rPr>
  </w:style>
  <w:style w:type="character" w:customStyle="1" w:styleId="74">
    <w:name w:val="批注主题 Char"/>
    <w:link w:val="39"/>
    <w:autoRedefine/>
    <w:qFormat/>
    <w:uiPriority w:val="0"/>
    <w:rPr>
      <w:rFonts w:eastAsia="仿宋_GB2312"/>
      <w:b/>
      <w:bCs/>
      <w:sz w:val="24"/>
      <w:lang w:bidi="ar-SA"/>
    </w:rPr>
  </w:style>
  <w:style w:type="paragraph" w:customStyle="1" w:styleId="75">
    <w:name w:val="无间隔1"/>
    <w:autoRedefine/>
    <w:qFormat/>
    <w:uiPriority w:val="0"/>
    <w:rPr>
      <w:rFonts w:ascii="Times New Roman" w:hAnsi="Times New Roman" w:eastAsia="宋体" w:cs="Calibri"/>
      <w:sz w:val="22"/>
      <w:szCs w:val="22"/>
      <w:lang w:val="en-US" w:eastAsia="en-US" w:bidi="ar-SA"/>
    </w:rPr>
  </w:style>
  <w:style w:type="character" w:customStyle="1" w:styleId="76">
    <w:name w:val="普通文字 Char Char2"/>
    <w:autoRedefine/>
    <w:qFormat/>
    <w:uiPriority w:val="0"/>
    <w:rPr>
      <w:rFonts w:ascii="宋体" w:hAnsi="Courier New" w:eastAsia="宋体" w:cs="Courier New"/>
      <w:kern w:val="2"/>
      <w:sz w:val="21"/>
      <w:szCs w:val="21"/>
      <w:lang w:val="en-US" w:eastAsia="zh-CN" w:bidi="ar-SA"/>
    </w:rPr>
  </w:style>
  <w:style w:type="character" w:customStyle="1" w:styleId="77">
    <w:name w:val="font01"/>
    <w:qFormat/>
    <w:uiPriority w:val="0"/>
    <w:rPr>
      <w:rFonts w:hint="default" w:ascii="Times New Roman" w:hAnsi="Times New Roman" w:eastAsia="黑体" w:cs="Times New Roman"/>
      <w:color w:val="000000"/>
      <w:kern w:val="0"/>
      <w:sz w:val="24"/>
      <w:szCs w:val="24"/>
      <w:u w:val="none"/>
    </w:rPr>
  </w:style>
  <w:style w:type="character" w:customStyle="1" w:styleId="78">
    <w:name w:val="font21"/>
    <w:autoRedefine/>
    <w:qFormat/>
    <w:uiPriority w:val="0"/>
    <w:rPr>
      <w:rFonts w:hint="eastAsia" w:ascii="宋体" w:hAnsi="宋体" w:eastAsia="宋体" w:cs="宋体"/>
      <w:color w:val="000000"/>
      <w:kern w:val="0"/>
      <w:sz w:val="24"/>
      <w:szCs w:val="24"/>
      <w:u w:val="none"/>
    </w:rPr>
  </w:style>
  <w:style w:type="character" w:customStyle="1" w:styleId="79">
    <w:name w:val="+标题4 Char Char"/>
    <w:autoRedefine/>
    <w:qFormat/>
    <w:uiPriority w:val="0"/>
    <w:rPr>
      <w:rFonts w:ascii="楷体_GB2312" w:eastAsia="宋体"/>
      <w:b/>
      <w:bCs/>
      <w:kern w:val="2"/>
      <w:sz w:val="24"/>
      <w:szCs w:val="28"/>
      <w:lang w:val="en-US" w:eastAsia="zh-CN" w:bidi="ar-SA"/>
    </w:rPr>
  </w:style>
  <w:style w:type="character" w:customStyle="1" w:styleId="80">
    <w:name w:val="font11"/>
    <w:autoRedefine/>
    <w:qFormat/>
    <w:uiPriority w:val="0"/>
    <w:rPr>
      <w:rFonts w:hint="eastAsia" w:ascii="宋体" w:hAnsi="宋体" w:eastAsia="宋体" w:cs="宋体"/>
      <w:color w:val="000000"/>
      <w:kern w:val="0"/>
      <w:sz w:val="24"/>
      <w:szCs w:val="24"/>
      <w:u w:val="none"/>
    </w:rPr>
  </w:style>
  <w:style w:type="character" w:customStyle="1" w:styleId="81">
    <w:name w:val="bsharetext"/>
    <w:autoRedefine/>
    <w:qFormat/>
    <w:uiPriority w:val="0"/>
  </w:style>
  <w:style w:type="character" w:customStyle="1" w:styleId="82">
    <w:name w:val="font121"/>
    <w:autoRedefine/>
    <w:qFormat/>
    <w:uiPriority w:val="0"/>
    <w:rPr>
      <w:rFonts w:hint="eastAsia" w:ascii="宋体" w:hAnsi="宋体" w:eastAsia="宋体" w:cs="宋体"/>
      <w:color w:val="FF0000"/>
      <w:kern w:val="0"/>
      <w:sz w:val="20"/>
      <w:szCs w:val="20"/>
      <w:u w:val="none"/>
    </w:rPr>
  </w:style>
  <w:style w:type="character" w:customStyle="1" w:styleId="83">
    <w:name w:val="font51"/>
    <w:autoRedefine/>
    <w:qFormat/>
    <w:uiPriority w:val="0"/>
    <w:rPr>
      <w:rFonts w:hint="default" w:ascii="Times New Roman" w:hAnsi="Times New Roman" w:eastAsia="黑体" w:cs="Times New Roman"/>
      <w:color w:val="000000"/>
      <w:kern w:val="0"/>
      <w:sz w:val="22"/>
      <w:szCs w:val="22"/>
      <w:u w:val="none"/>
    </w:rPr>
  </w:style>
  <w:style w:type="character" w:customStyle="1" w:styleId="84">
    <w:name w:val="hik 正文 Char"/>
    <w:link w:val="85"/>
    <w:autoRedefine/>
    <w:qFormat/>
    <w:uiPriority w:val="0"/>
    <w:rPr>
      <w:sz w:val="24"/>
      <w:szCs w:val="24"/>
    </w:rPr>
  </w:style>
  <w:style w:type="paragraph" w:customStyle="1" w:styleId="85">
    <w:name w:val="hik 正文"/>
    <w:basedOn w:val="1"/>
    <w:link w:val="84"/>
    <w:autoRedefine/>
    <w:qFormat/>
    <w:uiPriority w:val="0"/>
    <w:pPr>
      <w:spacing w:line="360" w:lineRule="auto"/>
      <w:ind w:firstLine="480" w:firstLineChars="200"/>
    </w:pPr>
    <w:rPr>
      <w:rFonts w:ascii="Times New Roman"/>
      <w:sz w:val="24"/>
      <w:szCs w:val="24"/>
    </w:rPr>
  </w:style>
  <w:style w:type="character" w:customStyle="1" w:styleId="86">
    <w:name w:val="font61"/>
    <w:autoRedefine/>
    <w:qFormat/>
    <w:uiPriority w:val="0"/>
    <w:rPr>
      <w:rFonts w:hint="eastAsia" w:ascii="宋体" w:hAnsi="宋体" w:eastAsia="宋体" w:cs="宋体"/>
      <w:color w:val="000000"/>
      <w:kern w:val="0"/>
      <w:sz w:val="22"/>
      <w:szCs w:val="22"/>
      <w:u w:val="none"/>
    </w:rPr>
  </w:style>
  <w:style w:type="character" w:customStyle="1" w:styleId="87">
    <w:name w:val="表格小项 Char"/>
    <w:link w:val="88"/>
    <w:autoRedefine/>
    <w:qFormat/>
    <w:uiPriority w:val="0"/>
    <w:rPr>
      <w:rFonts w:ascii="华文宋体" w:hAnsi="华文宋体" w:eastAsia="华文宋体" w:cs="宋体"/>
      <w:bCs/>
      <w:sz w:val="24"/>
      <w:szCs w:val="24"/>
    </w:rPr>
  </w:style>
  <w:style w:type="paragraph" w:customStyle="1" w:styleId="88">
    <w:name w:val="表格小项"/>
    <w:basedOn w:val="89"/>
    <w:link w:val="87"/>
    <w:autoRedefine/>
    <w:qFormat/>
    <w:uiPriority w:val="0"/>
    <w:pPr>
      <w:jc w:val="center"/>
    </w:pPr>
  </w:style>
  <w:style w:type="paragraph" w:customStyle="1" w:styleId="89">
    <w:name w:val="表格内容"/>
    <w:basedOn w:val="90"/>
    <w:link w:val="91"/>
    <w:qFormat/>
    <w:uiPriority w:val="0"/>
    <w:pPr>
      <w:spacing w:beforeLines="25" w:afterLines="25" w:line="300" w:lineRule="exact"/>
      <w:ind w:firstLine="0" w:firstLineChars="0"/>
    </w:pPr>
    <w:rPr>
      <w:rFonts w:ascii="华文宋体" w:hAnsi="华文宋体" w:eastAsia="华文宋体"/>
      <w:bCs/>
      <w:szCs w:val="24"/>
    </w:rPr>
  </w:style>
  <w:style w:type="paragraph" w:customStyle="1" w:styleId="90">
    <w:name w:val="列出段落1"/>
    <w:basedOn w:val="1"/>
    <w:autoRedefine/>
    <w:qFormat/>
    <w:uiPriority w:val="0"/>
    <w:pPr>
      <w:widowControl/>
      <w:ind w:firstLine="420" w:firstLineChars="200"/>
      <w:jc w:val="left"/>
    </w:pPr>
    <w:rPr>
      <w:sz w:val="24"/>
    </w:rPr>
  </w:style>
  <w:style w:type="character" w:customStyle="1" w:styleId="91">
    <w:name w:val="表格内容 Char"/>
    <w:link w:val="89"/>
    <w:autoRedefine/>
    <w:qFormat/>
    <w:uiPriority w:val="0"/>
    <w:rPr>
      <w:rFonts w:ascii="华文宋体" w:hAnsi="华文宋体" w:eastAsia="华文宋体" w:cs="宋体"/>
      <w:bCs/>
      <w:sz w:val="24"/>
      <w:szCs w:val="24"/>
    </w:rPr>
  </w:style>
  <w:style w:type="character" w:customStyle="1" w:styleId="92">
    <w:name w:val="apple-converted-space"/>
    <w:autoRedefine/>
    <w:qFormat/>
    <w:uiPriority w:val="0"/>
  </w:style>
  <w:style w:type="character" w:customStyle="1" w:styleId="93">
    <w:name w:val="表格非标题文字 Char"/>
    <w:link w:val="94"/>
    <w:autoRedefine/>
    <w:qFormat/>
    <w:uiPriority w:val="0"/>
    <w:rPr>
      <w:rFonts w:ascii="Futura Bk" w:hAnsi="Futura Bk"/>
      <w:kern w:val="2"/>
      <w:sz w:val="18"/>
      <w:szCs w:val="21"/>
      <w:lang w:val="en-US" w:eastAsia="zh-CN" w:bidi="ar-SA"/>
    </w:rPr>
  </w:style>
  <w:style w:type="paragraph" w:customStyle="1" w:styleId="94">
    <w:name w:val="表格非标题文字"/>
    <w:link w:val="93"/>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95">
    <w:name w:val="Header Char"/>
    <w:autoRedefine/>
    <w:qFormat/>
    <w:locked/>
    <w:uiPriority w:val="0"/>
    <w:rPr>
      <w:rFonts w:ascii="黑体" w:eastAsia="黑体" w:cs="Times New Roman"/>
      <w:kern w:val="0"/>
      <w:sz w:val="18"/>
      <w:szCs w:val="18"/>
    </w:rPr>
  </w:style>
  <w:style w:type="character" w:customStyle="1" w:styleId="96">
    <w:name w:val="para1"/>
    <w:autoRedefine/>
    <w:qFormat/>
    <w:uiPriority w:val="0"/>
    <w:rPr>
      <w:rFonts w:hint="default" w:ascii="Arial" w:hAnsi="Arial" w:cs="Arial"/>
      <w:sz w:val="18"/>
      <w:szCs w:val="18"/>
    </w:rPr>
  </w:style>
  <w:style w:type="character" w:customStyle="1" w:styleId="97">
    <w:name w:val="Para head"/>
    <w:autoRedefine/>
    <w:qFormat/>
    <w:uiPriority w:val="0"/>
    <w:rPr>
      <w:rFonts w:ascii="Arial" w:hAnsi="Arial" w:eastAsia="Times New Roman"/>
      <w:sz w:val="20"/>
    </w:rPr>
  </w:style>
  <w:style w:type="character" w:customStyle="1" w:styleId="98">
    <w:name w:val="表格 Char Char"/>
    <w:link w:val="99"/>
    <w:autoRedefine/>
    <w:qFormat/>
    <w:uiPriority w:val="0"/>
    <w:rPr>
      <w:rFonts w:ascii="宋体" w:hAnsi="宋体" w:eastAsia="宋体"/>
      <w:lang w:val="en-US" w:eastAsia="zh-CN" w:bidi="ar-SA"/>
    </w:rPr>
  </w:style>
  <w:style w:type="paragraph" w:customStyle="1" w:styleId="99">
    <w:name w:val="表格"/>
    <w:basedOn w:val="1"/>
    <w:link w:val="98"/>
    <w:autoRedefine/>
    <w:qFormat/>
    <w:uiPriority w:val="0"/>
    <w:pPr>
      <w:snapToGrid w:val="0"/>
      <w:ind w:firstLine="42" w:firstLineChars="21"/>
    </w:pPr>
    <w:rPr>
      <w:rFonts w:hAnsi="宋体"/>
      <w:sz w:val="20"/>
    </w:rPr>
  </w:style>
  <w:style w:type="character" w:customStyle="1" w:styleId="100">
    <w:name w:val="Char Char7"/>
    <w:autoRedefine/>
    <w:qFormat/>
    <w:uiPriority w:val="0"/>
    <w:rPr>
      <w:rFonts w:ascii="Arial" w:hAnsi="Arial" w:eastAsia="黑体"/>
      <w:b/>
      <w:bCs/>
      <w:kern w:val="2"/>
      <w:sz w:val="32"/>
      <w:szCs w:val="32"/>
      <w:lang w:val="en-US" w:eastAsia="zh-CN" w:bidi="ar-SA"/>
    </w:rPr>
  </w:style>
  <w:style w:type="character" w:customStyle="1" w:styleId="101">
    <w:name w:val="style261"/>
    <w:qFormat/>
    <w:uiPriority w:val="0"/>
    <w:rPr>
      <w:sz w:val="20"/>
      <w:szCs w:val="20"/>
    </w:rPr>
  </w:style>
  <w:style w:type="character" w:customStyle="1" w:styleId="102">
    <w:name w:val="List Paragraph Char"/>
    <w:link w:val="103"/>
    <w:qFormat/>
    <w:locked/>
    <w:uiPriority w:val="0"/>
    <w:rPr>
      <w:rFonts w:eastAsia="宋体"/>
      <w:kern w:val="2"/>
      <w:sz w:val="21"/>
      <w:szCs w:val="21"/>
      <w:lang w:val="en-US" w:eastAsia="zh-CN" w:bidi="ar-SA"/>
    </w:rPr>
  </w:style>
  <w:style w:type="paragraph" w:customStyle="1" w:styleId="103">
    <w:name w:val="列出段落2"/>
    <w:basedOn w:val="1"/>
    <w:link w:val="102"/>
    <w:autoRedefine/>
    <w:qFormat/>
    <w:uiPriority w:val="0"/>
    <w:pPr>
      <w:ind w:firstLine="420" w:firstLineChars="200"/>
    </w:pPr>
    <w:rPr>
      <w:rFonts w:ascii="Times New Roman"/>
      <w:kern w:val="2"/>
      <w:sz w:val="21"/>
      <w:szCs w:val="21"/>
    </w:rPr>
  </w:style>
  <w:style w:type="character" w:customStyle="1" w:styleId="104">
    <w:name w:val="bumpedfont15"/>
    <w:qFormat/>
    <w:uiPriority w:val="0"/>
  </w:style>
  <w:style w:type="paragraph" w:customStyle="1" w:styleId="105">
    <w:name w:val="列出段落[858D7CFB-ED40-4347-BF05-701D383B685F][858D7CFB-ED40-4347-BF05-701D383B685F]"/>
    <w:basedOn w:val="1"/>
    <w:autoRedefine/>
    <w:qFormat/>
    <w:uiPriority w:val="0"/>
    <w:pPr>
      <w:ind w:firstLine="420" w:firstLineChars="200"/>
    </w:pPr>
    <w:rPr>
      <w:rFonts w:ascii="Calibri" w:hAnsi="Calibri"/>
      <w:szCs w:val="22"/>
    </w:rPr>
  </w:style>
  <w:style w:type="paragraph" w:customStyle="1" w:styleId="106">
    <w:name w:val="样式"/>
    <w:basedOn w:val="1"/>
    <w:qFormat/>
    <w:uiPriority w:val="0"/>
    <w:rPr>
      <w:sz w:val="24"/>
      <w:szCs w:val="24"/>
    </w:rPr>
  </w:style>
  <w:style w:type="paragraph" w:customStyle="1" w:styleId="107">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Ansi="宋体" w:cs="宋体"/>
      <w:sz w:val="24"/>
      <w:szCs w:val="24"/>
    </w:rPr>
  </w:style>
  <w:style w:type="paragraph" w:customStyle="1" w:styleId="108">
    <w:name w:val="Char"/>
    <w:basedOn w:val="1"/>
    <w:autoRedefine/>
    <w:qFormat/>
    <w:uiPriority w:val="0"/>
    <w:rPr>
      <w:rFonts w:ascii="仿宋_GB2312" w:eastAsia="仿宋_GB2312" w:cs="仿宋_GB2312"/>
      <w:b/>
      <w:bCs/>
      <w:sz w:val="32"/>
      <w:szCs w:val="32"/>
    </w:rPr>
  </w:style>
  <w:style w:type="paragraph" w:customStyle="1" w:styleId="109">
    <w:name w:val="Char Char"/>
    <w:basedOn w:val="13"/>
    <w:next w:val="1"/>
    <w:qFormat/>
    <w:uiPriority w:val="0"/>
    <w:rPr>
      <w:rFonts w:ascii="Tahoma" w:hAnsi="Tahoma"/>
      <w:sz w:val="24"/>
      <w:szCs w:val="24"/>
    </w:rPr>
  </w:style>
  <w:style w:type="paragraph" w:customStyle="1" w:styleId="110">
    <w:name w:val="Char Char1"/>
    <w:basedOn w:val="13"/>
    <w:next w:val="1"/>
    <w:autoRedefine/>
    <w:qFormat/>
    <w:uiPriority w:val="0"/>
    <w:rPr>
      <w:rFonts w:ascii="Tahoma" w:hAnsi="Tahoma"/>
      <w:sz w:val="24"/>
      <w:szCs w:val="24"/>
    </w:rPr>
  </w:style>
  <w:style w:type="paragraph" w:customStyle="1" w:styleId="111">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sz w:val="20"/>
    </w:rPr>
  </w:style>
  <w:style w:type="paragraph" w:customStyle="1" w:styleId="112">
    <w:name w:val="_Style 48"/>
    <w:basedOn w:val="1"/>
    <w:autoRedefine/>
    <w:qFormat/>
    <w:uiPriority w:val="0"/>
    <w:rPr>
      <w:rFonts w:ascii="黑体" w:eastAsia="黑体"/>
      <w:sz w:val="24"/>
    </w:rPr>
  </w:style>
  <w:style w:type="paragraph" w:customStyle="1" w:styleId="113">
    <w:name w:val="p0"/>
    <w:basedOn w:val="1"/>
    <w:autoRedefine/>
    <w:qFormat/>
    <w:uiPriority w:val="0"/>
    <w:pPr>
      <w:ind w:firstLine="480" w:firstLineChars="200"/>
    </w:pPr>
    <w:rPr>
      <w:rFonts w:hAnsi="宋体" w:eastAsia="仿宋"/>
      <w:sz w:val="24"/>
    </w:rPr>
  </w:style>
  <w:style w:type="paragraph" w:customStyle="1" w:styleId="114">
    <w:name w:val="普通 (Web)"/>
    <w:basedOn w:val="1"/>
    <w:qFormat/>
    <w:uiPriority w:val="0"/>
    <w:pPr>
      <w:widowControl/>
      <w:spacing w:before="100" w:beforeAutospacing="1" w:after="100" w:afterAutospacing="1"/>
      <w:jc w:val="left"/>
    </w:pPr>
    <w:rPr>
      <w:rFonts w:hAnsi="宋体"/>
      <w:sz w:val="24"/>
      <w:szCs w:val="24"/>
    </w:rPr>
  </w:style>
  <w:style w:type="paragraph" w:customStyle="1" w:styleId="115">
    <w:name w:val="內文 + Verdana"/>
    <w:basedOn w:val="1"/>
    <w:qFormat/>
    <w:uiPriority w:val="0"/>
    <w:pPr>
      <w:widowControl/>
      <w:suppressAutoHyphens/>
      <w:wordWrap w:val="0"/>
      <w:topLinePunct/>
      <w:ind w:right="-10" w:rightChars="-5"/>
      <w:jc w:val="left"/>
      <w:textAlignment w:val="top"/>
    </w:pPr>
    <w:rPr>
      <w:rFonts w:ascii="Verdana" w:hAnsi="Verdana"/>
      <w:color w:val="FF0000"/>
    </w:rPr>
  </w:style>
  <w:style w:type="paragraph" w:customStyle="1" w:styleId="116">
    <w:name w:val="Char2"/>
    <w:basedOn w:val="13"/>
    <w:next w:val="1"/>
    <w:autoRedefine/>
    <w:qFormat/>
    <w:uiPriority w:val="0"/>
    <w:rPr>
      <w:rFonts w:ascii="Tahoma" w:hAnsi="Tahoma"/>
      <w:sz w:val="24"/>
      <w:szCs w:val="24"/>
    </w:rPr>
  </w:style>
  <w:style w:type="paragraph" w:customStyle="1" w:styleId="117">
    <w:name w:val="列表内容"/>
    <w:basedOn w:val="1"/>
    <w:next w:val="1"/>
    <w:autoRedefine/>
    <w:qFormat/>
    <w:uiPriority w:val="0"/>
    <w:pPr>
      <w:widowControl/>
      <w:numPr>
        <w:ilvl w:val="0"/>
        <w:numId w:val="4"/>
      </w:numPr>
      <w:tabs>
        <w:tab w:val="left" w:pos="840"/>
        <w:tab w:val="clear" w:pos="1275"/>
      </w:tabs>
      <w:jc w:val="left"/>
    </w:pPr>
    <w:rPr>
      <w:sz w:val="18"/>
    </w:rPr>
  </w:style>
  <w:style w:type="paragraph" w:customStyle="1" w:styleId="118">
    <w:name w:val="列出段落21"/>
    <w:basedOn w:val="1"/>
    <w:autoRedefine/>
    <w:qFormat/>
    <w:uiPriority w:val="0"/>
    <w:pPr>
      <w:ind w:firstLine="420" w:firstLineChars="200"/>
    </w:pPr>
    <w:rPr>
      <w:rFonts w:ascii="Calibri" w:hAnsi="Calibri" w:cs="Calibri"/>
    </w:rPr>
  </w:style>
  <w:style w:type="paragraph" w:customStyle="1" w:styleId="119">
    <w:name w:val="Char Char Char Char Char Char Char"/>
    <w:basedOn w:val="1"/>
    <w:autoRedefine/>
    <w:qFormat/>
    <w:uiPriority w:val="0"/>
    <w:pPr>
      <w:tabs>
        <w:tab w:val="left" w:pos="360"/>
      </w:tabs>
      <w:ind w:firstLine="560" w:firstLineChars="200"/>
    </w:pPr>
    <w:rPr>
      <w:rFonts w:ascii="方正书宋_GBK" w:hAnsi="方正书宋_GBK" w:eastAsia="方正书宋_GBK"/>
      <w:sz w:val="28"/>
    </w:rPr>
  </w:style>
  <w:style w:type="paragraph" w:customStyle="1" w:styleId="120">
    <w:name w:val="tabletext"/>
    <w:basedOn w:val="1"/>
    <w:autoRedefine/>
    <w:qFormat/>
    <w:uiPriority w:val="0"/>
    <w:pPr>
      <w:widowControl/>
      <w:spacing w:before="100" w:beforeAutospacing="1" w:after="100" w:afterAutospacing="1"/>
      <w:jc w:val="left"/>
    </w:pPr>
    <w:rPr>
      <w:rFonts w:hAnsi="宋体"/>
      <w:sz w:val="24"/>
      <w:szCs w:val="24"/>
    </w:rPr>
  </w:style>
  <w:style w:type="paragraph" w:customStyle="1" w:styleId="121">
    <w:name w:val="标准正文"/>
    <w:basedOn w:val="19"/>
    <w:autoRedefine/>
    <w:qFormat/>
    <w:uiPriority w:val="0"/>
    <w:pPr>
      <w:spacing w:before="60" w:after="60" w:line="360" w:lineRule="auto"/>
      <w:ind w:firstLine="482"/>
    </w:pPr>
    <w:rPr>
      <w:rFonts w:ascii="Arial" w:hAnsi="Arial"/>
      <w:sz w:val="24"/>
    </w:rPr>
  </w:style>
  <w:style w:type="paragraph" w:customStyle="1" w:styleId="122">
    <w:name w:val="+标题3"/>
    <w:basedOn w:val="5"/>
    <w:qFormat/>
    <w:uiPriority w:val="0"/>
    <w:pPr>
      <w:numPr>
        <w:numId w:val="5"/>
      </w:numPr>
      <w:tabs>
        <w:tab w:val="left" w:pos="432"/>
        <w:tab w:val="left" w:pos="833"/>
      </w:tabs>
      <w:spacing w:before="120" w:after="120" w:line="360" w:lineRule="auto"/>
    </w:pPr>
    <w:rPr>
      <w:bCs w:val="0"/>
      <w:sz w:val="24"/>
      <w:szCs w:val="28"/>
    </w:rPr>
  </w:style>
  <w:style w:type="paragraph" w:customStyle="1" w:styleId="123">
    <w:name w:val="reader-word-layer"/>
    <w:basedOn w:val="1"/>
    <w:qFormat/>
    <w:uiPriority w:val="99"/>
    <w:pPr>
      <w:widowControl/>
      <w:spacing w:before="100" w:beforeAutospacing="1" w:after="100" w:afterAutospacing="1"/>
      <w:jc w:val="left"/>
    </w:pPr>
    <w:rPr>
      <w:rFonts w:hAnsi="宋体" w:cs="宋体"/>
      <w:sz w:val="24"/>
      <w:szCs w:val="24"/>
    </w:rPr>
  </w:style>
  <w:style w:type="paragraph" w:customStyle="1" w:styleId="124">
    <w:name w:val="表内文字"/>
    <w:basedOn w:val="1"/>
    <w:autoRedefine/>
    <w:qFormat/>
    <w:uiPriority w:val="0"/>
    <w:pPr>
      <w:adjustRightInd w:val="0"/>
      <w:snapToGrid w:val="0"/>
      <w:spacing w:line="500" w:lineRule="atLeast"/>
      <w:jc w:val="center"/>
    </w:pPr>
    <w:rPr>
      <w:rFonts w:ascii="Arial" w:hAnsi="Arial" w:eastAsia="楷体_GB2312" w:cs="Arial"/>
      <w:sz w:val="24"/>
      <w:szCs w:val="24"/>
    </w:rPr>
  </w:style>
  <w:style w:type="paragraph" w:customStyle="1" w:styleId="125">
    <w:name w:val="五号正文项目（标准）"/>
    <w:basedOn w:val="1"/>
    <w:autoRedefine/>
    <w:qFormat/>
    <w:uiPriority w:val="0"/>
    <w:pPr>
      <w:numPr>
        <w:ilvl w:val="0"/>
        <w:numId w:val="6"/>
      </w:numPr>
      <w:spacing w:line="400" w:lineRule="exact"/>
      <w:jc w:val="left"/>
    </w:pPr>
    <w:rPr>
      <w:rFonts w:hAnsi="宋体" w:cs="宋体"/>
      <w:color w:val="000000"/>
    </w:rPr>
  </w:style>
  <w:style w:type="paragraph" w:customStyle="1" w:styleId="126">
    <w:name w:val="font5"/>
    <w:basedOn w:val="1"/>
    <w:autoRedefine/>
    <w:qFormat/>
    <w:uiPriority w:val="0"/>
    <w:pPr>
      <w:widowControl/>
      <w:spacing w:before="100" w:beforeAutospacing="1" w:after="100" w:afterAutospacing="1"/>
      <w:jc w:val="left"/>
    </w:pPr>
    <w:rPr>
      <w:rFonts w:hAnsi="宋体" w:cs="宋体"/>
      <w:sz w:val="18"/>
      <w:szCs w:val="18"/>
    </w:rPr>
  </w:style>
  <w:style w:type="paragraph" w:customStyle="1" w:styleId="127">
    <w:name w:val="菲页2"/>
    <w:basedOn w:val="5"/>
    <w:qFormat/>
    <w:uiPriority w:val="0"/>
    <w:pPr>
      <w:widowControl/>
      <w:tabs>
        <w:tab w:val="left" w:pos="1275"/>
        <w:tab w:val="clear" w:pos="720"/>
      </w:tabs>
      <w:spacing w:before="120" w:after="120" w:line="360" w:lineRule="auto"/>
      <w:ind w:left="1275" w:hanging="705"/>
      <w:jc w:val="center"/>
    </w:pPr>
    <w:rPr>
      <w:rFonts w:ascii="黑体" w:hAnsi="宋体" w:eastAsia="黑体"/>
      <w:b w:val="0"/>
      <w:bCs w:val="0"/>
      <w:kern w:val="0"/>
      <w:sz w:val="44"/>
      <w:szCs w:val="20"/>
    </w:rPr>
  </w:style>
  <w:style w:type="paragraph" w:customStyle="1" w:styleId="128">
    <w:name w:val="表格格式"/>
    <w:basedOn w:val="1"/>
    <w:autoRedefine/>
    <w:qFormat/>
    <w:uiPriority w:val="0"/>
    <w:pPr>
      <w:spacing w:line="360" w:lineRule="exact"/>
      <w:ind w:left="-91"/>
      <w:jc w:val="left"/>
    </w:pPr>
    <w:rPr>
      <w:sz w:val="24"/>
      <w:szCs w:val="11"/>
    </w:rPr>
  </w:style>
  <w:style w:type="paragraph" w:customStyle="1" w:styleId="129">
    <w:name w:val="正文_6"/>
    <w:basedOn w:val="1"/>
    <w:autoRedefine/>
    <w:qFormat/>
    <w:uiPriority w:val="0"/>
    <w:rPr>
      <w:rFonts w:ascii="Times New Roman"/>
      <w:kern w:val="2"/>
      <w:sz w:val="21"/>
      <w:szCs w:val="24"/>
    </w:rPr>
  </w:style>
  <w:style w:type="paragraph" w:customStyle="1" w:styleId="130">
    <w:name w:val="hik标题2"/>
    <w:next w:val="1"/>
    <w:autoRedefine/>
    <w:qFormat/>
    <w:uiPriority w:val="0"/>
    <w:pPr>
      <w:widowControl w:val="0"/>
      <w:numPr>
        <w:ilvl w:val="1"/>
        <w:numId w:val="7"/>
      </w:numPr>
      <w:spacing w:before="120" w:after="120" w:line="360" w:lineRule="auto"/>
      <w:outlineLvl w:val="1"/>
    </w:pPr>
    <w:rPr>
      <w:rFonts w:ascii="黑体" w:hAnsi="宋体" w:eastAsia="黑体" w:cs="Times New Roman"/>
      <w:b/>
      <w:color w:val="000000"/>
      <w:kern w:val="2"/>
      <w:sz w:val="30"/>
      <w:szCs w:val="30"/>
      <w:lang w:val="en-US" w:eastAsia="zh-CN" w:bidi="ar-SA"/>
    </w:rPr>
  </w:style>
  <w:style w:type="paragraph" w:customStyle="1" w:styleId="131">
    <w:name w:val="Table Paragraph"/>
    <w:basedOn w:val="1"/>
    <w:autoRedefine/>
    <w:unhideWhenUsed/>
    <w:qFormat/>
    <w:uiPriority w:val="1"/>
    <w:rPr>
      <w:sz w:val="24"/>
    </w:rPr>
  </w:style>
  <w:style w:type="paragraph" w:customStyle="1" w:styleId="132">
    <w:name w:val="*GS-正文"/>
    <w:basedOn w:val="1"/>
    <w:autoRedefine/>
    <w:qFormat/>
    <w:uiPriority w:val="0"/>
    <w:pPr>
      <w:spacing w:line="360" w:lineRule="auto"/>
      <w:ind w:firstLine="200" w:firstLineChars="200"/>
      <w:contextualSpacing/>
    </w:pPr>
    <w:rPr>
      <w:rFonts w:ascii="Times New Roman" w:eastAsia="新宋体"/>
      <w:lang w:bidi="en-US"/>
    </w:rPr>
  </w:style>
  <w:style w:type="paragraph" w:customStyle="1" w:styleId="133">
    <w:name w:val="hea"/>
    <w:basedOn w:val="1"/>
    <w:next w:val="1"/>
    <w:autoRedefine/>
    <w:qFormat/>
    <w:uiPriority w:val="0"/>
    <w:pPr>
      <w:keepNext/>
      <w:keepLines/>
      <w:numPr>
        <w:ilvl w:val="0"/>
        <w:numId w:val="1"/>
      </w:numPr>
      <w:spacing w:before="340" w:after="330" w:line="578" w:lineRule="auto"/>
      <w:outlineLvl w:val="0"/>
    </w:pPr>
    <w:rPr>
      <w:b/>
      <w:bCs/>
      <w:kern w:val="44"/>
      <w:sz w:val="44"/>
      <w:szCs w:val="44"/>
    </w:rPr>
  </w:style>
  <w:style w:type="paragraph" w:customStyle="1" w:styleId="134">
    <w:name w:val="...."/>
    <w:basedOn w:val="51"/>
    <w:next w:val="51"/>
    <w:autoRedefine/>
    <w:qFormat/>
    <w:uiPriority w:val="0"/>
    <w:rPr>
      <w:color w:val="auto"/>
    </w:rPr>
  </w:style>
  <w:style w:type="paragraph" w:customStyle="1" w:styleId="135">
    <w:name w:val="heading"/>
    <w:basedOn w:val="1"/>
    <w:next w:val="1"/>
    <w:autoRedefine/>
    <w:qFormat/>
    <w:uiPriority w:val="0"/>
    <w:pPr>
      <w:keepNext/>
      <w:keepLines/>
      <w:numPr>
        <w:ilvl w:val="1"/>
        <w:numId w:val="1"/>
      </w:numPr>
      <w:spacing w:before="260" w:after="260" w:line="416" w:lineRule="auto"/>
      <w:outlineLvl w:val="1"/>
    </w:pPr>
    <w:rPr>
      <w:rFonts w:ascii="Arial" w:hAnsi="Arial" w:eastAsia="黑体" w:cs="Arial"/>
      <w:b/>
      <w:bCs/>
      <w:sz w:val="32"/>
      <w:szCs w:val="32"/>
    </w:rPr>
  </w:style>
  <w:style w:type="paragraph" w:customStyle="1" w:styleId="136">
    <w:name w:val="Char Char Char Char Char Char"/>
    <w:basedOn w:val="1"/>
    <w:qFormat/>
    <w:uiPriority w:val="0"/>
    <w:pPr>
      <w:widowControl/>
      <w:spacing w:after="160" w:line="240" w:lineRule="exact"/>
      <w:jc w:val="left"/>
    </w:pPr>
    <w:rPr>
      <w:rFonts w:ascii="Arial" w:hAnsi="Arial" w:eastAsia="Times New Roman" w:cs="Verdana"/>
      <w:b/>
      <w:sz w:val="24"/>
      <w:lang w:eastAsia="en-US"/>
    </w:rPr>
  </w:style>
  <w:style w:type="paragraph" w:customStyle="1" w:styleId="137">
    <w:name w:val="样式 标题 3 + (中文) 黑体 小四 非加粗 段前: 7.8 磅 段后: 0 磅 行距: 固定值 20 磅"/>
    <w:basedOn w:val="5"/>
    <w:autoRedefine/>
    <w:qFormat/>
    <w:uiPriority w:val="0"/>
    <w:pPr>
      <w:spacing w:before="0" w:after="0" w:line="400" w:lineRule="exact"/>
      <w:ind w:left="0"/>
    </w:pPr>
    <w:rPr>
      <w:rFonts w:eastAsia="黑体"/>
      <w:sz w:val="24"/>
      <w:szCs w:val="20"/>
    </w:rPr>
  </w:style>
  <w:style w:type="paragraph" w:customStyle="1" w:styleId="138">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39">
    <w:name w:val="样式 标题 2 + 宋体 四号 左 段前: 0 磅 段后: 0 磅 行距: 1.5 倍行距 首行缩进:  2 字符"/>
    <w:basedOn w:val="4"/>
    <w:autoRedefine/>
    <w:qFormat/>
    <w:uiPriority w:val="0"/>
    <w:pPr>
      <w:spacing w:line="360" w:lineRule="auto"/>
      <w:ind w:firstLine="200" w:firstLineChars="200"/>
    </w:pPr>
    <w:rPr>
      <w:rFonts w:ascii="宋体" w:hAnsi="宋体"/>
      <w:sz w:val="24"/>
      <w:szCs w:val="20"/>
    </w:rPr>
  </w:style>
  <w:style w:type="paragraph" w:styleId="140">
    <w:name w:val="No Spacing"/>
    <w:autoRedefine/>
    <w:qFormat/>
    <w:uiPriority w:val="0"/>
    <w:pPr>
      <w:widowControl w:val="0"/>
      <w:jc w:val="both"/>
    </w:pPr>
    <w:rPr>
      <w:rFonts w:ascii="Times New Roman" w:hAnsi="Times New Roman" w:eastAsia="仿宋_GB2312" w:cs="Times New Roman"/>
      <w:kern w:val="2"/>
      <w:sz w:val="24"/>
      <w:szCs w:val="22"/>
      <w:lang w:val="en-US" w:eastAsia="zh-CN" w:bidi="ar-SA"/>
    </w:rPr>
  </w:style>
  <w:style w:type="paragraph" w:customStyle="1" w:styleId="141">
    <w:name w:val="Char1"/>
    <w:basedOn w:val="1"/>
    <w:qFormat/>
    <w:uiPriority w:val="0"/>
    <w:rPr>
      <w:sz w:val="24"/>
      <w:szCs w:val="24"/>
    </w:rPr>
  </w:style>
  <w:style w:type="paragraph" w:customStyle="1" w:styleId="142">
    <w:name w:val="表格文字"/>
    <w:basedOn w:val="24"/>
    <w:autoRedefine/>
    <w:qFormat/>
    <w:uiPriority w:val="0"/>
    <w:pPr>
      <w:widowControl w:val="0"/>
      <w:overflowPunct/>
      <w:autoSpaceDE/>
      <w:autoSpaceDN/>
      <w:adjustRightInd/>
      <w:textAlignment w:val="auto"/>
    </w:pPr>
    <w:rPr>
      <w:kern w:val="2"/>
      <w:sz w:val="24"/>
      <w:szCs w:val="24"/>
    </w:rPr>
  </w:style>
  <w:style w:type="paragraph" w:customStyle="1" w:styleId="143">
    <w:name w:val="文档正文"/>
    <w:basedOn w:val="1"/>
    <w:autoRedefine/>
    <w:qFormat/>
    <w:uiPriority w:val="0"/>
    <w:pPr>
      <w:adjustRightInd w:val="0"/>
      <w:spacing w:line="312" w:lineRule="atLeast"/>
      <w:ind w:firstLine="567"/>
      <w:textAlignment w:val="baseline"/>
    </w:pPr>
    <w:rPr>
      <w:rFonts w:ascii="长城仿宋" w:eastAsia="长城仿宋" w:cs="长城仿宋"/>
      <w:sz w:val="28"/>
      <w:szCs w:val="28"/>
    </w:rPr>
  </w:style>
  <w:style w:type="paragraph" w:customStyle="1" w:styleId="144">
    <w:name w:val="菲页1"/>
    <w:basedOn w:val="4"/>
    <w:autoRedefine/>
    <w:qFormat/>
    <w:uiPriority w:val="0"/>
    <w:pPr>
      <w:jc w:val="center"/>
    </w:pPr>
    <w:rPr>
      <w:rFonts w:ascii="黑体" w:hAnsi="宋体"/>
      <w:b w:val="0"/>
      <w:bCs w:val="0"/>
      <w:sz w:val="52"/>
      <w:szCs w:val="20"/>
    </w:rPr>
  </w:style>
  <w:style w:type="paragraph" w:customStyle="1" w:styleId="145">
    <w:name w:val="s10"/>
    <w:basedOn w:val="1"/>
    <w:autoRedefine/>
    <w:qFormat/>
    <w:uiPriority w:val="0"/>
    <w:pPr>
      <w:widowControl/>
      <w:spacing w:before="100" w:beforeAutospacing="1" w:after="100" w:afterAutospacing="1"/>
      <w:jc w:val="left"/>
    </w:pPr>
    <w:rPr>
      <w:rFonts w:hAnsi="宋体" w:cs="宋体"/>
      <w:sz w:val="24"/>
      <w:szCs w:val="24"/>
    </w:rPr>
  </w:style>
  <w:style w:type="paragraph" w:customStyle="1" w:styleId="146">
    <w:name w:val="Char21"/>
    <w:basedOn w:val="13"/>
    <w:next w:val="1"/>
    <w:autoRedefine/>
    <w:qFormat/>
    <w:uiPriority w:val="0"/>
    <w:rPr>
      <w:rFonts w:ascii="Tahoma" w:hAnsi="Tahoma" w:cs="Tahoma"/>
      <w:sz w:val="24"/>
      <w:szCs w:val="24"/>
    </w:rPr>
  </w:style>
  <w:style w:type="paragraph" w:customStyle="1" w:styleId="147">
    <w:name w:val="+正文 Char"/>
    <w:basedOn w:val="1"/>
    <w:autoRedefine/>
    <w:qFormat/>
    <w:uiPriority w:val="0"/>
    <w:pPr>
      <w:spacing w:line="360" w:lineRule="auto"/>
      <w:ind w:firstLine="200" w:firstLineChars="200"/>
    </w:pPr>
    <w:rPr>
      <w:sz w:val="24"/>
      <w:szCs w:val="28"/>
    </w:rPr>
  </w:style>
  <w:style w:type="paragraph" w:customStyle="1" w:styleId="148">
    <w:name w:val="xl2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Ansi="宋体" w:cs="宋体"/>
      <w:sz w:val="24"/>
      <w:szCs w:val="24"/>
    </w:rPr>
  </w:style>
  <w:style w:type="paragraph" w:customStyle="1" w:styleId="149">
    <w:name w:val="+正文"/>
    <w:basedOn w:val="1"/>
    <w:qFormat/>
    <w:uiPriority w:val="0"/>
    <w:pPr>
      <w:spacing w:line="360" w:lineRule="auto"/>
      <w:ind w:firstLine="200" w:firstLineChars="200"/>
    </w:pPr>
    <w:rPr>
      <w:sz w:val="24"/>
      <w:szCs w:val="28"/>
    </w:rPr>
  </w:style>
  <w:style w:type="paragraph" w:customStyle="1" w:styleId="150">
    <w:name w:val="xl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hAnsi="宋体" w:cs="宋体"/>
      <w:sz w:val="24"/>
      <w:szCs w:val="24"/>
    </w:rPr>
  </w:style>
  <w:style w:type="paragraph" w:customStyle="1" w:styleId="151">
    <w:name w:val="Char3"/>
    <w:basedOn w:val="1"/>
    <w:qFormat/>
    <w:uiPriority w:val="0"/>
    <w:rPr>
      <w:rFonts w:ascii="仿宋_GB2312" w:eastAsia="仿宋_GB2312"/>
      <w:b/>
      <w:sz w:val="32"/>
      <w:szCs w:val="32"/>
    </w:rPr>
  </w:style>
  <w:style w:type="paragraph" w:customStyle="1" w:styleId="152">
    <w:name w:val="样式 首行缩进:  0 字符"/>
    <w:basedOn w:val="1"/>
    <w:autoRedefine/>
    <w:qFormat/>
    <w:uiPriority w:val="0"/>
    <w:pPr>
      <w:spacing w:line="360" w:lineRule="auto"/>
      <w:ind w:firstLine="200" w:firstLineChars="200"/>
    </w:pPr>
  </w:style>
  <w:style w:type="paragraph" w:customStyle="1" w:styleId="153">
    <w:name w:val="ldhtext"/>
    <w:basedOn w:val="1"/>
    <w:autoRedefine/>
    <w:qFormat/>
    <w:uiPriority w:val="0"/>
    <w:pPr>
      <w:widowControl/>
      <w:spacing w:before="100" w:beforeAutospacing="1" w:after="100" w:afterAutospacing="1"/>
      <w:jc w:val="left"/>
    </w:pPr>
    <w:rPr>
      <w:rFonts w:ascii="Arial" w:hAnsi="Arial" w:cs="Arial"/>
      <w:sz w:val="18"/>
      <w:szCs w:val="18"/>
    </w:rPr>
  </w:style>
  <w:style w:type="paragraph" w:customStyle="1" w:styleId="154">
    <w:name w:val="xl29"/>
    <w:basedOn w:val="1"/>
    <w:qFormat/>
    <w:uiPriority w:val="0"/>
    <w:pPr>
      <w:widowControl/>
      <w:pBdr>
        <w:left w:val="single" w:color="auto" w:sz="4" w:space="0"/>
        <w:right w:val="single" w:color="auto" w:sz="4" w:space="0"/>
      </w:pBdr>
      <w:spacing w:before="100" w:beforeAutospacing="1" w:after="100" w:afterAutospacing="1"/>
      <w:jc w:val="left"/>
    </w:pPr>
    <w:rPr>
      <w:rFonts w:hAnsi="宋体" w:cs="宋体"/>
      <w:sz w:val="24"/>
      <w:szCs w:val="24"/>
    </w:rPr>
  </w:style>
  <w:style w:type="paragraph" w:customStyle="1" w:styleId="155">
    <w:name w:val="xl27"/>
    <w:basedOn w:val="1"/>
    <w:autoRedefine/>
    <w:qFormat/>
    <w:uiPriority w:val="0"/>
    <w:pPr>
      <w:widowControl/>
      <w:pBdr>
        <w:left w:val="single" w:color="auto" w:sz="4" w:space="0"/>
        <w:right w:val="single" w:color="auto" w:sz="4" w:space="0"/>
      </w:pBdr>
      <w:spacing w:before="100" w:beforeAutospacing="1" w:after="100" w:afterAutospacing="1"/>
      <w:jc w:val="center"/>
    </w:pPr>
    <w:rPr>
      <w:rFonts w:hAnsi="宋体" w:cs="宋体"/>
      <w:sz w:val="24"/>
      <w:szCs w:val="24"/>
    </w:rPr>
  </w:style>
  <w:style w:type="paragraph" w:customStyle="1" w:styleId="156">
    <w:name w:val="首行缩进"/>
    <w:basedOn w:val="1"/>
    <w:autoRedefine/>
    <w:qFormat/>
    <w:uiPriority w:val="0"/>
    <w:pPr>
      <w:spacing w:line="360" w:lineRule="auto"/>
      <w:ind w:firstLine="480" w:firstLineChars="200"/>
    </w:pPr>
    <w:rPr>
      <w:rFonts w:ascii="Calibri" w:hAnsi="Calibri"/>
      <w:sz w:val="24"/>
      <w:lang w:val="zh-CN"/>
    </w:rPr>
  </w:style>
  <w:style w:type="paragraph" w:styleId="157">
    <w:name w:val="List Paragraph"/>
    <w:basedOn w:val="1"/>
    <w:autoRedefine/>
    <w:qFormat/>
    <w:uiPriority w:val="0"/>
    <w:pPr>
      <w:ind w:firstLine="420" w:firstLineChars="200"/>
    </w:pPr>
  </w:style>
  <w:style w:type="paragraph" w:customStyle="1" w:styleId="158">
    <w:name w:val="Revision"/>
    <w:autoRedefine/>
    <w:qFormat/>
    <w:uiPriority w:val="0"/>
    <w:rPr>
      <w:rFonts w:ascii="Times New Roman" w:hAnsi="Times New Roman" w:eastAsia="仿宋_GB2312" w:cs="Times New Roman"/>
      <w:kern w:val="2"/>
      <w:sz w:val="24"/>
      <w:szCs w:val="22"/>
      <w:lang w:val="en-US" w:eastAsia="zh-CN" w:bidi="ar-SA"/>
    </w:rPr>
  </w:style>
  <w:style w:type="paragraph" w:customStyle="1" w:styleId="159">
    <w:name w:val="简单回函地址"/>
    <w:basedOn w:val="1"/>
    <w:qFormat/>
    <w:uiPriority w:val="0"/>
    <w:rPr>
      <w:szCs w:val="24"/>
    </w:rPr>
  </w:style>
  <w:style w:type="paragraph" w:customStyle="1" w:styleId="160">
    <w:name w:val="技术方案正文样式"/>
    <w:basedOn w:val="1"/>
    <w:autoRedefine/>
    <w:qFormat/>
    <w:uiPriority w:val="0"/>
    <w:pPr>
      <w:autoSpaceDE w:val="0"/>
      <w:autoSpaceDN w:val="0"/>
      <w:adjustRightInd w:val="0"/>
      <w:spacing w:line="400" w:lineRule="exact"/>
      <w:ind w:firstLine="480" w:firstLineChars="200"/>
    </w:pPr>
    <w:rPr>
      <w:rFonts w:hAnsi="宋体" w:cs="宋体"/>
      <w:sz w:val="24"/>
    </w:rPr>
  </w:style>
  <w:style w:type="paragraph" w:customStyle="1" w:styleId="161">
    <w:name w:val="zbggmain"/>
    <w:basedOn w:val="1"/>
    <w:autoRedefine/>
    <w:qFormat/>
    <w:uiPriority w:val="0"/>
    <w:pPr>
      <w:widowControl/>
      <w:spacing w:before="100" w:beforeAutospacing="1" w:after="100" w:afterAutospacing="1" w:line="360" w:lineRule="auto"/>
      <w:jc w:val="left"/>
    </w:pPr>
    <w:rPr>
      <w:color w:val="000000"/>
      <w:sz w:val="24"/>
      <w:szCs w:val="24"/>
    </w:rPr>
  </w:style>
  <w:style w:type="paragraph" w:customStyle="1" w:styleId="162">
    <w:name w:val="菲页(卷)"/>
    <w:basedOn w:val="3"/>
    <w:next w:val="138"/>
    <w:autoRedefine/>
    <w:qFormat/>
    <w:uiPriority w:val="0"/>
    <w:pPr>
      <w:keepNext/>
      <w:widowControl/>
      <w:tabs>
        <w:tab w:val="left" w:pos="432"/>
      </w:tabs>
      <w:adjustRightInd/>
      <w:snapToGrid/>
      <w:spacing w:line="240" w:lineRule="auto"/>
      <w:ind w:left="432" w:right="0" w:hanging="432"/>
      <w:jc w:val="center"/>
      <w:textAlignment w:val="auto"/>
      <w:outlineLvl w:val="1"/>
    </w:pPr>
    <w:rPr>
      <w:rFonts w:ascii="黑体" w:hAnsi="Times New Roman" w:eastAsia="黑体"/>
      <w:b w:val="0"/>
      <w:color w:val="auto"/>
      <w:sz w:val="52"/>
      <w14:shadow w14:blurRad="0" w14:dist="0" w14:dir="0" w14:sx="0" w14:sy="0" w14:kx="0" w14:ky="0" w14:algn="none">
        <w14:srgbClr w14:val="000000"/>
      </w14:shadow>
    </w:rPr>
  </w:style>
  <w:style w:type="paragraph" w:customStyle="1" w:styleId="163">
    <w:name w:val="_Style 1"/>
    <w:basedOn w:val="1"/>
    <w:autoRedefine/>
    <w:qFormat/>
    <w:uiPriority w:val="0"/>
    <w:pPr>
      <w:ind w:firstLine="420" w:firstLineChars="200"/>
    </w:pPr>
    <w:rPr>
      <w:rFonts w:ascii="Calibri" w:hAnsi="Calibri"/>
      <w:sz w:val="28"/>
      <w:szCs w:val="22"/>
    </w:rPr>
  </w:style>
  <w:style w:type="paragraph" w:customStyle="1" w:styleId="164">
    <w:name w:val="TOC Heading"/>
    <w:basedOn w:val="3"/>
    <w:next w:val="1"/>
    <w:autoRedefine/>
    <w:qFormat/>
    <w:uiPriority w:val="0"/>
    <w:pPr>
      <w:keepNext/>
      <w:keepLines/>
      <w:widowControl/>
      <w:tabs>
        <w:tab w:val="left" w:pos="432"/>
      </w:tabs>
      <w:adjustRightInd/>
      <w:snapToGrid/>
      <w:spacing w:before="480" w:line="276" w:lineRule="auto"/>
      <w:ind w:right="0" w:firstLine="0"/>
      <w:jc w:val="left"/>
      <w:textAlignment w:val="auto"/>
      <w:outlineLvl w:val="9"/>
    </w:pPr>
    <w:rPr>
      <w:rFonts w:ascii="Cambria" w:hAnsi="Cambria"/>
      <w:bCs/>
      <w:color w:val="376092"/>
      <w:sz w:val="28"/>
      <w:szCs w:val="28"/>
      <w14:shadow w14:blurRad="0" w14:dist="0" w14:dir="0" w14:sx="0" w14:sy="0" w14:kx="0" w14:ky="0" w14:algn="none">
        <w14:srgbClr w14:val="000000"/>
      </w14:shadow>
    </w:rPr>
  </w:style>
  <w:style w:type="paragraph" w:customStyle="1" w:styleId="165">
    <w:name w:val="xl2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cs="宋体"/>
      <w:sz w:val="24"/>
      <w:szCs w:val="24"/>
    </w:rPr>
  </w:style>
  <w:style w:type="paragraph" w:customStyle="1" w:styleId="166">
    <w:name w:val="目录文字"/>
    <w:basedOn w:val="1"/>
    <w:autoRedefine/>
    <w:qFormat/>
    <w:uiPriority w:val="0"/>
    <w:pPr>
      <w:widowControl/>
      <w:spacing w:line="480" w:lineRule="auto"/>
      <w:jc w:val="left"/>
    </w:pPr>
    <w:rPr>
      <w:rFonts w:hAnsi="宋体"/>
      <w:sz w:val="24"/>
    </w:rPr>
  </w:style>
  <w:style w:type="paragraph" w:customStyle="1" w:styleId="167">
    <w:name w:val=".."/>
    <w:basedOn w:val="51"/>
    <w:next w:val="51"/>
    <w:autoRedefine/>
    <w:qFormat/>
    <w:uiPriority w:val="0"/>
    <w:rPr>
      <w:color w:val="auto"/>
    </w:rPr>
  </w:style>
  <w:style w:type="paragraph" w:customStyle="1" w:styleId="16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sz w:val="24"/>
      <w:szCs w:val="24"/>
    </w:rPr>
  </w:style>
  <w:style w:type="paragraph" w:customStyle="1" w:styleId="169">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s="宋体"/>
      <w:sz w:val="24"/>
      <w:szCs w:val="24"/>
    </w:rPr>
  </w:style>
  <w:style w:type="paragraph" w:customStyle="1" w:styleId="170">
    <w:name w:val="目录"/>
    <w:basedOn w:val="1"/>
    <w:autoRedefine/>
    <w:qFormat/>
    <w:uiPriority w:val="0"/>
    <w:pPr>
      <w:widowControl/>
      <w:jc w:val="center"/>
    </w:pPr>
    <w:rPr>
      <w:b/>
      <w:sz w:val="36"/>
    </w:rPr>
  </w:style>
  <w:style w:type="paragraph" w:customStyle="1" w:styleId="171">
    <w:name w:val="规范正文"/>
    <w:basedOn w:val="1"/>
    <w:autoRedefine/>
    <w:qFormat/>
    <w:uiPriority w:val="0"/>
    <w:pPr>
      <w:adjustRightInd w:val="0"/>
      <w:spacing w:line="360" w:lineRule="auto"/>
      <w:ind w:left="480"/>
      <w:textAlignment w:val="baseline"/>
    </w:pPr>
    <w:rPr>
      <w:sz w:val="24"/>
    </w:rPr>
  </w:style>
  <w:style w:type="paragraph" w:customStyle="1" w:styleId="172">
    <w:name w:val="编号，小四"/>
    <w:basedOn w:val="1"/>
    <w:autoRedefine/>
    <w:qFormat/>
    <w:uiPriority w:val="0"/>
    <w:pPr>
      <w:numPr>
        <w:ilvl w:val="0"/>
        <w:numId w:val="8"/>
      </w:numPr>
      <w:spacing w:line="360" w:lineRule="auto"/>
    </w:pPr>
    <w:rPr>
      <w:rFonts w:ascii="Arial" w:hAnsi="Arial"/>
    </w:rPr>
  </w:style>
  <w:style w:type="paragraph" w:customStyle="1" w:styleId="173">
    <w:name w:val="标书标题4"/>
    <w:basedOn w:val="6"/>
    <w:autoRedefine/>
    <w:qFormat/>
    <w:uiPriority w:val="0"/>
    <w:pPr>
      <w:keepLines w:val="0"/>
      <w:tabs>
        <w:tab w:val="clear" w:pos="864"/>
      </w:tabs>
      <w:adjustRightInd w:val="0"/>
      <w:snapToGrid w:val="0"/>
      <w:spacing w:before="120" w:beforeLines="50" w:after="120" w:afterLines="50" w:line="400" w:lineRule="exact"/>
      <w:jc w:val="left"/>
    </w:pPr>
    <w:rPr>
      <w:rFonts w:ascii="宋体" w:hAnsi="宋体" w:eastAsia="宋体"/>
      <w:bCs w:val="0"/>
      <w:kern w:val="0"/>
      <w:sz w:val="24"/>
      <w:szCs w:val="24"/>
    </w:rPr>
  </w:style>
  <w:style w:type="paragraph" w:customStyle="1" w:styleId="174">
    <w:name w:val="样式1"/>
    <w:basedOn w:val="1"/>
    <w:autoRedefine/>
    <w:qFormat/>
    <w:uiPriority w:val="0"/>
    <w:pPr>
      <w:spacing w:before="120" w:after="120" w:line="300" w:lineRule="auto"/>
    </w:pPr>
    <w:rPr>
      <w:rFonts w:hAnsi="宋体"/>
      <w:b/>
      <w:sz w:val="24"/>
    </w:rPr>
  </w:style>
  <w:style w:type="paragraph" w:customStyle="1" w:styleId="175">
    <w:name w:val="Char Char Char Char Char Char Char1 Char"/>
    <w:basedOn w:val="1"/>
    <w:qFormat/>
    <w:uiPriority w:val="0"/>
    <w:rPr>
      <w:rFonts w:ascii="Tahoma" w:hAnsi="Tahoma"/>
      <w:sz w:val="24"/>
    </w:rPr>
  </w:style>
  <w:style w:type="paragraph" w:customStyle="1" w:styleId="176">
    <w:name w:val="Char Char Char"/>
    <w:basedOn w:val="1"/>
    <w:autoRedefine/>
    <w:qFormat/>
    <w:uiPriority w:val="0"/>
    <w:rPr>
      <w:rFonts w:ascii="Tahoma" w:hAnsi="Tahoma"/>
      <w:sz w:val="24"/>
    </w:rPr>
  </w:style>
  <w:style w:type="paragraph" w:customStyle="1" w:styleId="177">
    <w:name w:val="Char Char Char1"/>
    <w:basedOn w:val="1"/>
    <w:autoRedefine/>
    <w:qFormat/>
    <w:uiPriority w:val="0"/>
    <w:rPr>
      <w:rFonts w:ascii="Tahoma" w:hAnsi="Tahoma"/>
      <w:sz w:val="24"/>
    </w:rPr>
  </w:style>
  <w:style w:type="paragraph" w:customStyle="1" w:styleId="178">
    <w:name w:val="Char11"/>
    <w:basedOn w:val="1"/>
    <w:autoRedefine/>
    <w:qFormat/>
    <w:uiPriority w:val="0"/>
    <w:rPr>
      <w:sz w:val="24"/>
      <w:szCs w:val="24"/>
    </w:rPr>
  </w:style>
  <w:style w:type="paragraph" w:customStyle="1" w:styleId="179">
    <w:name w:val="Char Char2"/>
    <w:basedOn w:val="1"/>
    <w:autoRedefine/>
    <w:qFormat/>
    <w:uiPriority w:val="0"/>
    <w:pPr>
      <w:widowControl/>
      <w:spacing w:after="160" w:line="240" w:lineRule="exact"/>
      <w:jc w:val="left"/>
    </w:pPr>
    <w:rPr>
      <w:sz w:val="21"/>
      <w:szCs w:val="24"/>
    </w:rPr>
  </w:style>
  <w:style w:type="paragraph" w:customStyle="1" w:styleId="180">
    <w:name w:val="正文_5"/>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81">
    <w:name w:val="正文_4"/>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82">
    <w:name w:val="cucd-0"/>
    <w:link w:val="183"/>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83">
    <w:name w:val="cucd-0 Char"/>
    <w:link w:val="182"/>
    <w:autoRedefine/>
    <w:qFormat/>
    <w:uiPriority w:val="0"/>
    <w:rPr>
      <w:kern w:val="2"/>
      <w:sz w:val="24"/>
      <w:szCs w:val="24"/>
    </w:rPr>
  </w:style>
  <w:style w:type="paragraph" w:customStyle="1" w:styleId="184">
    <w:name w:val="_Style 182"/>
    <w:basedOn w:val="1"/>
    <w:next w:val="157"/>
    <w:autoRedefine/>
    <w:qFormat/>
    <w:uiPriority w:val="34"/>
    <w:pPr>
      <w:ind w:firstLine="420" w:firstLineChars="200"/>
    </w:pPr>
    <w:rPr>
      <w:rFonts w:ascii="Century" w:hAnsi="Century" w:eastAsia="MS Mincho"/>
      <w:kern w:val="2"/>
      <w:sz w:val="21"/>
      <w:szCs w:val="24"/>
      <w:lang w:eastAsia="ja-JP"/>
    </w:rPr>
  </w:style>
  <w:style w:type="table" w:customStyle="1" w:styleId="185">
    <w:name w:val="Table Normal"/>
    <w:basedOn w:val="42"/>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5021</Words>
  <Characters>5276</Characters>
  <Lines>28</Lines>
  <Paragraphs>8</Paragraphs>
  <TotalTime>36</TotalTime>
  <ScaleCrop>false</ScaleCrop>
  <LinksUpToDate>false</LinksUpToDate>
  <CharactersWithSpaces>5297</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2023-08-22T08:20:00Z</dcterms:created>
  <dc:creator>Administrators</dc:creator>
  <cp:lastModifiedBy>梁金柱</cp:lastModifiedBy>
  <cp:lastPrinted>2023-01-30T15:33:00Z</cp:lastPrinted>
  <dcterms:modified xsi:type="dcterms:W3CDTF">2026-09-09T16:57:51Z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2052-12.1.3.27451</vt:lpwstr>
  </property>
  <property fmtid="{D5CDD505-2E9C-101B-9397-08002B2CF9AE}" pid="3" name="ICV">
    <vt:lpwstr>7DFF53F77CFF444B9D2B0667E49AF461_13</vt:lpwstr>
  </property>
  <property fmtid="{D5CDD505-2E9C-101B-9397-08002B2CF9AE}" pid="4" name="commondata">
    <vt:lpwstr>eyJoZGlkIjoiZjBmODI4YjgzNmE1NzgzYzkxMTZjNTlmNjBlNmZlYzMifQ==</vt:lpwstr>
  </property>
  <property fmtid="{D5CDD505-2E9C-101B-9397-08002B2CF9AE}" pid="5" name="KSOTemplateDocerSaveRecord">
    <vt:lpwstr>eyJoZGlkIjoiNDUwMTFkMDI3ZjBmZjczM2Q3M2EwOGI5M2VjYzUzMDkiLCJ1c2VySWQiOiIxNTk4MjA3NTk5In0=</vt:lpwstr>
  </property>
</Properties>
</file>