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85DDA">
      <w:pPr>
        <w:jc w:val="right"/>
        <w:rPr>
          <w:rFonts w:hint="eastAsia" w:ascii="宋体" w:hAnsi="宋体" w:eastAsia="宋体" w:cs="宋体"/>
          <w:color w:val="auto"/>
          <w:szCs w:val="21"/>
          <w:highlight w:val="none"/>
        </w:rPr>
      </w:pPr>
    </w:p>
    <w:p w14:paraId="67AAF784">
      <w:pPr>
        <w:pStyle w:val="40"/>
        <w:ind w:firstLine="400"/>
        <w:rPr>
          <w:rFonts w:hint="eastAsia" w:ascii="宋体" w:hAnsi="宋体" w:eastAsia="宋体" w:cs="宋体"/>
          <w:color w:val="auto"/>
          <w:highlight w:val="none"/>
        </w:rPr>
      </w:pPr>
    </w:p>
    <w:p w14:paraId="53C198B3">
      <w:pPr>
        <w:rPr>
          <w:rFonts w:hint="eastAsia" w:ascii="宋体" w:hAnsi="宋体" w:eastAsia="宋体" w:cs="宋体"/>
          <w:color w:val="auto"/>
          <w:highlight w:val="none"/>
        </w:rPr>
      </w:pPr>
    </w:p>
    <w:p w14:paraId="38DAD71B">
      <w:pPr>
        <w:rPr>
          <w:rFonts w:hint="eastAsia" w:ascii="宋体" w:hAnsi="宋体" w:eastAsia="宋体" w:cs="宋体"/>
          <w:color w:val="auto"/>
          <w:highlight w:val="none"/>
        </w:rPr>
      </w:pPr>
    </w:p>
    <w:p w14:paraId="147D119B">
      <w:pPr>
        <w:rPr>
          <w:rFonts w:hint="eastAsia" w:ascii="宋体" w:hAnsi="宋体" w:eastAsia="宋体" w:cs="宋体"/>
          <w:color w:val="auto"/>
          <w:highlight w:val="none"/>
        </w:rPr>
      </w:pPr>
    </w:p>
    <w:p w14:paraId="0E1D135E">
      <w:pPr>
        <w:ind w:right="-28"/>
        <w:jc w:val="center"/>
        <w:textAlignment w:val="bottom"/>
        <w:rPr>
          <w:rFonts w:hint="eastAsia" w:ascii="宋体" w:hAnsi="宋体" w:eastAsia="宋体" w:cs="宋体"/>
          <w:bCs/>
          <w:color w:val="auto"/>
          <w:spacing w:val="57"/>
          <w:sz w:val="96"/>
          <w:szCs w:val="96"/>
          <w:highlight w:val="none"/>
        </w:rPr>
      </w:pPr>
      <w:r>
        <w:rPr>
          <w:rFonts w:hint="eastAsia" w:ascii="宋体" w:hAnsi="宋体" w:eastAsia="宋体" w:cs="宋体"/>
          <w:bCs/>
          <w:color w:val="auto"/>
          <w:spacing w:val="57"/>
          <w:sz w:val="96"/>
          <w:szCs w:val="96"/>
          <w:highlight w:val="none"/>
        </w:rPr>
        <w:t>公开采购文件</w:t>
      </w:r>
    </w:p>
    <w:p w14:paraId="4B52E0E8">
      <w:pPr>
        <w:rPr>
          <w:rFonts w:hint="eastAsia" w:ascii="宋体" w:hAnsi="宋体" w:eastAsia="宋体" w:cs="宋体"/>
          <w:color w:val="auto"/>
          <w:highlight w:val="none"/>
        </w:rPr>
      </w:pPr>
    </w:p>
    <w:p w14:paraId="2A618AF3">
      <w:pPr>
        <w:pStyle w:val="10"/>
        <w:rPr>
          <w:rFonts w:hint="eastAsia" w:ascii="宋体" w:hAnsi="宋体" w:eastAsia="宋体" w:cs="宋体"/>
          <w:color w:val="auto"/>
          <w:highlight w:val="none"/>
        </w:rPr>
      </w:pPr>
    </w:p>
    <w:tbl>
      <w:tblPr>
        <w:tblStyle w:val="32"/>
        <w:tblW w:w="0" w:type="auto"/>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61"/>
        <w:gridCol w:w="6355"/>
      </w:tblGrid>
      <w:tr w14:paraId="262F7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2461" w:type="dxa"/>
            <w:noWrap/>
            <w:vAlign w:val="center"/>
          </w:tcPr>
          <w:p w14:paraId="04488FBA">
            <w:pPr>
              <w:spacing w:before="200"/>
              <w:jc w:val="both"/>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项目名称：</w:t>
            </w:r>
          </w:p>
        </w:tc>
        <w:tc>
          <w:tcPr>
            <w:tcW w:w="6355" w:type="dxa"/>
            <w:noWrap/>
            <w:vAlign w:val="center"/>
          </w:tcPr>
          <w:p w14:paraId="2F9B51BA">
            <w:pPr>
              <w:spacing w:before="200"/>
              <w:jc w:val="both"/>
              <w:rPr>
                <w:rFonts w:hint="eastAsia" w:ascii="宋体" w:hAnsi="宋体" w:eastAsia="宋体" w:cs="宋体"/>
                <w:bCs/>
                <w:color w:val="auto"/>
                <w:sz w:val="32"/>
                <w:szCs w:val="24"/>
                <w:highlight w:val="none"/>
                <w:lang w:eastAsia="zh-CN"/>
              </w:rPr>
            </w:pPr>
            <w:r>
              <w:rPr>
                <w:rFonts w:hint="eastAsia" w:ascii="宋体" w:hAnsi="宋体" w:cs="宋体"/>
                <w:bCs/>
                <w:color w:val="auto"/>
                <w:sz w:val="32"/>
                <w:szCs w:val="24"/>
                <w:highlight w:val="none"/>
                <w:u w:val="single"/>
                <w:lang w:eastAsia="zh-CN"/>
              </w:rPr>
              <w:t>东莞市海心沙环保热电厂2027-2028年度锅炉和尾气系统施工清包工程服务采购项目（重新采购）</w:t>
            </w:r>
          </w:p>
        </w:tc>
      </w:tr>
      <w:tr w14:paraId="3FB71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2461" w:type="dxa"/>
            <w:noWrap/>
            <w:vAlign w:val="center"/>
          </w:tcPr>
          <w:p w14:paraId="2A9D5DDF">
            <w:pPr>
              <w:spacing w:before="200"/>
              <w:jc w:val="both"/>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项目采购编号：</w:t>
            </w:r>
          </w:p>
        </w:tc>
        <w:tc>
          <w:tcPr>
            <w:tcW w:w="6355" w:type="dxa"/>
            <w:noWrap/>
            <w:vAlign w:val="center"/>
          </w:tcPr>
          <w:p w14:paraId="3E70F87E">
            <w:pPr>
              <w:spacing w:before="200"/>
              <w:jc w:val="both"/>
              <w:rPr>
                <w:rFonts w:hint="eastAsia" w:ascii="宋体" w:hAnsi="宋体" w:eastAsia="宋体" w:cs="宋体"/>
                <w:bCs/>
                <w:color w:val="auto"/>
                <w:sz w:val="32"/>
                <w:szCs w:val="24"/>
                <w:highlight w:val="none"/>
                <w:lang w:eastAsia="zh-CN"/>
              </w:rPr>
            </w:pPr>
            <w:r>
              <w:rPr>
                <w:rFonts w:hint="eastAsia" w:ascii="宋体" w:hAnsi="宋体" w:eastAsia="宋体" w:cs="宋体"/>
                <w:bCs/>
                <w:color w:val="auto"/>
                <w:sz w:val="32"/>
                <w:szCs w:val="24"/>
                <w:highlight w:val="none"/>
                <w:u w:val="single"/>
                <w:lang w:eastAsia="zh-CN"/>
              </w:rPr>
              <w:t>XDY-GK-2026-003</w:t>
            </w:r>
          </w:p>
        </w:tc>
      </w:tr>
      <w:tr w14:paraId="79814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461" w:type="dxa"/>
            <w:noWrap/>
            <w:vAlign w:val="center"/>
          </w:tcPr>
          <w:p w14:paraId="7EA925A0">
            <w:pPr>
              <w:spacing w:before="200"/>
              <w:jc w:val="both"/>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采购人：</w:t>
            </w:r>
          </w:p>
        </w:tc>
        <w:tc>
          <w:tcPr>
            <w:tcW w:w="6355" w:type="dxa"/>
            <w:noWrap/>
            <w:vAlign w:val="center"/>
          </w:tcPr>
          <w:p w14:paraId="22909152">
            <w:pPr>
              <w:spacing w:before="200"/>
              <w:jc w:val="both"/>
              <w:rPr>
                <w:rFonts w:hint="eastAsia" w:ascii="宋体" w:hAnsi="宋体" w:eastAsia="宋体" w:cs="宋体"/>
                <w:bCs/>
                <w:color w:val="auto"/>
                <w:sz w:val="32"/>
                <w:szCs w:val="24"/>
                <w:highlight w:val="none"/>
                <w:lang w:eastAsia="zh-CN"/>
              </w:rPr>
            </w:pPr>
            <w:r>
              <w:rPr>
                <w:rFonts w:hint="eastAsia" w:ascii="宋体" w:hAnsi="宋体" w:eastAsia="宋体" w:cs="宋体"/>
                <w:bCs/>
                <w:color w:val="auto"/>
                <w:sz w:val="32"/>
                <w:szCs w:val="24"/>
                <w:highlight w:val="none"/>
                <w:u w:val="single"/>
                <w:lang w:eastAsia="zh-CN"/>
              </w:rPr>
              <w:t>东莞市新东元环保投资有限公司</w:t>
            </w:r>
          </w:p>
        </w:tc>
      </w:tr>
      <w:tr w14:paraId="17E58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461" w:type="dxa"/>
            <w:noWrap/>
            <w:vAlign w:val="center"/>
          </w:tcPr>
          <w:p w14:paraId="5B8EE44B">
            <w:pPr>
              <w:spacing w:before="200"/>
              <w:jc w:val="both"/>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采购代理：</w:t>
            </w:r>
          </w:p>
        </w:tc>
        <w:tc>
          <w:tcPr>
            <w:tcW w:w="6355" w:type="dxa"/>
            <w:noWrap/>
            <w:vAlign w:val="center"/>
          </w:tcPr>
          <w:p w14:paraId="6646960A">
            <w:pPr>
              <w:spacing w:before="200"/>
              <w:jc w:val="both"/>
              <w:rPr>
                <w:rFonts w:hint="eastAsia" w:ascii="宋体" w:hAnsi="宋体" w:eastAsia="宋体" w:cs="宋体"/>
                <w:bCs/>
                <w:color w:val="auto"/>
                <w:sz w:val="32"/>
                <w:szCs w:val="24"/>
                <w:highlight w:val="none"/>
                <w:lang w:eastAsia="zh-CN"/>
              </w:rPr>
            </w:pPr>
            <w:r>
              <w:rPr>
                <w:rFonts w:hint="eastAsia" w:ascii="宋体" w:hAnsi="宋体" w:eastAsia="宋体" w:cs="宋体"/>
                <w:bCs/>
                <w:color w:val="auto"/>
                <w:sz w:val="32"/>
                <w:szCs w:val="24"/>
                <w:highlight w:val="none"/>
                <w:u w:val="single"/>
                <w:lang w:eastAsia="zh-CN"/>
              </w:rPr>
              <w:t>广东中科招标有限公司</w:t>
            </w:r>
          </w:p>
        </w:tc>
      </w:tr>
    </w:tbl>
    <w:p w14:paraId="11F1C851">
      <w:pPr>
        <w:jc w:val="center"/>
        <w:rPr>
          <w:rFonts w:hint="eastAsia" w:ascii="宋体" w:hAnsi="宋体" w:eastAsia="宋体" w:cs="宋体"/>
          <w:color w:val="auto"/>
          <w:szCs w:val="21"/>
          <w:highlight w:val="none"/>
        </w:rPr>
      </w:pPr>
    </w:p>
    <w:p w14:paraId="4EFE892D">
      <w:pPr>
        <w:jc w:val="center"/>
        <w:rPr>
          <w:rFonts w:hint="eastAsia" w:ascii="宋体" w:hAnsi="宋体" w:eastAsia="宋体" w:cs="宋体"/>
          <w:color w:val="auto"/>
          <w:szCs w:val="21"/>
          <w:highlight w:val="none"/>
        </w:rPr>
      </w:pPr>
    </w:p>
    <w:p w14:paraId="154743BA">
      <w:pPr>
        <w:jc w:val="center"/>
        <w:rPr>
          <w:rFonts w:hint="eastAsia" w:ascii="宋体" w:hAnsi="宋体" w:eastAsia="宋体" w:cs="宋体"/>
          <w:color w:val="auto"/>
          <w:szCs w:val="21"/>
          <w:highlight w:val="none"/>
        </w:rPr>
      </w:pPr>
    </w:p>
    <w:p w14:paraId="60E509E7">
      <w:pPr>
        <w:pStyle w:val="40"/>
        <w:ind w:firstLine="400"/>
        <w:rPr>
          <w:rFonts w:hint="eastAsia" w:ascii="宋体" w:hAnsi="宋体" w:eastAsia="宋体" w:cs="宋体"/>
          <w:color w:val="auto"/>
          <w:highlight w:val="none"/>
        </w:rPr>
      </w:pPr>
    </w:p>
    <w:p w14:paraId="5915E41E">
      <w:pPr>
        <w:jc w:val="center"/>
        <w:rPr>
          <w:rFonts w:hint="eastAsia" w:ascii="宋体" w:hAnsi="宋体" w:eastAsia="宋体" w:cs="宋体"/>
          <w:color w:val="auto"/>
          <w:szCs w:val="21"/>
          <w:highlight w:val="none"/>
        </w:rPr>
      </w:pPr>
    </w:p>
    <w:p w14:paraId="480CF8DE">
      <w:pPr>
        <w:jc w:val="center"/>
        <w:rPr>
          <w:rFonts w:hint="eastAsia" w:ascii="宋体" w:hAnsi="宋体" w:eastAsia="宋体" w:cs="宋体"/>
          <w:color w:val="auto"/>
          <w:szCs w:val="21"/>
          <w:highlight w:val="none"/>
        </w:rPr>
      </w:pPr>
    </w:p>
    <w:p w14:paraId="1E04EDF0">
      <w:pPr>
        <w:spacing w:before="200"/>
        <w:jc w:val="center"/>
        <w:rPr>
          <w:rFonts w:hint="eastAsia" w:ascii="宋体" w:hAnsi="宋体" w:eastAsia="宋体" w:cs="宋体"/>
          <w:bCs/>
          <w:color w:val="auto"/>
          <w:sz w:val="32"/>
          <w:szCs w:val="24"/>
          <w:highlight w:val="none"/>
        </w:rPr>
      </w:pPr>
      <w:r>
        <w:rPr>
          <w:rFonts w:hint="eastAsia" w:ascii="宋体" w:hAnsi="宋体" w:eastAsia="宋体" w:cs="宋体"/>
          <w:bCs/>
          <w:color w:val="auto"/>
          <w:sz w:val="32"/>
          <w:szCs w:val="24"/>
          <w:highlight w:val="none"/>
        </w:rPr>
        <w:t>2026年</w:t>
      </w:r>
      <w:r>
        <w:rPr>
          <w:rFonts w:hint="eastAsia" w:ascii="宋体" w:hAnsi="宋体" w:cs="宋体"/>
          <w:bCs/>
          <w:color w:val="auto"/>
          <w:sz w:val="32"/>
          <w:szCs w:val="24"/>
          <w:highlight w:val="none"/>
          <w:lang w:val="en-US" w:eastAsia="zh-CN"/>
        </w:rPr>
        <w:t>9</w:t>
      </w:r>
      <w:r>
        <w:rPr>
          <w:rFonts w:hint="eastAsia" w:ascii="宋体" w:hAnsi="宋体" w:eastAsia="宋体" w:cs="宋体"/>
          <w:bCs/>
          <w:color w:val="auto"/>
          <w:sz w:val="32"/>
          <w:szCs w:val="24"/>
          <w:highlight w:val="none"/>
        </w:rPr>
        <w:t>月</w:t>
      </w:r>
    </w:p>
    <w:p w14:paraId="7F5E0993">
      <w:pPr>
        <w:rPr>
          <w:rFonts w:hint="eastAsia" w:ascii="宋体" w:hAnsi="宋体" w:eastAsia="宋体" w:cs="宋体"/>
          <w:color w:val="auto"/>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08" w:footer="708" w:gutter="0"/>
          <w:pgNumType w:start="1"/>
          <w:cols w:space="708" w:num="1"/>
          <w:titlePg/>
          <w:docGrid w:type="lines" w:linePitch="360" w:charSpace="0"/>
        </w:sectPr>
      </w:pPr>
    </w:p>
    <w:p w14:paraId="0ADD49AB">
      <w:pPr>
        <w:pStyle w:val="24"/>
        <w:keepNext w:val="0"/>
        <w:keepLines w:val="0"/>
        <w:pageBreakBefore w:val="0"/>
        <w:widowControl/>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40"/>
          <w:szCs w:val="40"/>
          <w:highlight w:val="none"/>
        </w:rPr>
        <w:t>目录</w:t>
      </w:r>
    </w:p>
    <w:p w14:paraId="4466DA93">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TOC \o "1-4" \h \z \u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_Toc16677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第一部分投标邀请</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_Toc16677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B3F14DC">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_Toc17167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投标邀请书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_Toc17167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DDD5C0F">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_Toc3487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第二部分相关资料表格</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_Toc3487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D52B6DE">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_Toc31286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附表一：投标资料表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_Toc31286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41F258D">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_Toc22540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附表二：商务技术评分及价格权重表（满分100分）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_Toc22540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A9427E6">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_Toc31338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第三部分用户需求书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_Toc31338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F47BD1A">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_Toc11162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第一章 商务需求书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_Toc11162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791FCDB">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_Toc11104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第二章 技术需求书</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_Toc11104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134DB39">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_Toc7552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第四部分投标人须知</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_Toc7552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568DBAF">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_Toc12405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一、 说明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_Toc12405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E9B785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_Toc17031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 适用范围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_Toc17031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A9F91D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_Toc22190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 定义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_Toc22190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07A17A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_Toc31122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 货物和服务</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_Toc31122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71AE141">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_Toc30603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 投标费用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_Toc30603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B1F408B">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_Toc31652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 知识产权</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_Toc31652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13D2D6F">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_Toc8059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 关于联合体投标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_Toc8059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1CE055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_Toc25858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 关于分支机构投标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_Toc25858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96A9B4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_Toc31994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8. 踏勘现场</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_Toc31994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D22F49D">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_Toc18519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二、 采购文件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_Toc18519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06F3D0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_Toc1444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9. 采购文件的组成</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_Toc1444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0EE044F">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_Toc9221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10. 采购文件的澄清或修改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_Toc9221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7157011">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_Toc26807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三、 投标文件的编制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_Toc26807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2D95B8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_Toc4881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11. 投标文件的语言及度量衡单位</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_Toc4881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04C0AF1">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_Toc25313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12. 投标文件的组成</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_Toc25313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DA20715">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_Toc7749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13. 投标文件编制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_Toc7749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49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973B94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_Toc25936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14. 投标报价说明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_Toc25936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F69AB4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_Toc30585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 投标人所提供的服务或货物的证明文件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_Toc30585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852164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_Toc21077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 投标有效期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_Toc21077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5E8C6B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_Toc30762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 投标保证金</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_Toc30762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346A850">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_Toc25633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四、 投标文件的递交</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_Toc25633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28FF7B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_Toc17863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18. 投标文件的装订，签署，密封和标记</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_Toc17863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C795F4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_Toc13923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19. 迟交的投标文件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_Toc13923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8B5C93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_Toc20824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20. 投标样品（如需提交）</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_Toc20824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0C5104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_Toc29131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21. 投标截止期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_Toc29131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B4D7D1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_Toc21869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22. 投标文件的补充、修改与撤回</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_Toc21869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3713F29">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_Toc20676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五、 开标与评标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_Toc20676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99D437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_Toc19577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23. 开标</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_Toc19577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18BE7F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_Toc12002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24. 评标委员会及评标方法</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_Toc12002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EA85E04">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_Toc27389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25. 评审原则及评标过程的保密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_Toc27389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0DE4DD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_Toc8406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26. 评标程序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_Toc8406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C3ED988">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_Toc17468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27. 商务、技术、价格评审（具体评审项目详见投标资料表）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_Toc17468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ED21E3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_Toc16614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28. 纪律和保密事项</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_Toc16614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7FFB47F">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_Toc13639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六、 授予合同</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_Toc13639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DDAD11F">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_Toc31799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29. 合同授予标准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_Toc31799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9813E6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_Toc20893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30. 发布中标结果</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_Toc20893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35D3D11">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_Toc20341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31. 资格后审</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_Toc20341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48E74C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_Toc9665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32. 合同的签订与履行</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_Toc9665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4A4E33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_Toc5523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33. 履约担保</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_Toc5523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59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217AA3B">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_Toc1896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34. 预付款保函（适用于预付款支付）</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_Toc1896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1A84401">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_Toc25022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七、 异议</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_Toc25022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0FAAF2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_Toc10285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35. 异议</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_Toc10285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178DD40">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_Toc26042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八、 其他</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_Toc26042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4B79052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_Toc1784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36. 采购文件的解释权</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_Toc1784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B3D5FA0">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_Toc12345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第五部分  合同条款格式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_Toc12345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62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ABC944B">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_Toc32117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第六部分附件－投标文件格式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_Toc32117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E918D5A">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_Toc10998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投标文件目录</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_Toc10998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148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239817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_Toc21061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附件1.评分标准索引表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_Toc21061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149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DAF5B94">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_Toc16022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价格文件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_Toc16022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B7DDFDB">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_Toc15834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附件2.开标一览表格式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_Toc15834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972D578">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_Toc29339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商务文件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_Toc29339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85E072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_Toc32542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_Toc32542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9770DA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_Toc20979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.法定代表人证明书格式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_Toc20979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12A301B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_Toc17997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.法定代表人授权书格式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_Toc17997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DD26B5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_Toc24799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.资格申明</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_Toc24799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78CBCB5">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_Toc12210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.营业执照</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_Toc12210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198517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_Toc5969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.相关资质证明文件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_Toc5969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9887BA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_Toc5405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.在经营活动中没有重大违法记录的书面声明格式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_Toc5405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159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098038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_Toc10988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.承诺书格式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_Toc10988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E9AF86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_Toc29781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.商务需求条款偏离表格式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_Toc29781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732F0E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_Toc3657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.业绩表</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_Toc3657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C54812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_Toc22995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服务响应承诺函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_Toc22995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C913E47">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_Toc30516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报价全包承诺函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_Toc30516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622AD9F">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_Toc31361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.联合体协议书（如有）</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_Toc31361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9B46772">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_Toc3067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技术文件</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_Toc3067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CB8B41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_Toc15451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技术规格偏离表格式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_Toc15451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168</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81C5AB1">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_Toc6149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.项目实施方案格式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_Toc6149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169</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AE1A6EF">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_Toc11547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.实施本项目的有关人员资料表格式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_Toc11547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170</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38B1B50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_Toc27208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.投标保证金汇入情况说明格式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_Toc27208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171</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5FD799B5">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_Toc8036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.不可撤销履约保函</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_Toc8036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173</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28115B55">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_Toc21597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.预付款保函（适用于预付款支付）</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_Toc21597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174</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0EC6172">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_Toc10744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唱标信封</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_Toc10744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7DBD04D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_Toc14145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附件2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.唱标信封内装（内容务必与投标文件正本一致）</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_Toc14145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176</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62A7C53F">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ind w:left="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end"/>
      </w:r>
    </w:p>
    <w:p w14:paraId="43063A7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4F645383">
      <w:pPr>
        <w:pStyle w:val="2"/>
        <w:spacing w:before="0" w:after="0" w:line="240" w:lineRule="auto"/>
        <w:rPr>
          <w:rFonts w:hint="eastAsia" w:ascii="宋体" w:hAnsi="宋体" w:eastAsia="宋体" w:cs="宋体"/>
          <w:color w:val="auto"/>
          <w:sz w:val="28"/>
          <w:szCs w:val="28"/>
          <w:highlight w:val="none"/>
        </w:rPr>
      </w:pPr>
      <w:bookmarkStart w:id="0" w:name="_Toc16677"/>
      <w:r>
        <w:rPr>
          <w:rFonts w:hint="eastAsia" w:ascii="宋体" w:hAnsi="宋体" w:eastAsia="宋体" w:cs="宋体"/>
          <w:color w:val="auto"/>
          <w:sz w:val="28"/>
          <w:szCs w:val="28"/>
          <w:highlight w:val="none"/>
        </w:rPr>
        <w:t>第一部分投标邀请</w:t>
      </w:r>
      <w:bookmarkEnd w:id="0"/>
    </w:p>
    <w:p w14:paraId="622C0C5A">
      <w:pPr>
        <w:pStyle w:val="4"/>
        <w:spacing w:before="0" w:after="0" w:line="360" w:lineRule="auto"/>
        <w:jc w:val="center"/>
        <w:rPr>
          <w:rFonts w:hint="eastAsia" w:ascii="宋体" w:hAnsi="宋体" w:eastAsia="宋体" w:cs="宋体"/>
          <w:color w:val="auto"/>
          <w:highlight w:val="none"/>
        </w:rPr>
      </w:pPr>
      <w:bookmarkStart w:id="1" w:name="_Toc17167"/>
      <w:r>
        <w:rPr>
          <w:rFonts w:hint="eastAsia" w:ascii="宋体" w:hAnsi="宋体" w:eastAsia="宋体" w:cs="宋体"/>
          <w:color w:val="auto"/>
          <w:highlight w:val="none"/>
        </w:rPr>
        <w:t>投标邀请书</w:t>
      </w:r>
      <w:bookmarkEnd w:id="1"/>
    </w:p>
    <w:p w14:paraId="0234AA77">
      <w:pPr>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u w:val="single"/>
          <w:lang w:eastAsia="zh-CN"/>
        </w:rPr>
        <w:t>广东中科招标有限公司</w:t>
      </w:r>
      <w:r>
        <w:rPr>
          <w:rFonts w:hint="eastAsia" w:ascii="宋体" w:hAnsi="宋体" w:eastAsia="宋体" w:cs="宋体"/>
          <w:color w:val="auto"/>
          <w:szCs w:val="21"/>
          <w:highlight w:val="none"/>
        </w:rPr>
        <w:t>（以下简称“采购代理机构”）受</w:t>
      </w:r>
      <w:r>
        <w:rPr>
          <w:rFonts w:hint="eastAsia" w:ascii="宋体" w:hAnsi="宋体" w:eastAsia="宋体" w:cs="宋体"/>
          <w:b/>
          <w:color w:val="auto"/>
          <w:szCs w:val="21"/>
          <w:highlight w:val="none"/>
          <w:u w:val="single"/>
          <w:lang w:eastAsia="zh-CN"/>
        </w:rPr>
        <w:t>东莞市新东元环保投资有限公司</w:t>
      </w:r>
      <w:r>
        <w:rPr>
          <w:rFonts w:hint="eastAsia" w:ascii="宋体" w:hAnsi="宋体" w:eastAsia="宋体" w:cs="宋体"/>
          <w:color w:val="auto"/>
          <w:szCs w:val="21"/>
          <w:highlight w:val="none"/>
        </w:rPr>
        <w:t>（以下简称“采购人”）委托，现就</w:t>
      </w:r>
      <w:r>
        <w:rPr>
          <w:rFonts w:hint="eastAsia" w:ascii="宋体" w:hAnsi="宋体" w:cs="宋体"/>
          <w:b/>
          <w:color w:val="auto"/>
          <w:szCs w:val="21"/>
          <w:highlight w:val="none"/>
          <w:u w:val="single"/>
          <w:lang w:eastAsia="zh-CN"/>
        </w:rPr>
        <w:t>东莞市海心沙环保热电厂2027-2028年度锅炉和尾气系统施工清包工程服务采购项目（重新采购）</w:t>
      </w:r>
      <w:r>
        <w:rPr>
          <w:rFonts w:hint="eastAsia" w:ascii="宋体" w:hAnsi="宋体" w:eastAsia="宋体" w:cs="宋体"/>
          <w:color w:val="auto"/>
          <w:szCs w:val="21"/>
          <w:highlight w:val="none"/>
        </w:rPr>
        <w:t>（项目编号：</w:t>
      </w:r>
      <w:r>
        <w:rPr>
          <w:rFonts w:hint="eastAsia" w:ascii="宋体" w:hAnsi="宋体" w:eastAsia="宋体" w:cs="宋体"/>
          <w:b/>
          <w:bCs/>
          <w:color w:val="auto"/>
          <w:szCs w:val="21"/>
          <w:highlight w:val="none"/>
          <w:lang w:eastAsia="zh-CN"/>
        </w:rPr>
        <w:t>XDY-GK-2026-003</w:t>
      </w:r>
      <w:r>
        <w:rPr>
          <w:rFonts w:hint="eastAsia" w:ascii="宋体" w:hAnsi="宋体" w:eastAsia="宋体" w:cs="宋体"/>
          <w:color w:val="auto"/>
          <w:szCs w:val="21"/>
          <w:highlight w:val="none"/>
        </w:rPr>
        <w:t>）进行国内公开采购，欢迎符合采购文件要求的国内投标人参加投标。有关事项如下：</w:t>
      </w:r>
    </w:p>
    <w:p w14:paraId="765BFF45">
      <w:pPr>
        <w:ind w:firstLine="413" w:firstLineChars="196"/>
        <w:rPr>
          <w:rFonts w:hint="eastAsia" w:ascii="宋体" w:hAnsi="宋体" w:eastAsia="宋体" w:cs="宋体"/>
          <w:b/>
          <w:color w:val="auto"/>
          <w:szCs w:val="21"/>
          <w:highlight w:val="none"/>
        </w:rPr>
      </w:pPr>
    </w:p>
    <w:p w14:paraId="0031E337">
      <w:pPr>
        <w:ind w:firstLine="413"/>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一、采购项目概况</w:t>
      </w:r>
    </w:p>
    <w:p w14:paraId="37213CF3">
      <w:pPr>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1、采购项目名称：</w:t>
      </w:r>
      <w:r>
        <w:rPr>
          <w:rFonts w:hint="eastAsia" w:ascii="宋体" w:hAnsi="宋体" w:cs="宋体"/>
          <w:b/>
          <w:color w:val="auto"/>
          <w:szCs w:val="21"/>
          <w:highlight w:val="none"/>
          <w:u w:val="single"/>
          <w:lang w:eastAsia="zh-CN"/>
        </w:rPr>
        <w:t>东莞市海心沙环保热电厂2027-2028年度锅炉和尾气系统施工清包工程服务采购项目（重新采购）</w:t>
      </w:r>
    </w:p>
    <w:p w14:paraId="5D4ED0DA">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2、单年度暂定总预算金额（元）：人民币柒佰万元整（¥7,000,000.00）</w:t>
      </w:r>
    </w:p>
    <w:p w14:paraId="230038FC">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w:t>
      </w:r>
      <w:r>
        <w:rPr>
          <w:rFonts w:hint="eastAsia" w:ascii="宋体" w:hAnsi="宋体" w:eastAsia="宋体" w:cs="宋体"/>
          <w:b/>
          <w:bCs/>
          <w:color w:val="auto"/>
          <w:szCs w:val="21"/>
          <w:highlight w:val="none"/>
        </w:rPr>
        <w:t>不接受</w:t>
      </w:r>
      <w:r>
        <w:rPr>
          <w:rFonts w:hint="eastAsia" w:ascii="宋体" w:hAnsi="宋体" w:eastAsia="宋体" w:cs="宋体"/>
          <w:color w:val="auto"/>
          <w:szCs w:val="21"/>
          <w:highlight w:val="none"/>
        </w:rPr>
        <w:t>联合体投标</w:t>
      </w:r>
    </w:p>
    <w:p w14:paraId="2DB846A6">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4、项目内容</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4029"/>
        <w:gridCol w:w="1354"/>
        <w:gridCol w:w="1749"/>
      </w:tblGrid>
      <w:tr w14:paraId="6FC1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700" w:type="pct"/>
            <w:vAlign w:val="center"/>
          </w:tcPr>
          <w:p w14:paraId="3660A43B">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采购包号</w:t>
            </w:r>
          </w:p>
        </w:tc>
        <w:tc>
          <w:tcPr>
            <w:tcW w:w="2428" w:type="pct"/>
            <w:vAlign w:val="center"/>
          </w:tcPr>
          <w:p w14:paraId="78BFF0BB">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项目内容</w:t>
            </w:r>
          </w:p>
        </w:tc>
        <w:tc>
          <w:tcPr>
            <w:tcW w:w="816" w:type="pct"/>
            <w:vAlign w:val="center"/>
          </w:tcPr>
          <w:p w14:paraId="3513F0A9">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采购服务单位数量</w:t>
            </w:r>
          </w:p>
        </w:tc>
        <w:tc>
          <w:tcPr>
            <w:tcW w:w="1054" w:type="pct"/>
            <w:vAlign w:val="center"/>
          </w:tcPr>
          <w:p w14:paraId="0979FD84">
            <w:pPr>
              <w:spacing w:line="240" w:lineRule="auto"/>
              <w:jc w:val="center"/>
              <w:rPr>
                <w:rFonts w:hint="eastAsia" w:ascii="宋体" w:hAnsi="宋体" w:eastAsia="宋体" w:cs="宋体"/>
                <w:color w:val="auto"/>
                <w:kern w:val="28"/>
                <w:szCs w:val="21"/>
                <w:highlight w:val="none"/>
              </w:rPr>
            </w:pPr>
            <w:r>
              <w:rPr>
                <w:rFonts w:hint="eastAsia" w:ascii="宋体" w:hAnsi="宋体" w:eastAsia="宋体" w:cs="宋体"/>
                <w:color w:val="auto"/>
                <w:kern w:val="28"/>
                <w:szCs w:val="21"/>
                <w:highlight w:val="none"/>
              </w:rPr>
              <w:t>服务期</w:t>
            </w:r>
          </w:p>
        </w:tc>
      </w:tr>
      <w:tr w14:paraId="62C9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00" w:type="pct"/>
            <w:vAlign w:val="center"/>
          </w:tcPr>
          <w:p w14:paraId="1839516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A</w:t>
            </w:r>
          </w:p>
        </w:tc>
        <w:tc>
          <w:tcPr>
            <w:tcW w:w="2428" w:type="pct"/>
            <w:vAlign w:val="center"/>
          </w:tcPr>
          <w:p w14:paraId="373EFDCD">
            <w:pPr>
              <w:spacing w:line="24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海心沙资源综合利用中心环保热电厂项目锅炉</w:t>
            </w:r>
            <w:r>
              <w:rPr>
                <w:rFonts w:hint="eastAsia" w:ascii="宋体" w:hAnsi="宋体" w:eastAsia="宋体" w:cs="宋体"/>
                <w:color w:val="auto"/>
                <w:szCs w:val="21"/>
                <w:highlight w:val="none"/>
                <w:u w:val="none"/>
              </w:rPr>
              <w:t>和尾气系统施工</w:t>
            </w:r>
            <w:r>
              <w:rPr>
                <w:rFonts w:hint="eastAsia" w:ascii="宋体" w:hAnsi="宋体" w:eastAsia="宋体" w:cs="宋体"/>
                <w:color w:val="auto"/>
                <w:szCs w:val="21"/>
                <w:highlight w:val="none"/>
                <w:u w:val="none"/>
                <w:lang w:eastAsia="zh-CN"/>
              </w:rPr>
              <w:t>清包工程服务</w:t>
            </w:r>
          </w:p>
        </w:tc>
        <w:tc>
          <w:tcPr>
            <w:tcW w:w="816" w:type="pct"/>
            <w:vAlign w:val="center"/>
          </w:tcPr>
          <w:p w14:paraId="314A07E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p>
        </w:tc>
        <w:tc>
          <w:tcPr>
            <w:tcW w:w="1054" w:type="pct"/>
            <w:vAlign w:val="center"/>
          </w:tcPr>
          <w:p w14:paraId="458B108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服务期两年，服务期从202</w:t>
            </w: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rPr>
              <w:t>年1月7日至202</w:t>
            </w: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rPr>
              <w:t>年1月6日止</w:t>
            </w:r>
          </w:p>
        </w:tc>
      </w:tr>
    </w:tbl>
    <w:p w14:paraId="29E7C727">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5、项目需求</w:t>
      </w:r>
    </w:p>
    <w:p w14:paraId="0BAD4E4F">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详细内容请参阅采购文件第三部分《用户需求书》。</w:t>
      </w:r>
    </w:p>
    <w:p w14:paraId="37B52756">
      <w:pPr>
        <w:ind w:firstLine="413" w:firstLineChars="196"/>
        <w:rPr>
          <w:rFonts w:hint="eastAsia" w:ascii="宋体" w:hAnsi="宋体" w:eastAsia="宋体" w:cs="宋体"/>
          <w:b/>
          <w:color w:val="auto"/>
          <w:szCs w:val="21"/>
          <w:highlight w:val="none"/>
        </w:rPr>
      </w:pPr>
    </w:p>
    <w:p w14:paraId="1F65561F">
      <w:pPr>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二、投标人资格要求</w:t>
      </w:r>
    </w:p>
    <w:p w14:paraId="18A5EE2C">
      <w:pPr>
        <w:ind w:firstLine="411"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1、一般要求：</w:t>
      </w:r>
    </w:p>
    <w:p w14:paraId="51D7E8C4">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p w14:paraId="54C76AE7">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三年内，在经营活动中没有重大违法记录（须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5DB34DDE">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（3）投标人的单位负责人为同一人或者存在直接控股、管理关系的不同投标人，不得参加同一合同项下的采购活动。</w:t>
      </w:r>
    </w:p>
    <w:p w14:paraId="53248717">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（4）未被列入“信用中国”网站(www.creditchina.gov.cn )“记录失信被执行人或</w:t>
      </w:r>
      <w:r>
        <w:rPr>
          <w:rFonts w:hint="eastAsia" w:ascii="宋体" w:hAnsi="宋体" w:eastAsia="宋体" w:cs="宋体"/>
          <w:color w:val="auto"/>
          <w:highlight w:val="none"/>
        </w:rPr>
        <w:t>重大税收违法失信主体</w:t>
      </w:r>
      <w:r>
        <w:rPr>
          <w:rFonts w:hint="eastAsia" w:ascii="宋体" w:hAnsi="宋体" w:eastAsia="宋体" w:cs="宋体"/>
          <w:color w:val="auto"/>
          <w:szCs w:val="21"/>
          <w:highlight w:val="none"/>
        </w:rPr>
        <w:t>或政府采购严重违法失信行为”记录名单。以代理机构于投标截止日当天在“信用中国”网站查询结果为准，如相关失信记录已失效，投标人需提供相关证明资料。</w:t>
      </w:r>
    </w:p>
    <w:p w14:paraId="27580BD0">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（5）未被列入东实</w:t>
      </w:r>
      <w:r>
        <w:rPr>
          <w:rFonts w:hint="eastAsia" w:ascii="宋体" w:hAnsi="宋体" w:cs="宋体"/>
          <w:color w:val="auto"/>
          <w:szCs w:val="21"/>
          <w:highlight w:val="none"/>
          <w:lang w:val="en-US" w:eastAsia="zh-CN"/>
        </w:rPr>
        <w:t>环境</w:t>
      </w:r>
      <w:r>
        <w:rPr>
          <w:rFonts w:hint="eastAsia" w:ascii="宋体" w:hAnsi="宋体" w:eastAsia="宋体" w:cs="宋体"/>
          <w:color w:val="auto"/>
          <w:szCs w:val="21"/>
          <w:highlight w:val="none"/>
        </w:rPr>
        <w:t>及下属企业相关领域黑名单。</w:t>
      </w:r>
    </w:p>
    <w:p w14:paraId="299A7747">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2、其他要求</w:t>
      </w:r>
    </w:p>
    <w:p w14:paraId="6B5E3FF5">
      <w:pPr>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（1）</w:t>
      </w:r>
      <w:r>
        <w:rPr>
          <w:rFonts w:hint="eastAsia" w:ascii="宋体" w:hAnsi="宋体" w:eastAsia="宋体" w:cs="宋体"/>
          <w:color w:val="auto"/>
          <w:highlight w:val="none"/>
        </w:rPr>
        <w:t>投标人须具有有效期内的《建筑业企业资质证书》（电力工程施工总承包三级或以上）或（机电工程施工总承包三级或以上）。</w:t>
      </w:r>
    </w:p>
    <w:p w14:paraId="677E3E87">
      <w:pPr>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eastAsia="宋体" w:cs="宋体"/>
          <w:color w:val="auto"/>
          <w:highlight w:val="none"/>
        </w:rPr>
        <w:t>投标人须具有有效期内的《安全生产许可证》</w:t>
      </w:r>
    </w:p>
    <w:p w14:paraId="1442D15C">
      <w:pPr>
        <w:ind w:firstLine="420" w:firstLineChars="200"/>
        <w:rPr>
          <w:rFonts w:hint="eastAsia" w:ascii="宋体" w:hAnsi="宋体" w:cs="宋体"/>
          <w:color w:val="auto"/>
          <w:highlight w:val="none"/>
          <w:lang w:val="en-US"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3</w:t>
      </w:r>
      <w:r>
        <w:rPr>
          <w:rFonts w:hint="eastAsia" w:ascii="宋体" w:hAnsi="宋体" w:cs="宋体"/>
          <w:color w:val="auto"/>
          <w:highlight w:val="none"/>
          <w:lang w:eastAsia="zh-CN"/>
        </w:rPr>
        <w:t>）</w:t>
      </w:r>
      <w:r>
        <w:rPr>
          <w:rFonts w:hint="eastAsia" w:ascii="宋体" w:hAnsi="宋体" w:eastAsia="宋体" w:cs="宋体"/>
          <w:color w:val="auto"/>
          <w:highlight w:val="none"/>
        </w:rPr>
        <w:t>投标人须具有有效期内的</w:t>
      </w:r>
      <w:r>
        <w:rPr>
          <w:rFonts w:hint="eastAsia" w:ascii="宋体" w:hAnsi="宋体" w:cs="宋体"/>
          <w:color w:val="auto"/>
          <w:highlight w:val="none"/>
          <w:lang w:eastAsia="zh-CN"/>
        </w:rPr>
        <w:t>《特种设备生产许可证》，</w:t>
      </w:r>
      <w:r>
        <w:rPr>
          <w:rFonts w:hint="eastAsia" w:ascii="宋体" w:hAnsi="宋体" w:cs="宋体"/>
          <w:color w:val="auto"/>
          <w:highlight w:val="none"/>
          <w:lang w:val="en-US" w:eastAsia="zh-CN"/>
        </w:rPr>
        <w:t>含锅炉修理、改造A级资质。</w:t>
      </w:r>
    </w:p>
    <w:p w14:paraId="25FC164A">
      <w:pPr>
        <w:ind w:firstLine="420" w:firstLineChars="200"/>
        <w:rPr>
          <w:rFonts w:hint="eastAsia" w:ascii="宋体" w:hAnsi="宋体" w:eastAsia="宋体" w:cs="宋体"/>
          <w:color w:val="auto"/>
          <w:highlight w:val="none"/>
        </w:rPr>
      </w:pPr>
      <w:r>
        <w:rPr>
          <w:rFonts w:hint="eastAsia" w:ascii="宋体" w:hAnsi="宋体" w:cs="宋体"/>
          <w:color w:val="auto"/>
          <w:highlight w:val="none"/>
          <w:lang w:val="en-US" w:eastAsia="zh-CN"/>
        </w:rPr>
        <w:t>（4）</w:t>
      </w:r>
      <w:r>
        <w:rPr>
          <w:rFonts w:hint="eastAsia" w:ascii="宋体" w:hAnsi="宋体" w:eastAsia="宋体" w:cs="宋体"/>
          <w:color w:val="auto"/>
          <w:highlight w:val="none"/>
        </w:rPr>
        <w:t>投标人须具有</w:t>
      </w:r>
      <w:r>
        <w:rPr>
          <w:rFonts w:hint="eastAsia" w:ascii="宋体" w:hAnsi="宋体" w:cs="宋体"/>
          <w:color w:val="auto"/>
          <w:highlight w:val="none"/>
          <w:lang w:val="en-US" w:eastAsia="zh-CN"/>
        </w:rPr>
        <w:t>不少于一个</w:t>
      </w:r>
      <w:r>
        <w:rPr>
          <w:rFonts w:hint="eastAsia" w:ascii="宋体" w:hAnsi="宋体" w:eastAsia="宋体" w:cs="宋体"/>
          <w:color w:val="auto"/>
          <w:highlight w:val="none"/>
        </w:rPr>
        <w:t>自202</w:t>
      </w:r>
      <w:r>
        <w:rPr>
          <w:rFonts w:hint="eastAsia" w:ascii="宋体" w:hAnsi="宋体" w:cs="宋体"/>
          <w:color w:val="auto"/>
          <w:highlight w:val="none"/>
          <w:lang w:val="en-US" w:eastAsia="zh-CN"/>
        </w:rPr>
        <w:t>3</w:t>
      </w:r>
      <w:r>
        <w:rPr>
          <w:rFonts w:hint="eastAsia" w:ascii="宋体" w:hAnsi="宋体" w:eastAsia="宋体" w:cs="宋体"/>
          <w:color w:val="auto"/>
          <w:highlight w:val="none"/>
        </w:rPr>
        <w:t>年1月1日至今的单台焚烧炉处理规模</w:t>
      </w:r>
      <w:r>
        <w:rPr>
          <w:rFonts w:hint="eastAsia" w:ascii="宋体" w:hAnsi="宋体" w:cs="宋体"/>
          <w:color w:val="auto"/>
          <w:highlight w:val="none"/>
          <w:lang w:val="en-US" w:eastAsia="zh-CN"/>
        </w:rPr>
        <w:t>300</w:t>
      </w:r>
      <w:r>
        <w:rPr>
          <w:rFonts w:hint="eastAsia" w:ascii="宋体" w:hAnsi="宋体" w:eastAsia="宋体" w:cs="宋体"/>
          <w:color w:val="auto"/>
          <w:highlight w:val="none"/>
        </w:rPr>
        <w:t>吨/日及以上垃圾焚烧发电厂大修（即《CJJ 231 - 2015生活垃圾焚烧厂检修规程》B级或以上维修服务）业绩</w:t>
      </w:r>
      <w:r>
        <w:rPr>
          <w:rFonts w:hint="eastAsia" w:ascii="宋体" w:hAnsi="宋体" w:cs="宋体"/>
          <w:color w:val="auto"/>
          <w:highlight w:val="none"/>
          <w:lang w:val="en-US" w:eastAsia="zh-CN"/>
        </w:rPr>
        <w:t>(以合同签订时间为准，须提供合同关键页及任一期发票复印件；合同未体现上述业绩要求的，投标人须提供能体现相关信息的经业主</w:t>
      </w:r>
      <w:r>
        <w:rPr>
          <w:rFonts w:hint="eastAsia" w:ascii="宋体" w:hAnsi="宋体" w:cs="宋体"/>
          <w:color w:val="auto"/>
          <w:highlight w:val="none"/>
          <w:lang w:val="en-US" w:eastAsia="zh-CN"/>
        </w:rPr>
        <w:t>盖公章</w:t>
      </w:r>
      <w:r>
        <w:rPr>
          <w:rFonts w:hint="eastAsia" w:ascii="宋体" w:hAnsi="宋体" w:cs="宋体"/>
          <w:color w:val="auto"/>
          <w:highlight w:val="none"/>
          <w:lang w:val="en-US" w:eastAsia="zh-CN"/>
        </w:rPr>
        <w:t>的证明或验收资料等有效佐证资料)</w:t>
      </w:r>
      <w:r>
        <w:rPr>
          <w:rFonts w:hint="eastAsia" w:ascii="宋体" w:hAnsi="宋体" w:eastAsia="宋体" w:cs="宋体"/>
          <w:color w:val="auto"/>
          <w:highlight w:val="none"/>
        </w:rPr>
        <w:t>。</w:t>
      </w:r>
    </w:p>
    <w:p w14:paraId="7CED111F">
      <w:pPr>
        <w:pStyle w:val="10"/>
        <w:rPr>
          <w:rFonts w:hint="eastAsia" w:ascii="宋体" w:hAnsi="宋体" w:eastAsia="宋体" w:cs="宋体"/>
          <w:color w:val="auto"/>
          <w:highlight w:val="none"/>
        </w:rPr>
      </w:pPr>
    </w:p>
    <w:p w14:paraId="08516464">
      <w:pPr>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三、获取采购文件方式及要求：</w:t>
      </w:r>
    </w:p>
    <w:p w14:paraId="3FDD2AD8">
      <w:pPr>
        <w:wordWrap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本项目不进行实名登记报名，拟参加投标的投标人可于投标截止时间前自行网上下载采购文件。采购文件下载地址：</w:t>
      </w:r>
      <w:r>
        <w:rPr>
          <w:rFonts w:hint="eastAsia" w:ascii="宋体" w:hAnsi="宋体" w:eastAsia="宋体" w:cs="宋体"/>
          <w:color w:val="auto"/>
          <w:szCs w:val="21"/>
          <w:highlight w:val="none"/>
          <w:u w:val="single"/>
        </w:rPr>
        <w:t>中国招标投标公共服务平台（http://www.cebpubservice.com/）、广东省公共资源交易平台（https://ygp.gdzwfw.gov.cn/#/44/index）、东莞实业投资控股集团有限公司-招标采购栏目（http://www.dgsy.com.cn/）、广东东实环境股份有限公司官网（</w:t>
      </w:r>
      <w:r>
        <w:rPr>
          <w:rFonts w:hint="eastAsia" w:ascii="宋体" w:hAnsi="宋体" w:cs="宋体"/>
          <w:color w:val="auto"/>
          <w:szCs w:val="21"/>
          <w:highlight w:val="none"/>
          <w:u w:val="single"/>
          <w:lang w:eastAsia="zh-CN"/>
        </w:rPr>
        <w:t>http://www.dsenvironment.cn</w:t>
      </w:r>
      <w:r>
        <w:rPr>
          <w:rFonts w:hint="eastAsia" w:ascii="宋体" w:hAnsi="宋体" w:eastAsia="宋体" w:cs="宋体"/>
          <w:color w:val="auto"/>
          <w:szCs w:val="21"/>
          <w:highlight w:val="none"/>
          <w:u w:val="single"/>
        </w:rPr>
        <w:t>）及广东中科招标有限公司网（http://www.zkzbgd.com/）</w:t>
      </w:r>
      <w:r>
        <w:rPr>
          <w:rFonts w:hint="eastAsia" w:ascii="宋体" w:hAnsi="宋体" w:eastAsia="宋体" w:cs="宋体"/>
          <w:color w:val="auto"/>
          <w:szCs w:val="21"/>
          <w:highlight w:val="none"/>
        </w:rPr>
        <w:t>。</w:t>
      </w:r>
    </w:p>
    <w:p w14:paraId="268EF89C">
      <w:pPr>
        <w:rPr>
          <w:rFonts w:hint="eastAsia" w:ascii="宋体" w:hAnsi="宋体" w:eastAsia="宋体" w:cs="宋体"/>
          <w:color w:val="auto"/>
          <w:highlight w:val="none"/>
        </w:rPr>
      </w:pPr>
    </w:p>
    <w:p w14:paraId="69D8F9B1">
      <w:pPr>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四、投标文件的递交</w:t>
      </w:r>
    </w:p>
    <w:p w14:paraId="65FD3723">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1、递交投标文件时间：20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15</w:t>
      </w:r>
      <w:r>
        <w:rPr>
          <w:rFonts w:hint="eastAsia" w:ascii="宋体" w:hAnsi="宋体" w:eastAsia="宋体" w:cs="宋体"/>
          <w:color w:val="auto"/>
          <w:szCs w:val="21"/>
          <w:highlight w:val="none"/>
        </w:rPr>
        <w:t>日（北京时间）14:00-14:30。</w:t>
      </w:r>
    </w:p>
    <w:p w14:paraId="7219B2E7">
      <w:pPr>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2、递交投标文件截止及开标时间：20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15</w:t>
      </w:r>
      <w:r>
        <w:rPr>
          <w:rFonts w:hint="eastAsia" w:ascii="宋体" w:hAnsi="宋体" w:eastAsia="宋体" w:cs="宋体"/>
          <w:color w:val="auto"/>
          <w:szCs w:val="21"/>
          <w:highlight w:val="none"/>
        </w:rPr>
        <w:t>日14:30（北京时间），所有投标文件应于截止时间之前递交，迟交或以电报、传真形式的投标文件将拒绝接收。</w:t>
      </w:r>
    </w:p>
    <w:p w14:paraId="2803A9C1">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3、开标地点：东莞市南城街道体育路南城段26号盈锋中心2栋708室（西区708室）</w:t>
      </w:r>
    </w:p>
    <w:p w14:paraId="36171418">
      <w:pPr>
        <w:ind w:firstLine="411" w:firstLineChars="196"/>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4、开标事宜：</w:t>
      </w:r>
      <w:r>
        <w:rPr>
          <w:rFonts w:hint="eastAsia" w:ascii="宋体" w:hAnsi="宋体" w:eastAsia="宋体" w:cs="宋体"/>
          <w:b/>
          <w:bCs/>
          <w:color w:val="auto"/>
          <w:szCs w:val="21"/>
          <w:highlight w:val="none"/>
        </w:rPr>
        <w:t>届时请投标人的法定代表人或其授权代表务必携带有效身份证明出席开标会</w:t>
      </w:r>
      <w:r>
        <w:rPr>
          <w:rFonts w:hint="eastAsia" w:ascii="宋体" w:hAnsi="宋体" w:eastAsia="宋体" w:cs="宋体"/>
          <w:bCs/>
          <w:color w:val="auto"/>
          <w:szCs w:val="21"/>
          <w:highlight w:val="none"/>
        </w:rPr>
        <w:t>。</w:t>
      </w:r>
    </w:p>
    <w:p w14:paraId="67BA4C55">
      <w:pPr>
        <w:pStyle w:val="4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5、出现以下情形时，采购代理机构不予接收投标（响应）文件：</w:t>
      </w:r>
    </w:p>
    <w:p w14:paraId="29EBA0FE">
      <w:pPr>
        <w:pStyle w:val="4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（1）逾期送达或者未送达指定地点的；</w:t>
      </w:r>
    </w:p>
    <w:p w14:paraId="720219E9">
      <w:pPr>
        <w:pStyle w:val="4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（2）未按采购文件要求密封的。</w:t>
      </w:r>
    </w:p>
    <w:p w14:paraId="70E9116A">
      <w:pPr>
        <w:pStyle w:val="40"/>
        <w:ind w:firstLine="400"/>
        <w:rPr>
          <w:rFonts w:hint="eastAsia" w:ascii="宋体" w:hAnsi="宋体" w:eastAsia="宋体" w:cs="宋体"/>
          <w:color w:val="auto"/>
          <w:highlight w:val="none"/>
        </w:rPr>
      </w:pPr>
    </w:p>
    <w:p w14:paraId="33AB69D7">
      <w:pPr>
        <w:pStyle w:val="40"/>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五、发布公告的媒介</w:t>
      </w:r>
    </w:p>
    <w:p w14:paraId="7F60E926">
      <w:pPr>
        <w:pStyle w:val="4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1、采购公告发布媒介：</w:t>
      </w:r>
    </w:p>
    <w:p w14:paraId="18841686">
      <w:pPr>
        <w:pStyle w:val="4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中国招标投标公共服务平台(http://www.cebpubservice.com)、广东省公共资源交易平台（https://ygp.gdzwfw.gov.cn/#/44/index）、东莞实业投资控股集团网站（http://dgsy.com.cn/www/index.jsp）、广东东实环境股份有限公司官网（</w:t>
      </w:r>
      <w:r>
        <w:rPr>
          <w:rFonts w:hint="eastAsia" w:ascii="宋体" w:hAnsi="宋体" w:eastAsia="宋体" w:cs="宋体"/>
          <w:color w:val="auto"/>
          <w:sz w:val="21"/>
          <w:szCs w:val="21"/>
          <w:highlight w:val="none"/>
          <w:lang w:eastAsia="zh-CN"/>
        </w:rPr>
        <w:t>http://www.dsenvironment.cn</w:t>
      </w:r>
      <w:r>
        <w:rPr>
          <w:rFonts w:hint="eastAsia" w:ascii="宋体" w:hAnsi="宋体" w:eastAsia="宋体" w:cs="宋体"/>
          <w:color w:val="auto"/>
          <w:sz w:val="21"/>
          <w:szCs w:val="21"/>
          <w:highlight w:val="none"/>
        </w:rPr>
        <w:t>）及广东中科招标有限公司网（http://www.zkzbgd.com/）发布。</w:t>
      </w:r>
    </w:p>
    <w:p w14:paraId="6DDE04D7">
      <w:pPr>
        <w:pStyle w:val="40"/>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2、结果公告发布媒介：</w:t>
      </w:r>
    </w:p>
    <w:p w14:paraId="66B5B500">
      <w:pPr>
        <w:pStyle w:val="4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东莞实业投资控股集团有限公司-招标采购栏目（http://www.dgsy.com.cn/）。</w:t>
      </w:r>
    </w:p>
    <w:p w14:paraId="32A6E81B">
      <w:pPr>
        <w:pStyle w:val="40"/>
        <w:spacing w:line="360" w:lineRule="auto"/>
        <w:rPr>
          <w:rFonts w:hint="eastAsia" w:ascii="宋体" w:hAnsi="宋体" w:eastAsia="宋体" w:cs="宋体"/>
          <w:color w:val="auto"/>
          <w:sz w:val="21"/>
          <w:szCs w:val="21"/>
          <w:highlight w:val="none"/>
        </w:rPr>
      </w:pPr>
    </w:p>
    <w:p w14:paraId="4AF9945C">
      <w:pPr>
        <w:ind w:firstLine="413" w:firstLineChars="196"/>
        <w:rPr>
          <w:rFonts w:hint="eastAsia" w:ascii="宋体" w:hAnsi="宋体" w:eastAsia="宋体" w:cs="宋体"/>
          <w:bCs/>
          <w:color w:val="auto"/>
          <w:szCs w:val="21"/>
          <w:highlight w:val="none"/>
        </w:rPr>
      </w:pPr>
      <w:r>
        <w:rPr>
          <w:rFonts w:hint="eastAsia" w:ascii="宋体" w:hAnsi="宋体" w:eastAsia="宋体" w:cs="宋体"/>
          <w:b/>
          <w:color w:val="auto"/>
          <w:szCs w:val="21"/>
          <w:highlight w:val="none"/>
        </w:rPr>
        <w:t>六、采购人及采购代理机构的名称、地址和联系方法：</w:t>
      </w:r>
    </w:p>
    <w:p w14:paraId="1098E29A">
      <w:p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采购人名称：东莞市新东元环保投资有限公司</w:t>
      </w:r>
    </w:p>
    <w:p w14:paraId="2D57ACFD">
      <w:p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采购人联系人：徐工、罗工</w:t>
      </w:r>
    </w:p>
    <w:p w14:paraId="5853A973">
      <w:p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采购人地址：东莞市麻涌镇大步村海心沙岛</w:t>
      </w:r>
    </w:p>
    <w:p w14:paraId="00093A2F">
      <w:p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采购人联系电话：0769-81219261-6010/0769-39028727</w:t>
      </w:r>
    </w:p>
    <w:p w14:paraId="1E3B43CB">
      <w:pPr>
        <w:ind w:firstLine="420" w:firstLineChars="200"/>
        <w:rPr>
          <w:rFonts w:hint="eastAsia" w:ascii="宋体" w:hAnsi="宋体" w:eastAsia="宋体" w:cs="宋体"/>
          <w:color w:val="auto"/>
          <w:sz w:val="21"/>
          <w:szCs w:val="21"/>
          <w:highlight w:val="none"/>
          <w:lang w:val="en-US" w:eastAsia="zh-CN" w:bidi="ar-SA"/>
        </w:rPr>
      </w:pPr>
    </w:p>
    <w:p w14:paraId="0B976E12">
      <w:p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采购代理机构名称：广东中科招标有限公司</w:t>
      </w:r>
    </w:p>
    <w:p w14:paraId="12F79DD1">
      <w:p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采购代理机构地址：东莞市南城街道体育路南城段26号盈锋中心2栋708室（西区708室）</w:t>
      </w:r>
    </w:p>
    <w:p w14:paraId="67576123">
      <w:p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采购代理机构联系人：胡先生</w:t>
      </w:r>
    </w:p>
    <w:p w14:paraId="0F650AC7">
      <w:pPr>
        <w:ind w:firstLine="420" w:firstLineChars="20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采购代理机构联系电话：0769-22224212</w:t>
      </w:r>
    </w:p>
    <w:p w14:paraId="04FB392C">
      <w:pPr>
        <w:ind w:firstLine="420" w:firstLineChars="200"/>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bidi="ar-SA"/>
        </w:rPr>
        <w:t>采购代理机构邮箱：zkzb@foxmail.com</w:t>
      </w:r>
    </w:p>
    <w:p w14:paraId="212B06C3">
      <w:pPr>
        <w:ind w:firstLine="420" w:firstLineChars="200"/>
        <w:rPr>
          <w:rFonts w:hint="eastAsia" w:ascii="宋体" w:hAnsi="宋体" w:eastAsia="宋体" w:cs="宋体"/>
          <w:color w:val="auto"/>
          <w:highlight w:val="none"/>
        </w:rPr>
      </w:pPr>
    </w:p>
    <w:p w14:paraId="4F12D7B4">
      <w:pPr>
        <w:ind w:right="752" w:rightChars="358"/>
        <w:jc w:val="right"/>
        <w:rPr>
          <w:rFonts w:hint="eastAsia" w:ascii="宋体" w:hAnsi="宋体" w:eastAsia="宋体" w:cs="宋体"/>
          <w:color w:val="auto"/>
          <w:highlight w:val="none"/>
        </w:rPr>
      </w:pPr>
    </w:p>
    <w:p w14:paraId="6583F191">
      <w:pPr>
        <w:ind w:right="752" w:rightChars="358"/>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广东中科招标有限公司</w:t>
      </w:r>
    </w:p>
    <w:p w14:paraId="454F5911">
      <w:pPr>
        <w:wordWrap w:val="0"/>
        <w:ind w:right="752" w:rightChars="358"/>
        <w:jc w:val="righ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eastAsia="宋体" w:cs="宋体"/>
          <w:color w:val="auto"/>
          <w:szCs w:val="21"/>
          <w:highlight w:val="none"/>
          <w:lang w:val="en-US" w:eastAsia="zh-CN"/>
        </w:rPr>
        <w:t>日</w:t>
      </w:r>
    </w:p>
    <w:p w14:paraId="5B615565">
      <w:pPr>
        <w:ind w:left="6205" w:leftChars="2755" w:hanging="420" w:hangingChars="200"/>
        <w:rPr>
          <w:rFonts w:hint="eastAsia" w:ascii="宋体" w:hAnsi="宋体" w:eastAsia="宋体" w:cs="宋体"/>
          <w:color w:val="auto"/>
          <w:highlight w:val="none"/>
        </w:rPr>
      </w:pPr>
      <w:bookmarkStart w:id="355" w:name="_GoBack"/>
      <w:bookmarkEnd w:id="355"/>
      <w:r>
        <w:rPr>
          <w:rFonts w:hint="eastAsia" w:ascii="宋体" w:hAnsi="宋体" w:eastAsia="宋体" w:cs="宋体"/>
          <w:color w:val="auto"/>
          <w:szCs w:val="21"/>
          <w:highlight w:val="none"/>
        </w:rPr>
        <w:br w:type="page"/>
      </w:r>
    </w:p>
    <w:p w14:paraId="339CA9FC">
      <w:pPr>
        <w:pStyle w:val="2"/>
        <w:spacing w:before="0" w:after="0" w:line="240" w:lineRule="auto"/>
        <w:rPr>
          <w:rFonts w:hint="eastAsia" w:ascii="宋体" w:hAnsi="宋体" w:eastAsia="宋体" w:cs="宋体"/>
          <w:color w:val="auto"/>
          <w:sz w:val="28"/>
          <w:szCs w:val="28"/>
          <w:highlight w:val="none"/>
        </w:rPr>
      </w:pPr>
      <w:bookmarkStart w:id="2" w:name="_Toc3487"/>
      <w:r>
        <w:rPr>
          <w:rFonts w:hint="eastAsia" w:ascii="宋体" w:hAnsi="宋体" w:eastAsia="宋体" w:cs="宋体"/>
          <w:color w:val="auto"/>
          <w:sz w:val="28"/>
          <w:szCs w:val="28"/>
          <w:highlight w:val="none"/>
        </w:rPr>
        <w:t>第二部分相关资料表格</w:t>
      </w:r>
      <w:bookmarkEnd w:id="2"/>
    </w:p>
    <w:p w14:paraId="239A18E4">
      <w:pPr>
        <w:pStyle w:val="4"/>
        <w:spacing w:before="0" w:after="0" w:line="240" w:lineRule="auto"/>
        <w:jc w:val="center"/>
        <w:rPr>
          <w:rFonts w:hint="eastAsia" w:ascii="宋体" w:hAnsi="宋体" w:eastAsia="宋体" w:cs="宋体"/>
          <w:color w:val="auto"/>
          <w:sz w:val="24"/>
          <w:szCs w:val="24"/>
          <w:highlight w:val="none"/>
        </w:rPr>
      </w:pPr>
      <w:bookmarkStart w:id="3" w:name="_Toc31286"/>
      <w:r>
        <w:rPr>
          <w:rFonts w:hint="eastAsia" w:ascii="宋体" w:hAnsi="宋体" w:eastAsia="宋体" w:cs="宋体"/>
          <w:color w:val="auto"/>
          <w:sz w:val="24"/>
          <w:szCs w:val="24"/>
          <w:highlight w:val="none"/>
        </w:rPr>
        <w:t>附表一：投标资料表</w:t>
      </w:r>
      <w:bookmarkEnd w:id="3"/>
    </w:p>
    <w:tbl>
      <w:tblPr>
        <w:tblStyle w:val="31"/>
        <w:tblW w:w="8410" w:type="dxa"/>
        <w:tblInd w:w="-2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78"/>
        <w:gridCol w:w="2608"/>
        <w:gridCol w:w="4924"/>
      </w:tblGrid>
      <w:tr w14:paraId="4798C2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878" w:type="dxa"/>
            <w:tcBorders>
              <w:tl2br w:val="nil"/>
              <w:tr2bl w:val="nil"/>
            </w:tcBorders>
            <w:vAlign w:val="center"/>
          </w:tcPr>
          <w:p w14:paraId="28B7499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7532" w:type="dxa"/>
            <w:gridSpan w:val="2"/>
            <w:tcBorders>
              <w:tl2br w:val="nil"/>
              <w:tr2bl w:val="nil"/>
            </w:tcBorders>
            <w:vAlign w:val="center"/>
          </w:tcPr>
          <w:p w14:paraId="146433F8">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内容</w:t>
            </w:r>
          </w:p>
        </w:tc>
      </w:tr>
      <w:tr w14:paraId="4DA51B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551" w:hRule="atLeast"/>
        </w:trPr>
        <w:tc>
          <w:tcPr>
            <w:tcW w:w="8410" w:type="dxa"/>
            <w:gridSpan w:val="3"/>
            <w:tcBorders>
              <w:tl2br w:val="nil"/>
              <w:tr2bl w:val="nil"/>
            </w:tcBorders>
            <w:vAlign w:val="center"/>
          </w:tcPr>
          <w:p w14:paraId="2BB04E64">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一、说明</w:t>
            </w:r>
          </w:p>
        </w:tc>
      </w:tr>
      <w:tr w14:paraId="4A8D97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6A7F00C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7532" w:type="dxa"/>
            <w:gridSpan w:val="2"/>
            <w:tcBorders>
              <w:tl2br w:val="nil"/>
              <w:tr2bl w:val="nil"/>
            </w:tcBorders>
            <w:vAlign w:val="center"/>
          </w:tcPr>
          <w:p w14:paraId="4EC3FD1E">
            <w:pP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本</w:t>
            </w:r>
            <w:r>
              <w:rPr>
                <w:rFonts w:hint="eastAsia" w:ascii="宋体" w:hAnsi="宋体" w:eastAsia="宋体" w:cs="宋体"/>
                <w:b/>
                <w:bCs/>
                <w:color w:val="auto"/>
                <w:szCs w:val="21"/>
                <w:highlight w:val="none"/>
              </w:rPr>
              <w:t>项目</w:t>
            </w:r>
            <w:r>
              <w:rPr>
                <w:rFonts w:hint="eastAsia" w:ascii="宋体" w:hAnsi="宋体" w:eastAsia="宋体" w:cs="宋体"/>
                <w:b/>
                <w:bCs/>
                <w:color w:val="auto"/>
                <w:szCs w:val="21"/>
                <w:highlight w:val="none"/>
                <w:lang w:val="en-US" w:eastAsia="zh-CN"/>
              </w:rPr>
              <w:t>下浮率报价</w:t>
            </w:r>
          </w:p>
        </w:tc>
      </w:tr>
      <w:tr w14:paraId="6C2090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517023E1">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726AE2C8">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报价区间：0%≤下浮率≤100%</w:t>
            </w:r>
          </w:p>
        </w:tc>
      </w:tr>
      <w:tr w14:paraId="640A93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063A625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7532" w:type="dxa"/>
            <w:gridSpan w:val="2"/>
            <w:tcBorders>
              <w:tl2br w:val="nil"/>
              <w:tr2bl w:val="nil"/>
            </w:tcBorders>
            <w:vAlign w:val="center"/>
          </w:tcPr>
          <w:p w14:paraId="52627DB0">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发包方式</w:t>
            </w:r>
          </w:p>
        </w:tc>
      </w:tr>
      <w:tr w14:paraId="3316B9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5F14DFCB">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4D98144F">
            <w:pP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b/>
                <w:bCs/>
                <w:color w:val="auto"/>
                <w:szCs w:val="21"/>
                <w:highlight w:val="none"/>
              </w:rPr>
              <w:t>固定总价包干；</w:t>
            </w:r>
          </w:p>
          <w:p w14:paraId="4B0BFF5C">
            <w:pP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sym w:font="Wingdings 2" w:char="0052"/>
            </w:r>
            <w:r>
              <w:rPr>
                <w:rFonts w:hint="eastAsia" w:ascii="宋体" w:hAnsi="宋体" w:eastAsia="宋体" w:cs="宋体"/>
                <w:b/>
                <w:bCs/>
                <w:color w:val="auto"/>
                <w:szCs w:val="21"/>
                <w:highlight w:val="none"/>
              </w:rPr>
              <w:t>固定单价暂定总价包干；</w:t>
            </w:r>
          </w:p>
          <w:p w14:paraId="02C4B6C8">
            <w:pPr>
              <w:rPr>
                <w:rFonts w:hint="eastAsia" w:ascii="宋体" w:hAnsi="宋体" w:eastAsia="宋体" w:cs="宋体"/>
                <w:b/>
                <w:bCs/>
                <w:color w:val="auto"/>
                <w:szCs w:val="21"/>
                <w:highlight w:val="none"/>
                <w:u w:val="single"/>
              </w:rPr>
            </w:pPr>
            <w:r>
              <w:rPr>
                <w:rFonts w:hint="eastAsia" w:ascii="宋体" w:hAnsi="宋体" w:eastAsia="宋体" w:cs="宋体"/>
                <w:color w:val="auto"/>
                <w:szCs w:val="21"/>
                <w:highlight w:val="none"/>
              </w:rPr>
              <w:sym w:font="Wingdings 2" w:char="00A3"/>
            </w:r>
            <w:r>
              <w:rPr>
                <w:rFonts w:hint="eastAsia" w:ascii="宋体" w:hAnsi="宋体" w:eastAsia="宋体" w:cs="宋体"/>
                <w:b/>
                <w:bCs/>
                <w:color w:val="auto"/>
                <w:szCs w:val="21"/>
                <w:highlight w:val="none"/>
              </w:rPr>
              <w:t>费率</w:t>
            </w:r>
            <w:r>
              <w:rPr>
                <w:rFonts w:hint="eastAsia" w:ascii="宋体" w:hAnsi="宋体" w:eastAsia="宋体" w:cs="宋体"/>
                <w:b/>
                <w:bCs/>
                <w:color w:val="auto"/>
                <w:szCs w:val="21"/>
                <w:highlight w:val="none"/>
                <w:u w:val="single"/>
              </w:rPr>
              <w:t xml:space="preserve">         ；</w:t>
            </w:r>
          </w:p>
          <w:p w14:paraId="20B034E9">
            <w:pP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b/>
                <w:bCs/>
                <w:color w:val="auto"/>
                <w:szCs w:val="21"/>
                <w:highlight w:val="none"/>
              </w:rPr>
              <w:t>其他</w:t>
            </w:r>
            <w:r>
              <w:rPr>
                <w:rFonts w:hint="eastAsia" w:ascii="宋体" w:hAnsi="宋体" w:eastAsia="宋体" w:cs="宋体"/>
                <w:b/>
                <w:bCs/>
                <w:color w:val="auto"/>
                <w:szCs w:val="21"/>
                <w:highlight w:val="none"/>
                <w:u w:val="single"/>
              </w:rPr>
              <w:t xml:space="preserve">           </w:t>
            </w:r>
            <w:r>
              <w:rPr>
                <w:rFonts w:hint="eastAsia" w:ascii="宋体" w:hAnsi="宋体" w:eastAsia="宋体" w:cs="宋体"/>
                <w:b/>
                <w:bCs/>
                <w:color w:val="auto"/>
                <w:szCs w:val="21"/>
                <w:highlight w:val="none"/>
              </w:rPr>
              <w:t>；</w:t>
            </w:r>
          </w:p>
        </w:tc>
      </w:tr>
      <w:tr w14:paraId="531B13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424C8D5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7532" w:type="dxa"/>
            <w:gridSpan w:val="2"/>
            <w:tcBorders>
              <w:tl2br w:val="nil"/>
              <w:tr2bl w:val="nil"/>
            </w:tcBorders>
            <w:vAlign w:val="center"/>
          </w:tcPr>
          <w:p w14:paraId="59BF4AEB">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是否接受联合体投标</w:t>
            </w:r>
          </w:p>
        </w:tc>
      </w:tr>
      <w:tr w14:paraId="67B535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31795B21">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156F991C">
            <w:pPr>
              <w:pStyle w:val="42"/>
              <w:ind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sym w:font="Wingdings 2" w:char="00A3"/>
            </w:r>
            <w:r>
              <w:rPr>
                <w:rFonts w:hint="eastAsia" w:ascii="宋体" w:hAnsi="宋体" w:eastAsia="宋体" w:cs="宋体"/>
                <w:color w:val="auto"/>
                <w:szCs w:val="21"/>
                <w:highlight w:val="none"/>
              </w:rPr>
              <w:t>是，联合体投标的，应满足下列要求：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73A96EA">
            <w:pP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sym w:font="Wingdings 2" w:char="0052"/>
            </w:r>
            <w:r>
              <w:rPr>
                <w:rFonts w:hint="eastAsia" w:ascii="宋体" w:hAnsi="宋体" w:eastAsia="宋体" w:cs="宋体"/>
                <w:color w:val="auto"/>
                <w:szCs w:val="21"/>
                <w:highlight w:val="none"/>
              </w:rPr>
              <w:t>否；</w:t>
            </w:r>
          </w:p>
        </w:tc>
      </w:tr>
      <w:tr w14:paraId="6ED572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5612CD4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7532" w:type="dxa"/>
            <w:gridSpan w:val="2"/>
            <w:tcBorders>
              <w:tl2br w:val="nil"/>
              <w:tr2bl w:val="nil"/>
            </w:tcBorders>
            <w:vAlign w:val="center"/>
          </w:tcPr>
          <w:p w14:paraId="1BA5FBA9">
            <w:pP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资金来源</w:t>
            </w:r>
          </w:p>
        </w:tc>
      </w:tr>
      <w:tr w14:paraId="015B0D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2846EA2C">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1C21976A">
            <w:pPr>
              <w:rPr>
                <w:rFonts w:hint="eastAsia" w:ascii="宋体" w:hAnsi="宋体" w:eastAsia="宋体" w:cs="宋体"/>
                <w:b/>
                <w:bCs/>
                <w:color w:val="auto"/>
                <w:szCs w:val="21"/>
                <w:highlight w:val="none"/>
              </w:rPr>
            </w:pPr>
            <w:r>
              <w:rPr>
                <w:rFonts w:hint="eastAsia" w:ascii="宋体" w:hAnsi="宋体" w:eastAsia="宋体" w:cs="宋体"/>
                <w:color w:val="auto"/>
                <w:szCs w:val="21"/>
                <w:highlight w:val="none"/>
                <w:u w:val="single"/>
              </w:rPr>
              <w:t>自筹资金。</w:t>
            </w:r>
          </w:p>
        </w:tc>
      </w:tr>
      <w:tr w14:paraId="5C45F2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3EEFBD7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7532" w:type="dxa"/>
            <w:gridSpan w:val="2"/>
            <w:tcBorders>
              <w:tl2br w:val="nil"/>
              <w:tr2bl w:val="nil"/>
            </w:tcBorders>
            <w:vAlign w:val="center"/>
          </w:tcPr>
          <w:p w14:paraId="443E4FF5">
            <w:pP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踏勘现场</w:t>
            </w:r>
          </w:p>
        </w:tc>
      </w:tr>
      <w:tr w14:paraId="61B289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05D5E24D">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2935AD02">
            <w:pP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不组织 。</w:t>
            </w:r>
          </w:p>
          <w:p w14:paraId="78120E38">
            <w:pP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□组织，踏勘现场时间、地点：</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 xml:space="preserve">。 </w:t>
            </w:r>
          </w:p>
        </w:tc>
      </w:tr>
      <w:tr w14:paraId="5103F1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629" w:hRule="atLeast"/>
        </w:trPr>
        <w:tc>
          <w:tcPr>
            <w:tcW w:w="8410" w:type="dxa"/>
            <w:gridSpan w:val="3"/>
            <w:tcBorders>
              <w:tl2br w:val="nil"/>
              <w:tr2bl w:val="nil"/>
            </w:tcBorders>
            <w:vAlign w:val="center"/>
          </w:tcPr>
          <w:p w14:paraId="1892C685">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二、投标文件的编制</w:t>
            </w:r>
          </w:p>
        </w:tc>
      </w:tr>
      <w:tr w14:paraId="3B03174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2169A18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7532" w:type="dxa"/>
            <w:gridSpan w:val="2"/>
            <w:tcBorders>
              <w:tl2br w:val="nil"/>
              <w:tr2bl w:val="nil"/>
            </w:tcBorders>
            <w:vAlign w:val="center"/>
          </w:tcPr>
          <w:p w14:paraId="16B7A49E">
            <w:pP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投标语言</w:t>
            </w:r>
          </w:p>
        </w:tc>
      </w:tr>
      <w:tr w14:paraId="77CBD7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77D1A6CB">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1CAB7414">
            <w:pP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中文。</w:t>
            </w:r>
          </w:p>
        </w:tc>
      </w:tr>
      <w:tr w14:paraId="1984CC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2746A45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7532" w:type="dxa"/>
            <w:gridSpan w:val="2"/>
            <w:tcBorders>
              <w:tl2br w:val="nil"/>
              <w:tr2bl w:val="nil"/>
            </w:tcBorders>
            <w:vAlign w:val="center"/>
          </w:tcPr>
          <w:p w14:paraId="25298733">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投标报价</w:t>
            </w:r>
          </w:p>
        </w:tc>
      </w:tr>
      <w:tr w14:paraId="640435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5DF78CE1">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0E031D3E">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详见投标人须知。</w:t>
            </w:r>
          </w:p>
        </w:tc>
      </w:tr>
      <w:tr w14:paraId="29B5E7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878" w:type="dxa"/>
            <w:vMerge w:val="restart"/>
            <w:tcBorders>
              <w:tl2br w:val="nil"/>
              <w:tr2bl w:val="nil"/>
            </w:tcBorders>
            <w:vAlign w:val="center"/>
          </w:tcPr>
          <w:p w14:paraId="737C3E2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7532" w:type="dxa"/>
            <w:gridSpan w:val="2"/>
            <w:tcBorders>
              <w:tl2br w:val="nil"/>
              <w:tr2bl w:val="nil"/>
            </w:tcBorders>
            <w:vAlign w:val="center"/>
          </w:tcPr>
          <w:p w14:paraId="5A7D4BB6">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投标保证金</w:t>
            </w:r>
          </w:p>
        </w:tc>
      </w:tr>
      <w:tr w14:paraId="02BBFF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878" w:type="dxa"/>
            <w:vMerge w:val="continue"/>
            <w:tcBorders>
              <w:tl2br w:val="nil"/>
              <w:tr2bl w:val="nil"/>
            </w:tcBorders>
            <w:vAlign w:val="center"/>
          </w:tcPr>
          <w:p w14:paraId="643CD824">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01273734">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（1）投标保证金金额：人民币</w:t>
            </w:r>
            <w:r>
              <w:rPr>
                <w:rFonts w:hint="eastAsia" w:ascii="宋体" w:hAnsi="宋体" w:eastAsia="宋体" w:cs="宋体"/>
                <w:b/>
                <w:color w:val="auto"/>
                <w:szCs w:val="21"/>
                <w:highlight w:val="none"/>
              </w:rPr>
              <w:t>（大写）壹拾肆万元整</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140,000.00</w:t>
            </w:r>
            <w:r>
              <w:rPr>
                <w:rFonts w:hint="eastAsia" w:ascii="宋体" w:hAnsi="宋体" w:eastAsia="宋体" w:cs="宋体"/>
                <w:b/>
                <w:color w:val="auto"/>
                <w:szCs w:val="21"/>
                <w:highlight w:val="none"/>
                <w:u w:val="single"/>
              </w:rPr>
              <w:t>元</w:t>
            </w:r>
            <w:r>
              <w:rPr>
                <w:rFonts w:hint="eastAsia" w:ascii="宋体" w:hAnsi="宋体" w:eastAsia="宋体" w:cs="宋体"/>
                <w:color w:val="auto"/>
                <w:szCs w:val="21"/>
                <w:highlight w:val="none"/>
              </w:rPr>
              <w:t>）。</w:t>
            </w:r>
          </w:p>
        </w:tc>
      </w:tr>
      <w:tr w14:paraId="5F345F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273" w:hRule="atLeast"/>
        </w:trPr>
        <w:tc>
          <w:tcPr>
            <w:tcW w:w="878" w:type="dxa"/>
            <w:vMerge w:val="continue"/>
            <w:tcBorders>
              <w:tl2br w:val="nil"/>
              <w:tr2bl w:val="nil"/>
            </w:tcBorders>
            <w:vAlign w:val="center"/>
          </w:tcPr>
          <w:p w14:paraId="692FC90D">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265F2033">
            <w:pPr>
              <w:tabs>
                <w:tab w:val="left" w:pos="567"/>
              </w:tabs>
              <w:jc w:val="both"/>
              <w:rPr>
                <w:rFonts w:hint="eastAsia" w:ascii="宋体" w:hAnsi="宋体" w:eastAsia="宋体" w:cs="宋体"/>
                <w:color w:val="auto"/>
                <w:kern w:val="2"/>
                <w:szCs w:val="21"/>
                <w:highlight w:val="none"/>
                <w:lang w:val="zh-CN"/>
              </w:rPr>
            </w:pPr>
            <w:r>
              <w:rPr>
                <w:rFonts w:hint="eastAsia" w:ascii="宋体" w:hAnsi="宋体" w:eastAsia="宋体" w:cs="宋体"/>
                <w:color w:val="auto"/>
                <w:szCs w:val="21"/>
                <w:highlight w:val="none"/>
              </w:rPr>
              <w:t>（2）</w:t>
            </w:r>
            <w:r>
              <w:rPr>
                <w:rFonts w:hint="eastAsia" w:ascii="宋体" w:hAnsi="宋体" w:eastAsia="宋体" w:cs="宋体"/>
                <w:color w:val="auto"/>
                <w:kern w:val="2"/>
                <w:szCs w:val="21"/>
                <w:highlight w:val="none"/>
                <w:lang w:val="zh-CN"/>
              </w:rPr>
              <w:t>投标保证金采用</w:t>
            </w:r>
            <w:r>
              <w:rPr>
                <w:rFonts w:hint="eastAsia" w:ascii="宋体" w:hAnsi="宋体" w:cs="宋体"/>
                <w:color w:val="auto"/>
                <w:kern w:val="2"/>
                <w:szCs w:val="21"/>
                <w:highlight w:val="none"/>
                <w:lang w:val="zh-CN"/>
              </w:rPr>
              <w:t>转账</w:t>
            </w:r>
            <w:r>
              <w:rPr>
                <w:rFonts w:hint="eastAsia" w:ascii="宋体" w:hAnsi="宋体" w:eastAsia="宋体" w:cs="宋体"/>
                <w:color w:val="auto"/>
                <w:kern w:val="2"/>
                <w:szCs w:val="21"/>
                <w:highlight w:val="none"/>
                <w:lang w:val="zh-CN"/>
              </w:rPr>
              <w:t>、电汇方式提交，应符合以下要求：采用银行转账、电汇方式提交的，保证金汇入以下投标保证金专用账户，不接收由以投标人分支机构、私人帐户和其他单位转入的保证金。投标保证金必须在投标文件递交截止前到账，投标保证金未按规定时间到达指定账户或提交金额不足的，将被视为无效投标。且在备注或用途中注明本项目的项目编号。</w:t>
            </w:r>
          </w:p>
          <w:p w14:paraId="7A8211C4">
            <w:pPr>
              <w:tabs>
                <w:tab w:val="left" w:pos="567"/>
              </w:tabs>
              <w:ind w:left="567" w:hanging="567"/>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投标保证金专用账户如下：</w:t>
            </w:r>
          </w:p>
          <w:p w14:paraId="5DB2E08C">
            <w:pPr>
              <w:tabs>
                <w:tab w:val="left" w:pos="567"/>
              </w:tabs>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账户名称：广东东实环境股份有限公司</w:t>
            </w:r>
          </w:p>
          <w:p w14:paraId="05293D8F">
            <w:pPr>
              <w:tabs>
                <w:tab w:val="left" w:pos="567"/>
              </w:tabs>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开户银行：东莞农村商业银行中心支行</w:t>
            </w:r>
          </w:p>
          <w:p w14:paraId="7079AE69">
            <w:pPr>
              <w:tabs>
                <w:tab w:val="left" w:pos="567"/>
              </w:tabs>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银行账号：380010190010009298</w:t>
            </w:r>
          </w:p>
          <w:p w14:paraId="7500671D">
            <w:pPr>
              <w:tabs>
                <w:tab w:val="left" w:pos="567"/>
              </w:tabs>
              <w:ind w:firstLine="422" w:firstLineChars="200"/>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（注：各投标人在</w:t>
            </w:r>
            <w:r>
              <w:rPr>
                <w:rFonts w:hint="eastAsia" w:ascii="宋体" w:hAnsi="宋体" w:cs="宋体"/>
                <w:b/>
                <w:color w:val="auto"/>
                <w:szCs w:val="21"/>
                <w:highlight w:val="none"/>
                <w:lang w:eastAsia="zh-CN"/>
              </w:rPr>
              <w:t>转账</w:t>
            </w:r>
            <w:r>
              <w:rPr>
                <w:rFonts w:hint="eastAsia" w:ascii="宋体" w:hAnsi="宋体" w:eastAsia="宋体" w:cs="宋体"/>
                <w:b/>
                <w:color w:val="auto"/>
                <w:szCs w:val="21"/>
                <w:highlight w:val="none"/>
              </w:rPr>
              <w:t>或电汇时须在用途栏上备注项目编号，及项目名称，如有字数限制项目名称可简写。）</w:t>
            </w:r>
          </w:p>
        </w:tc>
      </w:tr>
      <w:tr w14:paraId="5BFD93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20" w:hRule="atLeast"/>
        </w:trPr>
        <w:tc>
          <w:tcPr>
            <w:tcW w:w="878" w:type="dxa"/>
            <w:vMerge w:val="restart"/>
            <w:tcBorders>
              <w:tl2br w:val="nil"/>
              <w:tr2bl w:val="nil"/>
            </w:tcBorders>
            <w:vAlign w:val="center"/>
          </w:tcPr>
          <w:p w14:paraId="2CAB077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7532" w:type="dxa"/>
            <w:gridSpan w:val="2"/>
            <w:tcBorders>
              <w:tl2br w:val="nil"/>
              <w:tr2bl w:val="nil"/>
            </w:tcBorders>
            <w:vAlign w:val="center"/>
          </w:tcPr>
          <w:p w14:paraId="6950BEBA">
            <w:pPr>
              <w:jc w:val="both"/>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投标保证金退还</w:t>
            </w:r>
          </w:p>
        </w:tc>
      </w:tr>
      <w:tr w14:paraId="410305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1535" w:hRule="atLeast"/>
        </w:trPr>
        <w:tc>
          <w:tcPr>
            <w:tcW w:w="878" w:type="dxa"/>
            <w:vMerge w:val="continue"/>
            <w:tcBorders>
              <w:tl2br w:val="nil"/>
              <w:tr2bl w:val="nil"/>
            </w:tcBorders>
            <w:vAlign w:val="center"/>
          </w:tcPr>
          <w:p w14:paraId="5A7EEDC0">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05F57694">
            <w:pPr>
              <w:jc w:val="both"/>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）未中标的投标人的保证金应当在中标通知书发出后退还，中标</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zh-CN"/>
              </w:rPr>
              <w:t>投标人的保证金应当在采购合同签订</w:t>
            </w:r>
            <w:r>
              <w:rPr>
                <w:rFonts w:hint="eastAsia" w:ascii="宋体" w:hAnsi="宋体" w:eastAsia="宋体" w:cs="宋体"/>
                <w:color w:val="auto"/>
                <w:szCs w:val="21"/>
                <w:highlight w:val="none"/>
              </w:rPr>
              <w:t>并缴纳履约保证金</w:t>
            </w:r>
            <w:r>
              <w:rPr>
                <w:rFonts w:hint="eastAsia" w:ascii="宋体" w:hAnsi="宋体" w:eastAsia="宋体" w:cs="宋体"/>
                <w:color w:val="auto"/>
                <w:szCs w:val="21"/>
                <w:highlight w:val="none"/>
                <w:lang w:val="zh-CN"/>
              </w:rPr>
              <w:t>后退还。</w:t>
            </w:r>
          </w:p>
          <w:p w14:paraId="0ADA667A">
            <w:pPr>
              <w:jc w:val="both"/>
              <w:rPr>
                <w:rFonts w:hint="eastAsia" w:ascii="宋体" w:hAnsi="宋体" w:eastAsia="宋体" w:cs="宋体"/>
                <w:color w:val="auto"/>
                <w:highlight w:val="none"/>
              </w:rPr>
            </w:pPr>
            <w:r>
              <w:rPr>
                <w:rFonts w:hint="eastAsia" w:ascii="宋体" w:hAnsi="宋体" w:eastAsia="宋体" w:cs="宋体"/>
                <w:color w:val="auto"/>
                <w:szCs w:val="21"/>
                <w:highlight w:val="none"/>
                <w:lang w:val="zh-CN"/>
              </w:rPr>
              <w:t>（</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zh-CN"/>
              </w:rPr>
              <w:t>）为方便退还未中标的投标人的保证金，投标人应制作《投标保证金汇入情况说明》随唱标信封一并递交。</w:t>
            </w:r>
          </w:p>
        </w:tc>
      </w:tr>
      <w:tr w14:paraId="610B96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58FDD15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7532" w:type="dxa"/>
            <w:gridSpan w:val="2"/>
            <w:tcBorders>
              <w:tl2br w:val="nil"/>
              <w:tr2bl w:val="nil"/>
            </w:tcBorders>
            <w:vAlign w:val="center"/>
          </w:tcPr>
          <w:p w14:paraId="214CFB16">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投标有效期</w:t>
            </w:r>
          </w:p>
        </w:tc>
      </w:tr>
      <w:tr w14:paraId="49A550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4D6D5C0C">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687245B1">
            <w:pPr>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九十天。</w:t>
            </w:r>
          </w:p>
        </w:tc>
      </w:tr>
      <w:tr w14:paraId="4DC445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restart"/>
            <w:tcBorders>
              <w:tl2br w:val="nil"/>
              <w:tr2bl w:val="nil"/>
            </w:tcBorders>
            <w:vAlign w:val="center"/>
          </w:tcPr>
          <w:p w14:paraId="18D91D2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7532" w:type="dxa"/>
            <w:gridSpan w:val="2"/>
            <w:tcBorders>
              <w:tl2br w:val="nil"/>
              <w:tr2bl w:val="nil"/>
            </w:tcBorders>
            <w:vAlign w:val="center"/>
          </w:tcPr>
          <w:p w14:paraId="1E0349EE">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人应提交以下投标文件（投标文件由唱标信封、价格文件、商务文件、技术文件、电子文档五部分组成；价格文件、商务文件、技术文件分别单独装订成册，电子文档装入唱标信封一同封装；具体编制和封装要求详见第四部分投标人须知）</w:t>
            </w:r>
          </w:p>
        </w:tc>
      </w:tr>
      <w:tr w14:paraId="2C99F4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63C66A2B">
            <w:pPr>
              <w:jc w:val="center"/>
              <w:rPr>
                <w:rFonts w:hint="eastAsia" w:ascii="宋体" w:hAnsi="宋体" w:eastAsia="宋体" w:cs="宋体"/>
                <w:color w:val="auto"/>
                <w:szCs w:val="21"/>
                <w:highlight w:val="none"/>
              </w:rPr>
            </w:pPr>
          </w:p>
        </w:tc>
        <w:tc>
          <w:tcPr>
            <w:tcW w:w="2608" w:type="dxa"/>
            <w:tcBorders>
              <w:tl2br w:val="nil"/>
              <w:tr2bl w:val="nil"/>
            </w:tcBorders>
            <w:vAlign w:val="center"/>
          </w:tcPr>
          <w:p w14:paraId="6FF4B7C7">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投标文件类型</w:t>
            </w:r>
          </w:p>
        </w:tc>
        <w:tc>
          <w:tcPr>
            <w:tcW w:w="4924" w:type="dxa"/>
            <w:tcBorders>
              <w:tl2br w:val="nil"/>
              <w:tr2bl w:val="nil"/>
            </w:tcBorders>
            <w:vAlign w:val="center"/>
          </w:tcPr>
          <w:p w14:paraId="1A45C28E">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份数</w:t>
            </w:r>
          </w:p>
        </w:tc>
      </w:tr>
      <w:tr w14:paraId="51EBFB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59143772">
            <w:pPr>
              <w:jc w:val="center"/>
              <w:rPr>
                <w:rFonts w:hint="eastAsia" w:ascii="宋体" w:hAnsi="宋体" w:eastAsia="宋体" w:cs="宋体"/>
                <w:color w:val="auto"/>
                <w:szCs w:val="21"/>
                <w:highlight w:val="none"/>
              </w:rPr>
            </w:pPr>
          </w:p>
        </w:tc>
        <w:tc>
          <w:tcPr>
            <w:tcW w:w="2608" w:type="dxa"/>
            <w:tcBorders>
              <w:tl2br w:val="nil"/>
              <w:tr2bl w:val="nil"/>
            </w:tcBorders>
            <w:vAlign w:val="center"/>
          </w:tcPr>
          <w:p w14:paraId="219CCDDE">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唱标信封</w:t>
            </w:r>
          </w:p>
        </w:tc>
        <w:tc>
          <w:tcPr>
            <w:tcW w:w="4924" w:type="dxa"/>
            <w:tcBorders>
              <w:tl2br w:val="nil"/>
              <w:tr2bl w:val="nil"/>
            </w:tcBorders>
            <w:vAlign w:val="center"/>
          </w:tcPr>
          <w:p w14:paraId="74F08A98">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r>
      <w:tr w14:paraId="2145AC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72F6D514">
            <w:pPr>
              <w:jc w:val="center"/>
              <w:rPr>
                <w:rFonts w:hint="eastAsia" w:ascii="宋体" w:hAnsi="宋体" w:eastAsia="宋体" w:cs="宋体"/>
                <w:color w:val="auto"/>
                <w:szCs w:val="21"/>
                <w:highlight w:val="none"/>
              </w:rPr>
            </w:pPr>
          </w:p>
        </w:tc>
        <w:tc>
          <w:tcPr>
            <w:tcW w:w="2608" w:type="dxa"/>
            <w:tcBorders>
              <w:tl2br w:val="nil"/>
              <w:tr2bl w:val="nil"/>
            </w:tcBorders>
            <w:vAlign w:val="center"/>
          </w:tcPr>
          <w:p w14:paraId="278606A4">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投标文件正本</w:t>
            </w:r>
          </w:p>
        </w:tc>
        <w:tc>
          <w:tcPr>
            <w:tcW w:w="4924" w:type="dxa"/>
            <w:tcBorders>
              <w:tl2br w:val="nil"/>
              <w:tr2bl w:val="nil"/>
            </w:tcBorders>
            <w:vAlign w:val="center"/>
          </w:tcPr>
          <w:p w14:paraId="48FF2DD2">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r>
      <w:tr w14:paraId="0E082F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37" w:hRule="atLeast"/>
        </w:trPr>
        <w:tc>
          <w:tcPr>
            <w:tcW w:w="878" w:type="dxa"/>
            <w:vMerge w:val="continue"/>
            <w:tcBorders>
              <w:tl2br w:val="nil"/>
              <w:tr2bl w:val="nil"/>
            </w:tcBorders>
            <w:vAlign w:val="center"/>
          </w:tcPr>
          <w:p w14:paraId="50DA1A39">
            <w:pPr>
              <w:jc w:val="center"/>
              <w:rPr>
                <w:rFonts w:hint="eastAsia" w:ascii="宋体" w:hAnsi="宋体" w:eastAsia="宋体" w:cs="宋体"/>
                <w:color w:val="auto"/>
                <w:szCs w:val="21"/>
                <w:highlight w:val="none"/>
              </w:rPr>
            </w:pPr>
          </w:p>
        </w:tc>
        <w:tc>
          <w:tcPr>
            <w:tcW w:w="2608" w:type="dxa"/>
            <w:tcBorders>
              <w:tl2br w:val="nil"/>
              <w:tr2bl w:val="nil"/>
            </w:tcBorders>
            <w:vAlign w:val="center"/>
          </w:tcPr>
          <w:p w14:paraId="0C71D080">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投标文件副本</w:t>
            </w:r>
          </w:p>
        </w:tc>
        <w:tc>
          <w:tcPr>
            <w:tcW w:w="4924" w:type="dxa"/>
            <w:tcBorders>
              <w:tl2br w:val="nil"/>
              <w:tr2bl w:val="nil"/>
            </w:tcBorders>
            <w:vAlign w:val="center"/>
          </w:tcPr>
          <w:p w14:paraId="71A3D092">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sym w:font="Wingdings 2" w:char="00A3"/>
            </w:r>
            <w:r>
              <w:rPr>
                <w:rFonts w:hint="eastAsia" w:ascii="宋体" w:hAnsi="宋体" w:eastAsia="宋体" w:cs="宋体"/>
                <w:b/>
                <w:color w:val="auto"/>
                <w:szCs w:val="21"/>
                <w:highlight w:val="none"/>
              </w:rPr>
              <w:t xml:space="preserve">5  </w:t>
            </w:r>
            <w:r>
              <w:rPr>
                <w:rFonts w:hint="eastAsia" w:ascii="宋体" w:hAnsi="宋体" w:eastAsia="宋体" w:cs="宋体"/>
                <w:b/>
                <w:color w:val="auto"/>
                <w:szCs w:val="21"/>
                <w:highlight w:val="none"/>
              </w:rPr>
              <w:sym w:font="Wingdings 2" w:char="0052"/>
            </w:r>
            <w:r>
              <w:rPr>
                <w:rFonts w:hint="eastAsia" w:ascii="宋体" w:hAnsi="宋体" w:eastAsia="宋体" w:cs="宋体"/>
                <w:b/>
                <w:color w:val="auto"/>
                <w:szCs w:val="21"/>
                <w:highlight w:val="none"/>
              </w:rPr>
              <w:t>7</w:t>
            </w:r>
          </w:p>
        </w:tc>
      </w:tr>
      <w:tr w14:paraId="095CBE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136930B2">
            <w:pPr>
              <w:jc w:val="center"/>
              <w:rPr>
                <w:rFonts w:hint="eastAsia" w:ascii="宋体" w:hAnsi="宋体" w:eastAsia="宋体" w:cs="宋体"/>
                <w:color w:val="auto"/>
                <w:szCs w:val="21"/>
                <w:highlight w:val="none"/>
              </w:rPr>
            </w:pPr>
          </w:p>
        </w:tc>
        <w:tc>
          <w:tcPr>
            <w:tcW w:w="2608" w:type="dxa"/>
            <w:vMerge w:val="restart"/>
            <w:tcBorders>
              <w:tl2br w:val="nil"/>
              <w:tr2bl w:val="nil"/>
            </w:tcBorders>
            <w:vAlign w:val="center"/>
          </w:tcPr>
          <w:p w14:paraId="0E72054A">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电子文档</w:t>
            </w:r>
          </w:p>
        </w:tc>
        <w:tc>
          <w:tcPr>
            <w:tcW w:w="4924" w:type="dxa"/>
            <w:tcBorders>
              <w:tl2br w:val="nil"/>
              <w:tr2bl w:val="nil"/>
            </w:tcBorders>
            <w:vAlign w:val="center"/>
          </w:tcPr>
          <w:p w14:paraId="2FC66A1C">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r>
      <w:tr w14:paraId="12778C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7F1B3F52">
            <w:pPr>
              <w:jc w:val="center"/>
              <w:rPr>
                <w:rFonts w:hint="eastAsia" w:ascii="宋体" w:hAnsi="宋体" w:eastAsia="宋体" w:cs="宋体"/>
                <w:color w:val="auto"/>
                <w:szCs w:val="21"/>
                <w:highlight w:val="none"/>
              </w:rPr>
            </w:pPr>
          </w:p>
        </w:tc>
        <w:tc>
          <w:tcPr>
            <w:tcW w:w="2608" w:type="dxa"/>
            <w:vMerge w:val="continue"/>
            <w:tcBorders>
              <w:tl2br w:val="nil"/>
              <w:tr2bl w:val="nil"/>
            </w:tcBorders>
            <w:vAlign w:val="center"/>
          </w:tcPr>
          <w:p w14:paraId="4233DFB2">
            <w:pPr>
              <w:jc w:val="center"/>
              <w:rPr>
                <w:rFonts w:hint="eastAsia" w:ascii="宋体" w:hAnsi="宋体" w:eastAsia="宋体" w:cs="宋体"/>
                <w:b/>
                <w:color w:val="auto"/>
                <w:szCs w:val="21"/>
                <w:highlight w:val="none"/>
              </w:rPr>
            </w:pPr>
          </w:p>
        </w:tc>
        <w:tc>
          <w:tcPr>
            <w:tcW w:w="4924" w:type="dxa"/>
            <w:tcBorders>
              <w:tl2br w:val="nil"/>
              <w:tr2bl w:val="nil"/>
            </w:tcBorders>
            <w:vAlign w:val="center"/>
          </w:tcPr>
          <w:p w14:paraId="4E960AC7">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U盘，须含盖章版PDF投标文件和WORD版投标文件各一版，文字采用WORD文档，计算表格采用 EXCEL文档。</w:t>
            </w:r>
          </w:p>
        </w:tc>
      </w:tr>
      <w:tr w14:paraId="5489DE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857" w:hRule="atLeast"/>
        </w:trPr>
        <w:tc>
          <w:tcPr>
            <w:tcW w:w="8410" w:type="dxa"/>
            <w:gridSpan w:val="3"/>
            <w:tcBorders>
              <w:tl2br w:val="nil"/>
              <w:tr2bl w:val="nil"/>
            </w:tcBorders>
            <w:vAlign w:val="center"/>
          </w:tcPr>
          <w:p w14:paraId="2BBE443A">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三、开标与评标</w:t>
            </w:r>
          </w:p>
        </w:tc>
      </w:tr>
      <w:tr w14:paraId="12E647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38BC7F3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7532" w:type="dxa"/>
            <w:gridSpan w:val="2"/>
            <w:tcBorders>
              <w:tl2br w:val="nil"/>
              <w:tr2bl w:val="nil"/>
            </w:tcBorders>
            <w:vAlign w:val="center"/>
          </w:tcPr>
          <w:p w14:paraId="494183D1">
            <w:pPr>
              <w:jc w:val="both"/>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本项目评标方法</w:t>
            </w:r>
          </w:p>
        </w:tc>
      </w:tr>
      <w:tr w14:paraId="6AEB80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49BACE22">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4620F5FC">
            <w:pPr>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综合评分法。</w:t>
            </w:r>
          </w:p>
        </w:tc>
      </w:tr>
      <w:tr w14:paraId="6A7D87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5C0EC15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7532" w:type="dxa"/>
            <w:gridSpan w:val="2"/>
            <w:tcBorders>
              <w:tl2br w:val="nil"/>
              <w:tr2bl w:val="nil"/>
            </w:tcBorders>
            <w:vAlign w:val="center"/>
          </w:tcPr>
          <w:p w14:paraId="57C3E242">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综合评分法评分因素和权重分值</w:t>
            </w:r>
          </w:p>
        </w:tc>
      </w:tr>
      <w:tr w14:paraId="06BEDC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1669FB1C">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6EF0FA01">
            <w:pPr>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见附表二。</w:t>
            </w:r>
          </w:p>
        </w:tc>
      </w:tr>
      <w:tr w14:paraId="5CF652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066372C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7532" w:type="dxa"/>
            <w:gridSpan w:val="2"/>
            <w:tcBorders>
              <w:tl2br w:val="nil"/>
              <w:tr2bl w:val="nil"/>
            </w:tcBorders>
            <w:vAlign w:val="center"/>
          </w:tcPr>
          <w:p w14:paraId="27EC606C">
            <w:pPr>
              <w:jc w:val="both"/>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评标委员会</w:t>
            </w:r>
          </w:p>
        </w:tc>
      </w:tr>
      <w:tr w14:paraId="0F52A8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22E10379">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6A3130A3">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评标委员会成员共</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w:t>
            </w:r>
            <w:r>
              <w:rPr>
                <w:rFonts w:hint="eastAsia" w:ascii="宋体" w:hAnsi="宋体" w:eastAsia="宋体" w:cs="宋体"/>
                <w:color w:val="auto"/>
                <w:szCs w:val="21"/>
                <w:highlight w:val="none"/>
                <w:lang w:val="zh-CN"/>
              </w:rPr>
              <w:t>评标委员会由采购人</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zh-CN"/>
              </w:rPr>
              <w:t>代表和</w:t>
            </w:r>
            <w:r>
              <w:rPr>
                <w:rFonts w:hint="eastAsia" w:ascii="宋体" w:hAnsi="宋体" w:eastAsia="宋体" w:cs="宋体"/>
                <w:color w:val="auto"/>
                <w:szCs w:val="21"/>
                <w:highlight w:val="none"/>
              </w:rPr>
              <w:t>有关方面的</w:t>
            </w:r>
            <w:r>
              <w:rPr>
                <w:rFonts w:hint="eastAsia" w:ascii="宋体" w:hAnsi="宋体" w:eastAsia="宋体" w:cs="宋体"/>
                <w:color w:val="auto"/>
                <w:szCs w:val="21"/>
                <w:highlight w:val="none"/>
                <w:lang w:val="zh-CN"/>
              </w:rPr>
              <w:t>专家组成，</w:t>
            </w:r>
            <w:r>
              <w:rPr>
                <w:rFonts w:hint="eastAsia" w:ascii="宋体" w:hAnsi="宋体" w:eastAsia="宋体" w:cs="宋体"/>
                <w:color w:val="auto"/>
                <w:szCs w:val="21"/>
                <w:highlight w:val="none"/>
              </w:rPr>
              <w:t>成员人数为五人或五人以上单数</w:t>
            </w:r>
            <w:r>
              <w:rPr>
                <w:rFonts w:hint="eastAsia" w:ascii="宋体" w:hAnsi="宋体" w:eastAsia="宋体" w:cs="宋体"/>
                <w:color w:val="auto"/>
                <w:szCs w:val="21"/>
                <w:highlight w:val="none"/>
                <w:lang w:val="zh-CN"/>
              </w:rPr>
              <w:t>，其中专家不得少于成员总数的三分之二。</w:t>
            </w:r>
          </w:p>
        </w:tc>
      </w:tr>
      <w:tr w14:paraId="5206C0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748" w:hRule="atLeast"/>
        </w:trPr>
        <w:tc>
          <w:tcPr>
            <w:tcW w:w="8410" w:type="dxa"/>
            <w:gridSpan w:val="3"/>
            <w:tcBorders>
              <w:tl2br w:val="nil"/>
              <w:tr2bl w:val="nil"/>
            </w:tcBorders>
            <w:vAlign w:val="center"/>
          </w:tcPr>
          <w:p w14:paraId="2889423D">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四、授予合同</w:t>
            </w:r>
          </w:p>
        </w:tc>
      </w:tr>
      <w:tr w14:paraId="5E4ECE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39" w:hRule="atLeast"/>
        </w:trPr>
        <w:tc>
          <w:tcPr>
            <w:tcW w:w="878" w:type="dxa"/>
            <w:vMerge w:val="restart"/>
            <w:tcBorders>
              <w:tl2br w:val="nil"/>
              <w:tr2bl w:val="nil"/>
            </w:tcBorders>
            <w:vAlign w:val="center"/>
          </w:tcPr>
          <w:p w14:paraId="1F54693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7532" w:type="dxa"/>
            <w:gridSpan w:val="2"/>
            <w:tcBorders>
              <w:tl2br w:val="nil"/>
              <w:tr2bl w:val="nil"/>
            </w:tcBorders>
            <w:shd w:val="clear" w:color="auto" w:fill="auto"/>
            <w:vAlign w:val="center"/>
          </w:tcPr>
          <w:p w14:paraId="5F95F174">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履约担保</w:t>
            </w:r>
          </w:p>
        </w:tc>
      </w:tr>
      <w:tr w14:paraId="7942F3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40" w:hRule="atLeast"/>
        </w:trPr>
        <w:tc>
          <w:tcPr>
            <w:tcW w:w="878" w:type="dxa"/>
            <w:vMerge w:val="continue"/>
            <w:tcBorders>
              <w:tl2br w:val="nil"/>
              <w:tr2bl w:val="nil"/>
            </w:tcBorders>
            <w:vAlign w:val="center"/>
          </w:tcPr>
          <w:p w14:paraId="3ECF2C65">
            <w:pPr>
              <w:jc w:val="center"/>
              <w:rPr>
                <w:rFonts w:hint="eastAsia" w:ascii="宋体" w:hAnsi="宋体" w:eastAsia="宋体" w:cs="宋体"/>
                <w:color w:val="auto"/>
                <w:szCs w:val="21"/>
                <w:highlight w:val="none"/>
              </w:rPr>
            </w:pPr>
          </w:p>
        </w:tc>
        <w:tc>
          <w:tcPr>
            <w:tcW w:w="7532" w:type="dxa"/>
            <w:gridSpan w:val="2"/>
            <w:tcBorders>
              <w:tl2br w:val="nil"/>
              <w:tr2bl w:val="nil"/>
            </w:tcBorders>
            <w:shd w:val="clear" w:color="auto" w:fill="auto"/>
            <w:vAlign w:val="center"/>
          </w:tcPr>
          <w:p w14:paraId="30A77E6A">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1.履约担保金额为：</w:t>
            </w:r>
            <w:r>
              <w:rPr>
                <w:rFonts w:hint="eastAsia" w:ascii="宋体" w:hAnsi="宋体" w:eastAsia="宋体" w:cs="宋体"/>
                <w:color w:val="auto"/>
                <w:szCs w:val="21"/>
                <w:highlight w:val="none"/>
                <w:u w:val="single"/>
              </w:rPr>
              <w:t>暂定合同金额的10%</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即￥1,400,000.00元）</w:t>
            </w:r>
            <w:r>
              <w:rPr>
                <w:rFonts w:hint="eastAsia" w:ascii="宋体" w:hAnsi="宋体" w:eastAsia="宋体" w:cs="宋体"/>
                <w:color w:val="auto"/>
                <w:szCs w:val="21"/>
                <w:highlight w:val="none"/>
                <w:u w:val="single"/>
              </w:rPr>
              <w:t>。</w:t>
            </w:r>
          </w:p>
          <w:p w14:paraId="42AEC928">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2.履约保证金账户信息：</w:t>
            </w:r>
          </w:p>
          <w:p w14:paraId="2948D8AA">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账户名称：东莞市新东元环保投资有限公司</w:t>
            </w:r>
          </w:p>
          <w:p w14:paraId="2187BDF9">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开户银行：中国银行东莞分行</w:t>
            </w:r>
          </w:p>
          <w:p w14:paraId="1A5F6299">
            <w:pPr>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银行账号：6691 7010 4633</w:t>
            </w:r>
          </w:p>
          <w:p w14:paraId="556A88CE">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3.中标人在</w:t>
            </w:r>
            <w:r>
              <w:rPr>
                <w:rFonts w:hint="eastAsia" w:ascii="宋体" w:hAnsi="宋体" w:cs="宋体"/>
                <w:color w:val="auto"/>
                <w:szCs w:val="21"/>
                <w:highlight w:val="none"/>
                <w:lang w:eastAsia="zh-CN"/>
              </w:rPr>
              <w:t>采购合同签署之日起7个日历日</w:t>
            </w:r>
            <w:r>
              <w:rPr>
                <w:rFonts w:hint="eastAsia" w:ascii="宋体" w:hAnsi="宋体" w:cs="宋体"/>
                <w:color w:val="auto"/>
                <w:szCs w:val="21"/>
                <w:highlight w:val="none"/>
                <w:lang w:val="en-US" w:eastAsia="zh-CN"/>
              </w:rPr>
              <w:t>内</w:t>
            </w:r>
            <w:r>
              <w:rPr>
                <w:rFonts w:hint="eastAsia" w:ascii="宋体" w:hAnsi="宋体" w:cs="宋体"/>
                <w:color w:val="auto"/>
                <w:szCs w:val="21"/>
                <w:highlight w:val="none"/>
              </w:rPr>
              <w:t>向</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提交履约担保，担保形式为不可撤销银行保函或履约保证金，金额为</w:t>
            </w:r>
            <w:r>
              <w:rPr>
                <w:rFonts w:hint="eastAsia" w:ascii="宋体" w:hAnsi="宋体" w:cs="宋体"/>
                <w:color w:val="auto"/>
                <w:szCs w:val="21"/>
                <w:highlight w:val="none"/>
                <w:lang w:val="en-US" w:eastAsia="zh-CN"/>
              </w:rPr>
              <w:t>暂定合同金额</w:t>
            </w:r>
            <w:r>
              <w:rPr>
                <w:rFonts w:hint="eastAsia" w:ascii="宋体" w:hAnsi="宋体" w:cs="宋体"/>
                <w:color w:val="auto"/>
                <w:szCs w:val="21"/>
                <w:highlight w:val="none"/>
              </w:rPr>
              <w:t>的10%</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即￥1,400,000.00元）</w:t>
            </w:r>
            <w:r>
              <w:rPr>
                <w:rFonts w:hint="eastAsia" w:ascii="宋体" w:hAnsi="宋体" w:cs="宋体"/>
                <w:color w:val="auto"/>
                <w:szCs w:val="21"/>
                <w:highlight w:val="none"/>
              </w:rPr>
              <w:t>。履约担保有效期应覆盖自合同签订之日起至项目服务期满、验收合格并完成结算后，双方签字之日起7天内保持有效。</w:t>
            </w:r>
            <w:r>
              <w:rPr>
                <w:rFonts w:hint="eastAsia" w:ascii="宋体" w:hAnsi="宋体" w:eastAsia="宋体" w:cs="宋体"/>
                <w:color w:val="auto"/>
                <w:szCs w:val="21"/>
                <w:highlight w:val="none"/>
              </w:rPr>
              <w:t>如果中标人提交的履约保函的有效期先于合同要求的履约保函有效期到达，中标人应在原提交的履约保函有效期满前15天，无条件办理保函延期手续。否则，视为中标人违约，采购人可在保函到期前将保函金额转为现金存入履约保证金帐户。</w:t>
            </w:r>
          </w:p>
          <w:p w14:paraId="6DCCD782">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4.履约担保期限从合同签订之日起至项目完工验收合格并结算完毕后，经双方签字</w:t>
            </w:r>
            <w:r>
              <w:rPr>
                <w:rFonts w:hint="eastAsia" w:ascii="宋体" w:hAnsi="宋体" w:eastAsia="宋体" w:cs="宋体"/>
                <w:color w:val="auto"/>
                <w:szCs w:val="21"/>
                <w:highlight w:val="none"/>
                <w:u w:val="single"/>
              </w:rPr>
              <w:t xml:space="preserve">  7  </w:t>
            </w:r>
            <w:r>
              <w:rPr>
                <w:rFonts w:hint="eastAsia" w:ascii="宋体" w:hAnsi="宋体" w:eastAsia="宋体" w:cs="宋体"/>
                <w:color w:val="auto"/>
                <w:szCs w:val="21"/>
                <w:highlight w:val="none"/>
              </w:rPr>
              <w:t>天内保持有效。</w:t>
            </w:r>
          </w:p>
          <w:p w14:paraId="66E3EC65">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5、履约担保要求：</w:t>
            </w:r>
          </w:p>
          <w:p w14:paraId="75C5003D">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（1）履约保函。如果中标人的履约担保是以银行保函形式提供的，则该银行保函应：</w:t>
            </w:r>
          </w:p>
          <w:p w14:paraId="704D3AAE">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①保函应由银行支行或以上银行机构开具。</w:t>
            </w:r>
          </w:p>
          <w:p w14:paraId="540DD35B">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②保函的格式参考投标文件附件中提供的无条件不可撤销履约保函格式，保函担保期内若项目未能按期竣工，保函必须延期，办理延期手续时在银行方面所产生费用由中标人负责。</w:t>
            </w:r>
          </w:p>
          <w:p w14:paraId="3A71C996">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③履约保函必须打印，手写、涂改无效。</w:t>
            </w:r>
          </w:p>
          <w:p w14:paraId="3D33FD70">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（2）履约保证金。可采用电汇、银行汇票等银行</w:t>
            </w:r>
            <w:r>
              <w:rPr>
                <w:rFonts w:hint="eastAsia" w:ascii="宋体" w:hAnsi="宋体" w:cs="宋体"/>
                <w:color w:val="auto"/>
                <w:szCs w:val="21"/>
                <w:highlight w:val="none"/>
                <w:lang w:eastAsia="zh-CN"/>
              </w:rPr>
              <w:t>转账</w:t>
            </w:r>
            <w:r>
              <w:rPr>
                <w:rFonts w:hint="eastAsia" w:ascii="宋体" w:hAnsi="宋体" w:eastAsia="宋体" w:cs="宋体"/>
                <w:color w:val="auto"/>
                <w:szCs w:val="21"/>
                <w:highlight w:val="none"/>
              </w:rPr>
              <w:t>方式提交，但不可以采用现金方式提交。中标人必须保证履约保证金以中标人名称在签订合同前提交至采购人指定账户。</w:t>
            </w:r>
          </w:p>
          <w:p w14:paraId="199078F4">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若中标人不能按本采购文件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6DF2EE21">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（4）为取得履约担保所需的费用，由中标人承担；若工期延误，履约担保时间延长，延长费用由中标人承担。</w:t>
            </w:r>
          </w:p>
          <w:p w14:paraId="236123E1">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若中标人在合同履行过程中出现项目质量事故、工期拖延、欠付工人工资、欠付材料款等情况，采购人在经核查属实后，有权将履约保函金额转为现金存入履约保证金账户；中标人造成采购人损失的，采购人有权立即没收其履约担保，若造成损失超过履约担保的，还应当对超过部分予以赔偿。</w:t>
            </w:r>
          </w:p>
          <w:p w14:paraId="42C54F2D">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（6）下列任何情况发生时，采购人有权行使享有的担保权利：</w:t>
            </w:r>
          </w:p>
          <w:p w14:paraId="7562B5D6">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①中标人将本项目转让给他人，或者在投标文件中未说明，且未经采购人同意，将中标项目分包给他人的；</w:t>
            </w:r>
          </w:p>
          <w:p w14:paraId="27C7E085">
            <w:pPr>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②中标人在履行采购合同期间，违反有关法律法规的规定及合同约定的条款，损害了采购人的利益。</w:t>
            </w:r>
          </w:p>
          <w:p w14:paraId="1E0402F9">
            <w:pPr>
              <w:jc w:val="both"/>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（7）在整个项目验收合格后，中标人向采购人提交退回履约担保的申请，采购人办理履约担保退还手续。</w:t>
            </w:r>
          </w:p>
        </w:tc>
      </w:tr>
      <w:tr w14:paraId="15E5E0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52" w:hRule="atLeast"/>
        </w:trPr>
        <w:tc>
          <w:tcPr>
            <w:tcW w:w="878" w:type="dxa"/>
            <w:vMerge w:val="restart"/>
            <w:tcBorders>
              <w:tl2br w:val="nil"/>
              <w:tr2bl w:val="nil"/>
            </w:tcBorders>
            <w:vAlign w:val="center"/>
          </w:tcPr>
          <w:p w14:paraId="6FE63A6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7532" w:type="dxa"/>
            <w:gridSpan w:val="2"/>
            <w:tcBorders>
              <w:tl2br w:val="nil"/>
              <w:tr2bl w:val="nil"/>
            </w:tcBorders>
            <w:vAlign w:val="center"/>
          </w:tcPr>
          <w:p w14:paraId="0734957D">
            <w:pPr>
              <w:jc w:val="both"/>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中标服务费</w:t>
            </w:r>
          </w:p>
        </w:tc>
      </w:tr>
      <w:tr w14:paraId="39F1FE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52" w:hRule="atLeast"/>
        </w:trPr>
        <w:tc>
          <w:tcPr>
            <w:tcW w:w="878" w:type="dxa"/>
            <w:vMerge w:val="continue"/>
            <w:tcBorders>
              <w:tl2br w:val="nil"/>
              <w:tr2bl w:val="nil"/>
            </w:tcBorders>
            <w:vAlign w:val="center"/>
          </w:tcPr>
          <w:p w14:paraId="10D3314B">
            <w:pPr>
              <w:jc w:val="center"/>
              <w:rPr>
                <w:rFonts w:hint="eastAsia" w:ascii="宋体" w:hAnsi="宋体" w:eastAsia="宋体" w:cs="宋体"/>
                <w:color w:val="auto"/>
                <w:szCs w:val="21"/>
                <w:highlight w:val="none"/>
              </w:rPr>
            </w:pPr>
          </w:p>
        </w:tc>
        <w:tc>
          <w:tcPr>
            <w:tcW w:w="7532" w:type="dxa"/>
            <w:gridSpan w:val="2"/>
            <w:tcBorders>
              <w:tl2br w:val="nil"/>
              <w:tr2bl w:val="nil"/>
            </w:tcBorders>
            <w:vAlign w:val="center"/>
          </w:tcPr>
          <w:p w14:paraId="640C4296">
            <w:pPr>
              <w:widowControl w:val="0"/>
              <w:tabs>
                <w:tab w:val="left" w:pos="907"/>
              </w:tabs>
              <w:adjustRightInd/>
              <w:snapToGrid/>
              <w:spacing w:line="360" w:lineRule="exact"/>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本项目中标服务费由采购人支付。</w:t>
            </w:r>
          </w:p>
        </w:tc>
      </w:tr>
      <w:tr w14:paraId="26F7E3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820" w:hRule="atLeast"/>
        </w:trPr>
        <w:tc>
          <w:tcPr>
            <w:tcW w:w="8410" w:type="dxa"/>
            <w:gridSpan w:val="3"/>
            <w:tcBorders>
              <w:tl2br w:val="nil"/>
              <w:tr2bl w:val="nil"/>
            </w:tcBorders>
            <w:vAlign w:val="center"/>
          </w:tcPr>
          <w:p w14:paraId="60E99BCB">
            <w:pPr>
              <w:widowControl w:val="0"/>
              <w:tabs>
                <w:tab w:val="left" w:pos="907"/>
              </w:tabs>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注：本表关于采购项目的具体资料，是对投标人须知的具体补充和修改，如有矛盾，应以本资料表为准。不满足采购文件中 “★”条款的投标文件将作无效投标处理。</w:t>
            </w:r>
          </w:p>
        </w:tc>
      </w:tr>
    </w:tbl>
    <w:p w14:paraId="66C15907">
      <w:pPr>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2AA79CF">
      <w:pPr>
        <w:pStyle w:val="4"/>
        <w:spacing w:before="0" w:after="0" w:line="240" w:lineRule="auto"/>
        <w:jc w:val="center"/>
        <w:rPr>
          <w:rFonts w:hint="eastAsia" w:ascii="宋体" w:hAnsi="宋体" w:eastAsia="宋体" w:cs="宋体"/>
          <w:color w:val="auto"/>
          <w:sz w:val="21"/>
          <w:szCs w:val="21"/>
          <w:highlight w:val="none"/>
        </w:rPr>
      </w:pPr>
      <w:bookmarkStart w:id="4" w:name="_Toc22540"/>
      <w:r>
        <w:rPr>
          <w:rFonts w:hint="eastAsia" w:ascii="宋体" w:hAnsi="宋体" w:eastAsia="宋体" w:cs="宋体"/>
          <w:color w:val="auto"/>
          <w:sz w:val="24"/>
          <w:szCs w:val="24"/>
          <w:highlight w:val="none"/>
        </w:rPr>
        <w:t>附表二：商务技术评分及价格权重表（满分100分）</w:t>
      </w:r>
      <w:bookmarkEnd w:id="4"/>
    </w:p>
    <w:tbl>
      <w:tblPr>
        <w:tblStyle w:val="3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09"/>
        <w:gridCol w:w="734"/>
        <w:gridCol w:w="28"/>
        <w:gridCol w:w="5461"/>
      </w:tblGrid>
      <w:tr w14:paraId="16DB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721869D">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609" w:type="dxa"/>
            <w:tcBorders>
              <w:top w:val="single" w:color="auto" w:sz="4" w:space="0"/>
              <w:left w:val="single" w:color="auto" w:sz="4" w:space="0"/>
              <w:bottom w:val="single" w:color="auto" w:sz="4" w:space="0"/>
              <w:right w:val="single" w:color="auto" w:sz="4" w:space="0"/>
            </w:tcBorders>
            <w:vAlign w:val="center"/>
          </w:tcPr>
          <w:p w14:paraId="114FD901">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评审项目</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5F610695">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5461" w:type="dxa"/>
            <w:tcBorders>
              <w:top w:val="single" w:color="auto" w:sz="4" w:space="0"/>
              <w:left w:val="single" w:color="auto" w:sz="4" w:space="0"/>
              <w:bottom w:val="single" w:color="auto" w:sz="4" w:space="0"/>
              <w:right w:val="single" w:color="auto" w:sz="4" w:space="0"/>
            </w:tcBorders>
            <w:vAlign w:val="center"/>
          </w:tcPr>
          <w:p w14:paraId="53EB6D38">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评审细则</w:t>
            </w:r>
          </w:p>
        </w:tc>
      </w:tr>
      <w:tr w14:paraId="2E4D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522" w:type="dxa"/>
            <w:gridSpan w:val="5"/>
            <w:tcBorders>
              <w:top w:val="single" w:color="auto" w:sz="4" w:space="0"/>
              <w:left w:val="single" w:color="auto" w:sz="4" w:space="0"/>
              <w:bottom w:val="single" w:color="auto" w:sz="4" w:space="0"/>
              <w:right w:val="single" w:color="auto" w:sz="4" w:space="0"/>
            </w:tcBorders>
            <w:vAlign w:val="center"/>
          </w:tcPr>
          <w:p w14:paraId="6158E232">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商务评审（</w:t>
            </w:r>
            <w:r>
              <w:rPr>
                <w:rFonts w:hint="eastAsia" w:ascii="宋体" w:hAnsi="宋体" w:eastAsia="宋体" w:cs="宋体"/>
                <w:b/>
                <w:bCs/>
                <w:color w:val="auto"/>
                <w:sz w:val="21"/>
                <w:szCs w:val="21"/>
                <w:highlight w:val="none"/>
                <w:lang w:val="en-US" w:eastAsia="zh-CN"/>
              </w:rPr>
              <w:t>40</w:t>
            </w:r>
            <w:r>
              <w:rPr>
                <w:rFonts w:hint="eastAsia" w:ascii="宋体" w:hAnsi="宋体" w:eastAsia="宋体" w:cs="宋体"/>
                <w:b/>
                <w:bCs/>
                <w:color w:val="auto"/>
                <w:sz w:val="21"/>
                <w:szCs w:val="21"/>
                <w:highlight w:val="none"/>
              </w:rPr>
              <w:t>分）</w:t>
            </w:r>
          </w:p>
        </w:tc>
      </w:tr>
      <w:tr w14:paraId="05AB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right w:val="single" w:color="auto" w:sz="4" w:space="0"/>
            </w:tcBorders>
            <w:vAlign w:val="center"/>
          </w:tcPr>
          <w:p w14:paraId="39EE134C">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right w:val="single" w:color="auto" w:sz="4" w:space="0"/>
            </w:tcBorders>
            <w:vAlign w:val="center"/>
          </w:tcPr>
          <w:p w14:paraId="528121B2">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rPr>
              <w:t>体系</w:t>
            </w:r>
            <w:r>
              <w:rPr>
                <w:rFonts w:hint="eastAsia" w:ascii="宋体" w:hAnsi="宋体" w:eastAsia="宋体" w:cs="宋体"/>
                <w:color w:val="auto"/>
                <w:sz w:val="21"/>
                <w:szCs w:val="21"/>
                <w:highlight w:val="none"/>
                <w:u w:val="none"/>
                <w:lang w:eastAsia="zh-CN"/>
              </w:rPr>
              <w:t>认证</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4E7E586E">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lang w:val="en-US" w:eastAsia="zh-CN"/>
              </w:rPr>
              <w:t>3</w:t>
            </w:r>
          </w:p>
        </w:tc>
        <w:tc>
          <w:tcPr>
            <w:tcW w:w="5461" w:type="dxa"/>
            <w:tcBorders>
              <w:top w:val="single" w:color="auto" w:sz="4" w:space="0"/>
              <w:left w:val="single" w:color="auto" w:sz="4" w:space="0"/>
              <w:bottom w:val="single" w:color="auto" w:sz="4" w:space="0"/>
              <w:right w:val="single" w:color="auto" w:sz="4" w:space="0"/>
            </w:tcBorders>
            <w:vAlign w:val="center"/>
          </w:tcPr>
          <w:p w14:paraId="3E19F1F6">
            <w:pPr>
              <w:pStyle w:val="45"/>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投标人具有由国家认证认可监督管理部门批准设立的认证机构颁发的有效期内认证证书：</w:t>
            </w:r>
          </w:p>
          <w:p w14:paraId="298D3702">
            <w:pPr>
              <w:pStyle w:val="45"/>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①质量管理体系认证；</w:t>
            </w:r>
          </w:p>
          <w:p w14:paraId="098B8B12">
            <w:pPr>
              <w:pStyle w:val="45"/>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②环境管理体系认证；</w:t>
            </w:r>
          </w:p>
          <w:p w14:paraId="57A2C63E">
            <w:pPr>
              <w:pStyle w:val="45"/>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 w:val="21"/>
                <w:szCs w:val="21"/>
                <w:highlight w:val="none"/>
                <w:u w:val="none"/>
              </w:rPr>
            </w:pPr>
            <w:r>
              <w:rPr>
                <w:rFonts w:hint="eastAsia" w:ascii="宋体" w:hAnsi="宋体" w:eastAsia="宋体" w:cs="宋体"/>
                <w:bCs/>
                <w:color w:val="auto"/>
                <w:sz w:val="21"/>
                <w:szCs w:val="21"/>
                <w:highlight w:val="none"/>
                <w:u w:val="none"/>
              </w:rPr>
              <w:t>③职业健康安全管理体系认证；</w:t>
            </w:r>
          </w:p>
          <w:p w14:paraId="7EE64A9D">
            <w:pPr>
              <w:pStyle w:val="45"/>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bCs/>
                <w:color w:val="auto"/>
                <w:sz w:val="21"/>
                <w:szCs w:val="21"/>
                <w:highlight w:val="none"/>
                <w:u w:val="single"/>
                <w:lang w:val="zh-CN"/>
              </w:rPr>
            </w:pPr>
            <w:r>
              <w:rPr>
                <w:rFonts w:hint="eastAsia" w:ascii="宋体" w:hAnsi="宋体" w:eastAsia="宋体" w:cs="宋体"/>
                <w:b/>
                <w:bCs w:val="0"/>
                <w:color w:val="auto"/>
                <w:sz w:val="21"/>
                <w:szCs w:val="21"/>
                <w:highlight w:val="none"/>
                <w:u w:val="none"/>
                <w:lang w:val="zh-CN"/>
              </w:rPr>
              <w:t>注：</w:t>
            </w:r>
            <w:r>
              <w:rPr>
                <w:rFonts w:hint="eastAsia" w:ascii="宋体" w:hAnsi="宋体" w:eastAsia="宋体" w:cs="宋体"/>
                <w:b/>
                <w:bCs w:val="0"/>
                <w:color w:val="auto"/>
                <w:sz w:val="21"/>
                <w:szCs w:val="21"/>
                <w:highlight w:val="none"/>
                <w:u w:val="none"/>
              </w:rPr>
              <w:t>每提供一项得</w:t>
            </w:r>
            <w:r>
              <w:rPr>
                <w:rFonts w:hint="eastAsia" w:ascii="宋体" w:hAnsi="宋体" w:eastAsia="宋体" w:cs="宋体"/>
                <w:b/>
                <w:bCs w:val="0"/>
                <w:color w:val="auto"/>
                <w:sz w:val="21"/>
                <w:szCs w:val="21"/>
                <w:highlight w:val="none"/>
                <w:u w:val="none"/>
                <w:lang w:val="en-US" w:eastAsia="zh-CN"/>
              </w:rPr>
              <w:t>1</w:t>
            </w:r>
            <w:r>
              <w:rPr>
                <w:rFonts w:hint="eastAsia" w:ascii="宋体" w:hAnsi="宋体" w:eastAsia="宋体" w:cs="宋体"/>
                <w:b/>
                <w:bCs w:val="0"/>
                <w:color w:val="auto"/>
                <w:sz w:val="21"/>
                <w:szCs w:val="21"/>
                <w:highlight w:val="none"/>
                <w:u w:val="none"/>
              </w:rPr>
              <w:t>分，本项最高得</w:t>
            </w:r>
            <w:r>
              <w:rPr>
                <w:rFonts w:hint="eastAsia" w:ascii="宋体" w:hAnsi="宋体" w:eastAsia="宋体" w:cs="宋体"/>
                <w:b/>
                <w:bCs w:val="0"/>
                <w:color w:val="auto"/>
                <w:sz w:val="21"/>
                <w:szCs w:val="21"/>
                <w:highlight w:val="none"/>
                <w:u w:val="none"/>
                <w:lang w:val="en-US" w:eastAsia="zh-CN"/>
              </w:rPr>
              <w:t>3</w:t>
            </w:r>
            <w:r>
              <w:rPr>
                <w:rFonts w:hint="eastAsia" w:ascii="宋体" w:hAnsi="宋体" w:eastAsia="宋体" w:cs="宋体"/>
                <w:b/>
                <w:bCs w:val="0"/>
                <w:color w:val="auto"/>
                <w:sz w:val="21"/>
                <w:szCs w:val="21"/>
                <w:highlight w:val="none"/>
                <w:u w:val="none"/>
              </w:rPr>
              <w:t>分</w:t>
            </w:r>
            <w:r>
              <w:rPr>
                <w:rFonts w:hint="eastAsia" w:ascii="宋体" w:hAnsi="宋体" w:eastAsia="宋体" w:cs="宋体"/>
                <w:b/>
                <w:bCs w:val="0"/>
                <w:color w:val="auto"/>
                <w:sz w:val="21"/>
                <w:szCs w:val="21"/>
                <w:highlight w:val="none"/>
                <w:u w:val="none"/>
                <w:lang w:eastAsia="zh-CN"/>
              </w:rPr>
              <w:t>，须提供有效证书复印件及全国认证认可信息公共服务平台官网查询截图加盖投标人公章</w:t>
            </w:r>
            <w:r>
              <w:rPr>
                <w:rFonts w:hint="eastAsia" w:ascii="宋体" w:hAnsi="宋体" w:eastAsia="宋体" w:cs="宋体"/>
                <w:b/>
                <w:bCs w:val="0"/>
                <w:color w:val="auto"/>
                <w:sz w:val="21"/>
                <w:szCs w:val="21"/>
                <w:highlight w:val="none"/>
                <w:u w:val="none"/>
                <w:lang w:val="zh-CN"/>
              </w:rPr>
              <w:t>。</w:t>
            </w:r>
          </w:p>
        </w:tc>
      </w:tr>
      <w:tr w14:paraId="2782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89598D2">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09" w:type="dxa"/>
            <w:tcBorders>
              <w:top w:val="single" w:color="auto" w:sz="4" w:space="0"/>
              <w:left w:val="single" w:color="auto" w:sz="4" w:space="0"/>
              <w:bottom w:val="single" w:color="auto" w:sz="4" w:space="0"/>
              <w:right w:val="single" w:color="auto" w:sz="4" w:space="0"/>
            </w:tcBorders>
            <w:vAlign w:val="center"/>
          </w:tcPr>
          <w:p w14:paraId="6BD1E8B8">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rPr>
              <w:t>财务状况</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4C128BFE">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lang w:val="en-US" w:eastAsia="zh-CN"/>
              </w:rPr>
              <w:t>3</w:t>
            </w:r>
          </w:p>
        </w:tc>
        <w:tc>
          <w:tcPr>
            <w:tcW w:w="5461" w:type="dxa"/>
            <w:tcBorders>
              <w:top w:val="single" w:color="auto" w:sz="4" w:space="0"/>
              <w:left w:val="single" w:color="auto" w:sz="4" w:space="0"/>
              <w:bottom w:val="single" w:color="auto" w:sz="4" w:space="0"/>
              <w:right w:val="single" w:color="auto" w:sz="4" w:space="0"/>
            </w:tcBorders>
            <w:vAlign w:val="center"/>
          </w:tcPr>
          <w:p w14:paraId="51E70915">
            <w:pPr>
              <w:pStyle w:val="45"/>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Cs/>
                <w:color w:val="auto"/>
                <w:sz w:val="21"/>
                <w:szCs w:val="21"/>
                <w:highlight w:val="none"/>
                <w:u w:val="none"/>
                <w:lang w:val="zh-CN"/>
              </w:rPr>
            </w:pPr>
            <w:r>
              <w:rPr>
                <w:rFonts w:hint="eastAsia" w:ascii="宋体" w:hAnsi="宋体" w:eastAsia="宋体" w:cs="宋体"/>
                <w:bCs/>
                <w:color w:val="auto"/>
                <w:sz w:val="21"/>
                <w:szCs w:val="21"/>
                <w:highlight w:val="none"/>
                <w:u w:val="none"/>
                <w:lang w:val="zh-CN"/>
              </w:rPr>
              <w:t>根据各投标人</w:t>
            </w:r>
            <w:r>
              <w:rPr>
                <w:rFonts w:hint="eastAsia" w:ascii="宋体" w:hAnsi="宋体" w:eastAsia="宋体" w:cs="宋体"/>
                <w:bCs/>
                <w:color w:val="auto"/>
                <w:sz w:val="21"/>
                <w:szCs w:val="21"/>
                <w:highlight w:val="none"/>
                <w:u w:val="none"/>
                <w:lang w:val="en-US" w:eastAsia="zh-CN"/>
              </w:rPr>
              <w:t>202</w:t>
            </w:r>
            <w:r>
              <w:rPr>
                <w:rFonts w:hint="eastAsia" w:ascii="宋体" w:eastAsia="宋体" w:cs="宋体"/>
                <w:bCs/>
                <w:color w:val="auto"/>
                <w:sz w:val="21"/>
                <w:szCs w:val="21"/>
                <w:highlight w:val="none"/>
                <w:u w:val="none"/>
                <w:lang w:val="en-US" w:eastAsia="zh-CN"/>
              </w:rPr>
              <w:t>3</w:t>
            </w:r>
            <w:r>
              <w:rPr>
                <w:rFonts w:hint="eastAsia" w:ascii="宋体" w:hAnsi="宋体" w:eastAsia="宋体" w:cs="宋体"/>
                <w:bCs/>
                <w:color w:val="auto"/>
                <w:sz w:val="21"/>
                <w:szCs w:val="21"/>
                <w:highlight w:val="none"/>
                <w:u w:val="none"/>
                <w:lang w:val="zh-CN"/>
              </w:rPr>
              <w:t>年</w:t>
            </w:r>
            <w:r>
              <w:rPr>
                <w:rFonts w:hint="eastAsia" w:ascii="宋体" w:hAnsi="宋体" w:eastAsia="宋体" w:cs="宋体"/>
                <w:bCs/>
                <w:color w:val="auto"/>
                <w:sz w:val="21"/>
                <w:szCs w:val="21"/>
                <w:highlight w:val="none"/>
                <w:u w:val="none"/>
                <w:lang w:val="en-US" w:eastAsia="zh-CN"/>
              </w:rPr>
              <w:t>1月1日</w:t>
            </w:r>
            <w:r>
              <w:rPr>
                <w:rFonts w:hint="eastAsia" w:ascii="宋体" w:hAnsi="宋体" w:eastAsia="宋体" w:cs="宋体"/>
                <w:bCs/>
                <w:color w:val="auto"/>
                <w:sz w:val="21"/>
                <w:szCs w:val="21"/>
                <w:highlight w:val="none"/>
                <w:u w:val="none"/>
                <w:lang w:val="zh-CN"/>
              </w:rPr>
              <w:t>至今的财务状况进行评价，三年盈利得</w:t>
            </w:r>
            <w:r>
              <w:rPr>
                <w:rFonts w:hint="eastAsia" w:ascii="宋体" w:hAnsi="宋体" w:eastAsia="宋体" w:cs="宋体"/>
                <w:bCs/>
                <w:color w:val="auto"/>
                <w:sz w:val="21"/>
                <w:szCs w:val="21"/>
                <w:highlight w:val="none"/>
                <w:u w:val="none"/>
                <w:lang w:val="en-US" w:eastAsia="zh-CN"/>
              </w:rPr>
              <w:t>3</w:t>
            </w:r>
            <w:r>
              <w:rPr>
                <w:rFonts w:hint="eastAsia" w:ascii="宋体" w:hAnsi="宋体" w:eastAsia="宋体" w:cs="宋体"/>
                <w:bCs/>
                <w:color w:val="auto"/>
                <w:sz w:val="21"/>
                <w:szCs w:val="21"/>
                <w:highlight w:val="none"/>
                <w:u w:val="none"/>
                <w:lang w:val="zh-CN"/>
              </w:rPr>
              <w:t>分，两年盈利得</w:t>
            </w:r>
            <w:r>
              <w:rPr>
                <w:rFonts w:hint="eastAsia" w:ascii="宋体" w:hAnsi="宋体" w:eastAsia="宋体" w:cs="宋体"/>
                <w:bCs/>
                <w:color w:val="auto"/>
                <w:sz w:val="21"/>
                <w:szCs w:val="21"/>
                <w:highlight w:val="none"/>
                <w:u w:val="none"/>
                <w:lang w:val="en-US" w:eastAsia="zh-CN"/>
              </w:rPr>
              <w:t>2</w:t>
            </w:r>
            <w:r>
              <w:rPr>
                <w:rFonts w:hint="eastAsia" w:ascii="宋体" w:hAnsi="宋体" w:eastAsia="宋体" w:cs="宋体"/>
                <w:bCs/>
                <w:color w:val="auto"/>
                <w:sz w:val="21"/>
                <w:szCs w:val="21"/>
                <w:highlight w:val="none"/>
                <w:u w:val="none"/>
                <w:lang w:val="zh-CN"/>
              </w:rPr>
              <w:t>分，一年盈利得</w:t>
            </w:r>
            <w:r>
              <w:rPr>
                <w:rFonts w:hint="eastAsia" w:ascii="宋体" w:hAnsi="宋体" w:eastAsia="宋体" w:cs="宋体"/>
                <w:bCs/>
                <w:color w:val="auto"/>
                <w:sz w:val="21"/>
                <w:szCs w:val="21"/>
                <w:highlight w:val="none"/>
                <w:u w:val="none"/>
                <w:lang w:val="en-US" w:eastAsia="zh-CN"/>
              </w:rPr>
              <w:t>1</w:t>
            </w:r>
            <w:r>
              <w:rPr>
                <w:rFonts w:hint="eastAsia" w:ascii="宋体" w:hAnsi="宋体" w:eastAsia="宋体" w:cs="宋体"/>
                <w:bCs/>
                <w:color w:val="auto"/>
                <w:sz w:val="21"/>
                <w:szCs w:val="21"/>
                <w:highlight w:val="none"/>
                <w:u w:val="none"/>
                <w:lang w:val="zh-CN"/>
              </w:rPr>
              <w:t>分，无盈利不得分。</w:t>
            </w:r>
          </w:p>
          <w:p w14:paraId="54EE3FF8">
            <w:pPr>
              <w:pStyle w:val="45"/>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eastAsia="宋体" w:cs="宋体"/>
                <w:color w:val="auto"/>
                <w:highlight w:val="none"/>
                <w:u w:val="single"/>
              </w:rPr>
            </w:pPr>
            <w:r>
              <w:rPr>
                <w:rFonts w:hint="eastAsia" w:ascii="宋体" w:hAnsi="宋体" w:eastAsia="宋体" w:cs="宋体"/>
                <w:b/>
                <w:color w:val="auto"/>
                <w:sz w:val="21"/>
                <w:szCs w:val="21"/>
                <w:highlight w:val="none"/>
                <w:u w:val="none"/>
                <w:lang w:val="zh-CN"/>
              </w:rPr>
              <w:t>注：须提供</w:t>
            </w:r>
            <w:r>
              <w:rPr>
                <w:rFonts w:hint="eastAsia" w:ascii="宋体" w:hAnsi="宋体" w:eastAsia="宋体" w:cs="宋体"/>
                <w:b/>
                <w:bCs/>
                <w:color w:val="auto"/>
                <w:sz w:val="21"/>
                <w:szCs w:val="21"/>
                <w:highlight w:val="none"/>
                <w:u w:val="none"/>
              </w:rPr>
              <w:t>会计师事务所审计的</w:t>
            </w:r>
            <w:r>
              <w:rPr>
                <w:rFonts w:hint="eastAsia" w:ascii="宋体" w:hAnsi="宋体" w:eastAsia="宋体" w:cs="宋体"/>
                <w:b/>
                <w:bCs/>
                <w:color w:val="auto"/>
                <w:sz w:val="21"/>
                <w:szCs w:val="21"/>
                <w:highlight w:val="none"/>
                <w:u w:val="none"/>
                <w:lang w:eastAsia="zh-CN"/>
              </w:rPr>
              <w:t>完整的</w:t>
            </w:r>
            <w:r>
              <w:rPr>
                <w:rFonts w:hint="eastAsia" w:ascii="宋体" w:hAnsi="宋体" w:eastAsia="宋体" w:cs="宋体"/>
                <w:b/>
                <w:bCs/>
                <w:color w:val="auto"/>
                <w:sz w:val="21"/>
                <w:szCs w:val="21"/>
                <w:highlight w:val="none"/>
                <w:u w:val="none"/>
              </w:rPr>
              <w:t>财务报表复印件加盖投标人公章</w:t>
            </w:r>
            <w:r>
              <w:rPr>
                <w:rFonts w:hint="eastAsia" w:ascii="宋体" w:hAnsi="宋体" w:eastAsia="宋体" w:cs="宋体"/>
                <w:b/>
                <w:bCs/>
                <w:color w:val="auto"/>
                <w:sz w:val="21"/>
                <w:szCs w:val="21"/>
                <w:highlight w:val="none"/>
                <w:u w:val="none"/>
                <w:lang w:eastAsia="zh-CN"/>
              </w:rPr>
              <w:t>。</w:t>
            </w:r>
          </w:p>
        </w:tc>
      </w:tr>
      <w:tr w14:paraId="15BE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2CD200A">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09" w:type="dxa"/>
            <w:tcBorders>
              <w:top w:val="single" w:color="auto" w:sz="4" w:space="0"/>
              <w:left w:val="single" w:color="auto" w:sz="4" w:space="0"/>
              <w:bottom w:val="single" w:color="auto" w:sz="4" w:space="0"/>
              <w:right w:val="single" w:color="auto" w:sz="4" w:space="0"/>
            </w:tcBorders>
            <w:vAlign w:val="center"/>
          </w:tcPr>
          <w:p w14:paraId="12C67CDF">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lang w:eastAsia="zh-CN"/>
              </w:rPr>
              <w:t>同类</w:t>
            </w:r>
            <w:r>
              <w:rPr>
                <w:rFonts w:hint="eastAsia" w:ascii="宋体" w:hAnsi="宋体" w:eastAsia="宋体" w:cs="宋体"/>
                <w:color w:val="auto"/>
                <w:sz w:val="21"/>
                <w:szCs w:val="21"/>
                <w:highlight w:val="none"/>
                <w:u w:val="none"/>
              </w:rPr>
              <w:t>业绩</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3D91E8DF">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auto"/>
                <w:highlight w:val="none"/>
                <w:u w:val="single"/>
                <w:lang w:val="en-US"/>
              </w:rPr>
            </w:pPr>
            <w:r>
              <w:rPr>
                <w:rFonts w:hint="eastAsia" w:ascii="宋体" w:eastAsia="宋体" w:cs="宋体"/>
                <w:color w:val="auto"/>
                <w:sz w:val="21"/>
                <w:szCs w:val="21"/>
                <w:highlight w:val="none"/>
                <w:u w:val="none"/>
                <w:lang w:val="en-US" w:eastAsia="zh-CN"/>
              </w:rPr>
              <w:t>20</w:t>
            </w:r>
          </w:p>
        </w:tc>
        <w:tc>
          <w:tcPr>
            <w:tcW w:w="5461" w:type="dxa"/>
            <w:tcBorders>
              <w:top w:val="single" w:color="auto" w:sz="4" w:space="0"/>
              <w:left w:val="single" w:color="auto" w:sz="4" w:space="0"/>
              <w:bottom w:val="single" w:color="auto" w:sz="4" w:space="0"/>
              <w:right w:val="single" w:color="auto" w:sz="4" w:space="0"/>
            </w:tcBorders>
            <w:vAlign w:val="center"/>
          </w:tcPr>
          <w:p w14:paraId="321D48AD">
            <w:pPr>
              <w:keepNext w:val="0"/>
              <w:keepLines w:val="0"/>
              <w:pageBreakBefore w:val="0"/>
              <w:numPr>
                <w:ilvl w:val="-1"/>
                <w:numId w:val="0"/>
              </w:numPr>
              <w:kinsoku/>
              <w:wordWrap/>
              <w:overflowPunct/>
              <w:topLinePunct w:val="0"/>
              <w:autoSpaceDE/>
              <w:autoSpaceDN/>
              <w:bidi w:val="0"/>
              <w:snapToGrid w:val="0"/>
              <w:spacing w:line="360" w:lineRule="auto"/>
              <w:ind w:left="0" w:firstLine="420" w:firstLineChars="200"/>
              <w:textAlignment w:val="auto"/>
              <w:rPr>
                <w:rFonts w:hint="eastAsia" w:ascii="宋体" w:hAnsi="宋体" w:eastAsia="宋体" w:cs="宋体"/>
                <w:bCs/>
                <w:color w:val="auto"/>
                <w:sz w:val="21"/>
                <w:szCs w:val="21"/>
                <w:highlight w:val="none"/>
                <w:u w:val="none"/>
                <w:lang w:val="zh-CN"/>
              </w:rPr>
            </w:pPr>
            <w:r>
              <w:rPr>
                <w:rFonts w:hint="eastAsia" w:ascii="宋体" w:hAnsi="宋体" w:cs="宋体"/>
                <w:color w:val="auto"/>
                <w:highlight w:val="none"/>
                <w:lang w:val="en-US" w:eastAsia="zh-CN"/>
              </w:rPr>
              <w:t>1.</w:t>
            </w:r>
            <w:r>
              <w:rPr>
                <w:rFonts w:hint="eastAsia" w:ascii="宋体" w:hAnsi="宋体" w:eastAsia="宋体" w:cs="宋体"/>
                <w:color w:val="auto"/>
                <w:highlight w:val="none"/>
              </w:rPr>
              <w:t>投标人须具有自202</w:t>
            </w:r>
            <w:r>
              <w:rPr>
                <w:rFonts w:hint="eastAsia" w:ascii="宋体" w:hAnsi="宋体" w:cs="宋体"/>
                <w:color w:val="auto"/>
                <w:highlight w:val="none"/>
                <w:lang w:val="en-US" w:eastAsia="zh-CN"/>
              </w:rPr>
              <w:t>3</w:t>
            </w:r>
            <w:r>
              <w:rPr>
                <w:rFonts w:hint="eastAsia" w:ascii="宋体" w:hAnsi="宋体" w:eastAsia="宋体" w:cs="宋体"/>
                <w:color w:val="auto"/>
                <w:highlight w:val="none"/>
              </w:rPr>
              <w:t>年1月1日至今的单台焚烧炉处理规模</w:t>
            </w:r>
            <w:r>
              <w:rPr>
                <w:rFonts w:hint="eastAsia" w:ascii="宋体" w:hAnsi="宋体" w:cs="宋体"/>
                <w:color w:val="auto"/>
                <w:highlight w:val="none"/>
                <w:lang w:val="en-US" w:eastAsia="zh-CN"/>
              </w:rPr>
              <w:t>5</w:t>
            </w:r>
            <w:r>
              <w:rPr>
                <w:rFonts w:hint="eastAsia" w:ascii="宋体" w:hAnsi="宋体" w:eastAsia="宋体" w:cs="宋体"/>
                <w:color w:val="auto"/>
                <w:highlight w:val="none"/>
              </w:rPr>
              <w:t>00吨/日及以上垃圾焚烧发电厂大修（即《CJJ 231 - 2015生活垃圾焚烧厂检修规程》B级或以上维修服务）业绩</w:t>
            </w:r>
            <w:r>
              <w:rPr>
                <w:rFonts w:hint="eastAsia" w:ascii="宋体" w:hAnsi="宋体" w:eastAsia="宋体" w:cs="宋体"/>
                <w:bCs/>
                <w:color w:val="auto"/>
                <w:sz w:val="21"/>
                <w:szCs w:val="21"/>
                <w:highlight w:val="none"/>
                <w:u w:val="none"/>
                <w:lang w:val="zh-CN" w:eastAsia="zh-CN"/>
              </w:rPr>
              <w:t>每提供一个合同业绩得</w:t>
            </w:r>
            <w:r>
              <w:rPr>
                <w:rFonts w:hint="eastAsia" w:ascii="宋体" w:hAnsi="宋体" w:cs="宋体"/>
                <w:bCs/>
                <w:color w:val="auto"/>
                <w:sz w:val="21"/>
                <w:szCs w:val="21"/>
                <w:highlight w:val="none"/>
                <w:u w:val="none"/>
                <w:lang w:val="en-US" w:eastAsia="zh-CN"/>
              </w:rPr>
              <w:t>3</w:t>
            </w:r>
            <w:r>
              <w:rPr>
                <w:rFonts w:hint="eastAsia" w:ascii="宋体" w:hAnsi="宋体" w:eastAsia="宋体" w:cs="宋体"/>
                <w:bCs/>
                <w:color w:val="auto"/>
                <w:sz w:val="21"/>
                <w:szCs w:val="21"/>
                <w:highlight w:val="none"/>
                <w:u w:val="none"/>
                <w:lang w:val="zh-CN" w:eastAsia="zh-CN"/>
              </w:rPr>
              <w:t>分，本项最高得</w:t>
            </w:r>
            <w:r>
              <w:rPr>
                <w:rFonts w:hint="eastAsia" w:ascii="宋体" w:hAnsi="宋体" w:eastAsia="宋体" w:cs="宋体"/>
                <w:bCs/>
                <w:color w:val="auto"/>
                <w:sz w:val="21"/>
                <w:szCs w:val="21"/>
                <w:highlight w:val="none"/>
                <w:u w:val="none"/>
                <w:lang w:val="en-US" w:eastAsia="zh-CN"/>
              </w:rPr>
              <w:t>1</w:t>
            </w:r>
            <w:r>
              <w:rPr>
                <w:rFonts w:hint="eastAsia" w:ascii="宋体" w:hAnsi="宋体" w:cs="宋体"/>
                <w:bCs/>
                <w:color w:val="auto"/>
                <w:sz w:val="21"/>
                <w:szCs w:val="21"/>
                <w:highlight w:val="none"/>
                <w:u w:val="none"/>
                <w:lang w:val="en-US" w:eastAsia="zh-CN"/>
              </w:rPr>
              <w:t>5</w:t>
            </w:r>
            <w:r>
              <w:rPr>
                <w:rFonts w:hint="eastAsia" w:ascii="宋体" w:hAnsi="宋体" w:eastAsia="宋体" w:cs="宋体"/>
                <w:bCs/>
                <w:color w:val="auto"/>
                <w:sz w:val="21"/>
                <w:szCs w:val="21"/>
                <w:highlight w:val="none"/>
                <w:u w:val="none"/>
                <w:lang w:val="zh-CN" w:eastAsia="zh-CN"/>
              </w:rPr>
              <w:t>分</w:t>
            </w:r>
            <w:r>
              <w:rPr>
                <w:rFonts w:hint="eastAsia" w:ascii="宋体" w:hAnsi="宋体" w:cs="宋体"/>
                <w:bCs/>
                <w:color w:val="auto"/>
                <w:sz w:val="21"/>
                <w:szCs w:val="21"/>
                <w:highlight w:val="none"/>
                <w:u w:val="none"/>
                <w:lang w:val="zh-CN" w:eastAsia="zh-CN"/>
              </w:rPr>
              <w:t>（</w:t>
            </w:r>
            <w:r>
              <w:rPr>
                <w:rFonts w:hint="eastAsia" w:ascii="宋体" w:hAnsi="宋体" w:cs="宋体"/>
                <w:bCs/>
                <w:color w:val="auto"/>
                <w:sz w:val="21"/>
                <w:szCs w:val="21"/>
                <w:highlight w:val="none"/>
                <w:u w:val="none"/>
                <w:lang w:val="en-US" w:eastAsia="zh-CN"/>
              </w:rPr>
              <w:t>投标人为满足投标</w:t>
            </w:r>
            <w:r>
              <w:rPr>
                <w:rFonts w:hint="eastAsia" w:ascii="宋体" w:hAnsi="宋体" w:cs="宋体"/>
                <w:bCs/>
                <w:color w:val="auto"/>
                <w:sz w:val="21"/>
                <w:szCs w:val="21"/>
                <w:highlight w:val="none"/>
                <w:u w:val="none"/>
                <w:lang w:val="zh-CN" w:eastAsia="zh-CN"/>
              </w:rPr>
              <w:t>资格条件所提供的业绩不</w:t>
            </w:r>
            <w:r>
              <w:rPr>
                <w:rFonts w:hint="eastAsia" w:ascii="宋体" w:hAnsi="宋体" w:cs="宋体"/>
                <w:bCs/>
                <w:color w:val="auto"/>
                <w:sz w:val="21"/>
                <w:szCs w:val="21"/>
                <w:highlight w:val="none"/>
                <w:u w:val="none"/>
                <w:lang w:val="en-US" w:eastAsia="zh-CN"/>
              </w:rPr>
              <w:t>计入本项分数</w:t>
            </w:r>
            <w:r>
              <w:rPr>
                <w:rFonts w:hint="eastAsia" w:ascii="宋体" w:hAnsi="宋体" w:cs="宋体"/>
                <w:bCs/>
                <w:color w:val="auto"/>
                <w:sz w:val="21"/>
                <w:szCs w:val="21"/>
                <w:highlight w:val="none"/>
                <w:u w:val="none"/>
                <w:lang w:val="zh-CN" w:eastAsia="zh-CN"/>
              </w:rPr>
              <w:t>）</w:t>
            </w:r>
            <w:r>
              <w:rPr>
                <w:rFonts w:hint="eastAsia" w:ascii="宋体" w:hAnsi="宋体" w:eastAsia="宋体" w:cs="宋体"/>
                <w:bCs/>
                <w:color w:val="auto"/>
                <w:sz w:val="21"/>
                <w:szCs w:val="21"/>
                <w:highlight w:val="none"/>
                <w:u w:val="none"/>
                <w:lang w:val="zh-CN"/>
              </w:rPr>
              <w:t>。</w:t>
            </w:r>
          </w:p>
          <w:p w14:paraId="25C70472">
            <w:pPr>
              <w:pStyle w:val="10"/>
              <w:numPr>
                <w:ilvl w:val="-1"/>
                <w:numId w:val="0"/>
              </w:numPr>
              <w:ind w:left="0" w:firstLine="420" w:firstLineChars="200"/>
              <w:rPr>
                <w:rFonts w:hint="eastAsia"/>
                <w:color w:val="auto"/>
                <w:sz w:val="21"/>
                <w:szCs w:val="21"/>
                <w:highlight w:val="none"/>
                <w:lang w:val="en-US" w:eastAsia="zh-CN"/>
              </w:rPr>
            </w:pPr>
            <w:r>
              <w:rPr>
                <w:rFonts w:hint="eastAsia" w:cs="宋体"/>
                <w:bCs/>
                <w:color w:val="auto"/>
                <w:sz w:val="21"/>
                <w:szCs w:val="21"/>
                <w:highlight w:val="none"/>
                <w:lang w:val="en-US" w:eastAsia="zh-CN"/>
              </w:rPr>
              <w:t>2.</w:t>
            </w:r>
            <w:r>
              <w:rPr>
                <w:rFonts w:hint="eastAsia" w:ascii="宋体" w:hAnsi="宋体" w:eastAsia="宋体" w:cs="宋体"/>
                <w:bCs/>
                <w:color w:val="auto"/>
                <w:sz w:val="21"/>
                <w:szCs w:val="21"/>
                <w:highlight w:val="none"/>
              </w:rPr>
              <w:t>对投标人20</w:t>
            </w:r>
            <w:r>
              <w:rPr>
                <w:rFonts w:hint="eastAsia" w:ascii="宋体" w:eastAsia="宋体" w:cs="宋体"/>
                <w:bCs/>
                <w:color w:val="auto"/>
                <w:sz w:val="21"/>
                <w:szCs w:val="21"/>
                <w:highlight w:val="none"/>
                <w:lang w:val="en-US" w:eastAsia="zh-CN"/>
              </w:rPr>
              <w:t>2</w:t>
            </w:r>
            <w:r>
              <w:rPr>
                <w:rFonts w:hint="eastAsia" w:cs="宋体"/>
                <w:bCs/>
                <w:color w:val="auto"/>
                <w:sz w:val="21"/>
                <w:szCs w:val="21"/>
                <w:highlight w:val="none"/>
                <w:lang w:val="en-US" w:eastAsia="zh-CN"/>
              </w:rPr>
              <w:t>3</w:t>
            </w:r>
            <w:r>
              <w:rPr>
                <w:rFonts w:hint="eastAsia" w:ascii="宋体" w:hAnsi="宋体" w:eastAsia="宋体" w:cs="宋体"/>
                <w:bCs/>
                <w:color w:val="auto"/>
                <w:sz w:val="21"/>
                <w:szCs w:val="21"/>
                <w:highlight w:val="none"/>
              </w:rPr>
              <w:t>年1月1日至今的服务业绩质量进行评价，每提供一份采购人评</w:t>
            </w:r>
            <w:r>
              <w:rPr>
                <w:rFonts w:hint="eastAsia"/>
                <w:color w:val="auto"/>
                <w:sz w:val="21"/>
                <w:szCs w:val="21"/>
                <w:highlight w:val="none"/>
                <w:lang w:val="en-US" w:eastAsia="zh-CN"/>
              </w:rPr>
              <w:t>价为好评或满意的评价表得1分，最高得5分。（须提供业绩合同、采购人加盖公章的评价表复印件及采购人的联系方式）</w:t>
            </w:r>
          </w:p>
          <w:p w14:paraId="6A1BDC76">
            <w:pPr>
              <w:pStyle w:val="4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Cs/>
                <w:color w:val="auto"/>
                <w:sz w:val="21"/>
                <w:szCs w:val="21"/>
                <w:highlight w:val="none"/>
                <w:u w:val="single"/>
                <w:lang w:val="zh-CN"/>
              </w:rPr>
            </w:pPr>
            <w:r>
              <w:rPr>
                <w:rFonts w:hint="eastAsia" w:ascii="宋体" w:hAnsi="宋体" w:eastAsia="宋体" w:cs="宋体"/>
                <w:b/>
                <w:color w:val="auto"/>
                <w:sz w:val="21"/>
                <w:szCs w:val="21"/>
                <w:highlight w:val="none"/>
                <w:u w:val="none"/>
                <w:lang w:val="zh-CN" w:eastAsia="zh-CN"/>
              </w:rPr>
              <w:t>注：以合同签订时间为准，须提供合同关键页及任一期发票复印件；合同未体现上述业绩要求的，投标人须提供能体现相关信息的经业主</w:t>
            </w:r>
            <w:r>
              <w:rPr>
                <w:rFonts w:hint="eastAsia" w:ascii="宋体" w:hAnsi="宋体" w:eastAsia="宋体" w:cs="宋体"/>
                <w:b/>
                <w:color w:val="auto"/>
                <w:sz w:val="21"/>
                <w:szCs w:val="21"/>
                <w:highlight w:val="none"/>
                <w:u w:val="none"/>
                <w:lang w:val="zh-CN" w:eastAsia="zh-CN"/>
              </w:rPr>
              <w:t>盖</w:t>
            </w:r>
            <w:r>
              <w:rPr>
                <w:rFonts w:hint="eastAsia" w:ascii="宋体" w:eastAsia="宋体" w:cs="宋体"/>
                <w:b/>
                <w:color w:val="auto"/>
                <w:sz w:val="21"/>
                <w:szCs w:val="21"/>
                <w:highlight w:val="none"/>
                <w:u w:val="none"/>
                <w:lang w:val="en-US" w:eastAsia="zh-CN"/>
              </w:rPr>
              <w:t>公</w:t>
            </w:r>
            <w:r>
              <w:rPr>
                <w:rFonts w:hint="eastAsia" w:ascii="宋体" w:hAnsi="宋体" w:eastAsia="宋体" w:cs="宋体"/>
                <w:b/>
                <w:color w:val="auto"/>
                <w:sz w:val="21"/>
                <w:szCs w:val="21"/>
                <w:highlight w:val="none"/>
                <w:u w:val="none"/>
                <w:lang w:val="zh-CN" w:eastAsia="zh-CN"/>
              </w:rPr>
              <w:t>章</w:t>
            </w:r>
            <w:r>
              <w:rPr>
                <w:rFonts w:hint="eastAsia" w:ascii="宋体" w:hAnsi="宋体" w:eastAsia="宋体" w:cs="宋体"/>
                <w:b/>
                <w:color w:val="auto"/>
                <w:sz w:val="21"/>
                <w:szCs w:val="21"/>
                <w:highlight w:val="none"/>
                <w:u w:val="none"/>
                <w:lang w:val="zh-CN" w:eastAsia="zh-CN"/>
              </w:rPr>
              <w:t>的证明或验收资料等有效佐证资料。</w:t>
            </w:r>
          </w:p>
        </w:tc>
      </w:tr>
      <w:tr w14:paraId="519B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6ACA2E4">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09" w:type="dxa"/>
            <w:tcBorders>
              <w:top w:val="single" w:color="auto" w:sz="4" w:space="0"/>
              <w:left w:val="single" w:color="auto" w:sz="4" w:space="0"/>
              <w:bottom w:val="single" w:color="auto" w:sz="4" w:space="0"/>
              <w:right w:val="single" w:color="auto" w:sz="4" w:space="0"/>
            </w:tcBorders>
            <w:vAlign w:val="center"/>
          </w:tcPr>
          <w:p w14:paraId="4EB7E9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2"/>
                <w:szCs w:val="21"/>
                <w:highlight w:val="none"/>
              </w:rPr>
              <w:t>人员配备情况</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1535203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Cs w:val="21"/>
                <w:highlight w:val="none"/>
                <w:lang w:val="en-US" w:eastAsia="zh-CN"/>
              </w:rPr>
              <w:t>11</w:t>
            </w:r>
          </w:p>
        </w:tc>
        <w:tc>
          <w:tcPr>
            <w:tcW w:w="5461" w:type="dxa"/>
            <w:tcBorders>
              <w:top w:val="single" w:color="auto" w:sz="4" w:space="0"/>
              <w:left w:val="single" w:color="auto" w:sz="4" w:space="0"/>
              <w:bottom w:val="single" w:color="auto" w:sz="4" w:space="0"/>
              <w:right w:val="single" w:color="auto" w:sz="4" w:space="0"/>
            </w:tcBorders>
            <w:vAlign w:val="center"/>
          </w:tcPr>
          <w:p w14:paraId="691F9DC6">
            <w:pPr>
              <w:keepNext w:val="0"/>
              <w:keepLines w:val="0"/>
              <w:pageBreakBefore w:val="0"/>
              <w:numPr>
                <w:ilvl w:val="0"/>
                <w:numId w:val="0"/>
              </w:numPr>
              <w:kinsoku/>
              <w:wordWrap/>
              <w:overflowPunct/>
              <w:topLinePunct w:val="0"/>
              <w:autoSpaceDE/>
              <w:autoSpaceDN/>
              <w:bidi w:val="0"/>
              <w:snapToGrid w:val="0"/>
              <w:spacing w:line="360" w:lineRule="auto"/>
              <w:textAlignment w:val="auto"/>
              <w:rPr>
                <w:rFonts w:hint="eastAsia" w:ascii="宋体" w:hAnsi="宋体" w:eastAsia="宋体" w:cs="宋体"/>
                <w:color w:val="auto"/>
                <w:highlight w:val="none"/>
                <w:lang w:val="zh-CN" w:eastAsia="zh-CN"/>
              </w:rPr>
            </w:pPr>
            <w:r>
              <w:rPr>
                <w:rFonts w:hint="eastAsia" w:ascii="宋体" w:hAnsi="宋体" w:eastAsia="宋体" w:cs="宋体"/>
                <w:color w:val="auto"/>
                <w:highlight w:val="none"/>
                <w:lang w:val="zh-CN" w:eastAsia="zh-CN"/>
              </w:rPr>
              <w:t>根据</w:t>
            </w:r>
            <w:r>
              <w:rPr>
                <w:rFonts w:hint="eastAsia" w:ascii="宋体" w:hAnsi="宋体" w:eastAsia="宋体" w:cs="宋体"/>
                <w:color w:val="auto"/>
                <w:highlight w:val="none"/>
                <w:lang w:val="en-US" w:eastAsia="zh-CN"/>
              </w:rPr>
              <w:t>投标人</w:t>
            </w:r>
            <w:r>
              <w:rPr>
                <w:rFonts w:hint="eastAsia" w:ascii="宋体" w:hAnsi="宋体" w:eastAsia="宋体" w:cs="宋体"/>
                <w:color w:val="auto"/>
                <w:highlight w:val="none"/>
                <w:lang w:val="zh-CN" w:eastAsia="zh-CN"/>
              </w:rPr>
              <w:t>企业人员实力情况进行评审：</w:t>
            </w:r>
          </w:p>
          <w:p w14:paraId="6CA5E8CB">
            <w:pPr>
              <w:keepNext w:val="0"/>
              <w:keepLines w:val="0"/>
              <w:pageBreakBefore w:val="0"/>
              <w:numPr>
                <w:ilvl w:val="0"/>
                <w:numId w:val="0"/>
              </w:numPr>
              <w:kinsoku/>
              <w:wordWrap/>
              <w:overflowPunct/>
              <w:topLinePunct w:val="0"/>
              <w:autoSpaceDE/>
              <w:autoSpaceDN/>
              <w:bidi w:val="0"/>
              <w:snapToGrid w:val="0"/>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zh-CN" w:eastAsia="zh-CN"/>
              </w:rPr>
              <w:t>①</w:t>
            </w:r>
            <w:r>
              <w:rPr>
                <w:rFonts w:hint="eastAsia" w:ascii="宋体" w:hAnsi="宋体" w:eastAsia="宋体" w:cs="宋体"/>
                <w:color w:val="auto"/>
                <w:highlight w:val="none"/>
                <w:lang w:val="en-US" w:eastAsia="zh-CN"/>
              </w:rPr>
              <w:t>拟派本项目项目经理（或项目负责人）</w:t>
            </w:r>
            <w:r>
              <w:rPr>
                <w:rFonts w:hint="eastAsia" w:ascii="宋体" w:hAnsi="宋体" w:eastAsia="宋体" w:cs="宋体"/>
                <w:color w:val="auto"/>
                <w:highlight w:val="none"/>
                <w:lang w:val="zh-CN" w:eastAsia="zh-CN"/>
              </w:rPr>
              <w:t>具有</w:t>
            </w:r>
            <w:r>
              <w:rPr>
                <w:rFonts w:hint="eastAsia" w:ascii="宋体" w:hAnsi="宋体" w:eastAsia="宋体" w:cs="宋体"/>
                <w:color w:val="auto"/>
                <w:highlight w:val="none"/>
                <w:lang w:val="en-US" w:eastAsia="zh-CN"/>
              </w:rPr>
              <w:t>人力资源和社会保障部门颁发的机电</w:t>
            </w:r>
            <w:r>
              <w:rPr>
                <w:rFonts w:hint="eastAsia" w:ascii="宋体" w:hAnsi="宋体" w:eastAsia="宋体" w:cs="宋体"/>
                <w:color w:val="auto"/>
                <w:highlight w:val="none"/>
                <w:lang w:val="zh-CN" w:eastAsia="zh-CN"/>
              </w:rPr>
              <w:t>工程类</w:t>
            </w:r>
            <w:r>
              <w:rPr>
                <w:rFonts w:hint="eastAsia" w:ascii="宋体" w:hAnsi="宋体" w:cs="宋体"/>
                <w:color w:val="auto"/>
                <w:highlight w:val="none"/>
                <w:lang w:val="en-US" w:eastAsia="zh-CN"/>
              </w:rPr>
              <w:t>或电力工程类</w:t>
            </w:r>
            <w:r>
              <w:rPr>
                <w:rFonts w:hint="eastAsia" w:ascii="宋体" w:hAnsi="宋体" w:eastAsia="宋体" w:cs="宋体"/>
                <w:color w:val="auto"/>
                <w:highlight w:val="none"/>
                <w:lang w:val="en-US" w:eastAsia="zh-CN"/>
              </w:rPr>
              <w:t>中级职称得1分，高级职称得2分，最高得2分</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lang w:val="en-US" w:eastAsia="zh-CN"/>
              </w:rPr>
              <w:t>项目经理（或项目负责人）</w:t>
            </w:r>
            <w:r>
              <w:rPr>
                <w:rFonts w:hint="eastAsia" w:ascii="宋体" w:hAnsi="宋体" w:eastAsia="宋体" w:cs="宋体"/>
                <w:color w:val="auto"/>
                <w:highlight w:val="none"/>
                <w:lang w:val="zh-CN" w:eastAsia="zh-CN"/>
              </w:rPr>
              <w:t>具有</w:t>
            </w:r>
            <w:r>
              <w:rPr>
                <w:rFonts w:hint="eastAsia" w:ascii="宋体" w:hAnsi="宋体" w:eastAsia="宋体" w:cs="宋体"/>
                <w:color w:val="auto"/>
                <w:highlight w:val="none"/>
                <w:lang w:val="en-US" w:eastAsia="zh-CN"/>
              </w:rPr>
              <w:t>垃圾焚烧发电厂维修服务经验的，加2分；本小项最高得4分。</w:t>
            </w:r>
          </w:p>
          <w:p w14:paraId="77AD40AA">
            <w:pPr>
              <w:keepNext w:val="0"/>
              <w:keepLines w:val="0"/>
              <w:pageBreakBefore w:val="0"/>
              <w:numPr>
                <w:ilvl w:val="0"/>
                <w:numId w:val="0"/>
              </w:numPr>
              <w:kinsoku/>
              <w:wordWrap/>
              <w:overflowPunct/>
              <w:topLinePunct w:val="0"/>
              <w:autoSpaceDE/>
              <w:autoSpaceDN/>
              <w:bidi w:val="0"/>
              <w:snapToGrid w:val="0"/>
              <w:spacing w:line="360" w:lineRule="auto"/>
              <w:textAlignment w:val="auto"/>
              <w:rPr>
                <w:rFonts w:hint="eastAsia" w:ascii="宋体" w:hAnsi="宋体" w:eastAsia="宋体" w:cs="宋体"/>
                <w:color w:val="auto"/>
                <w:highlight w:val="none"/>
                <w:lang w:val="zh-CN" w:eastAsia="zh-CN"/>
              </w:rPr>
            </w:pPr>
            <w:r>
              <w:rPr>
                <w:rFonts w:hint="eastAsia" w:ascii="宋体" w:hAnsi="宋体" w:eastAsia="宋体" w:cs="宋体"/>
                <w:color w:val="auto"/>
                <w:highlight w:val="none"/>
                <w:lang w:val="zh-CN" w:eastAsia="zh-CN"/>
              </w:rPr>
              <w:t>②</w:t>
            </w:r>
            <w:r>
              <w:rPr>
                <w:rFonts w:hint="eastAsia" w:ascii="宋体" w:hAnsi="宋体" w:eastAsia="宋体" w:cs="宋体"/>
                <w:color w:val="auto"/>
                <w:highlight w:val="none"/>
                <w:lang w:val="en-US" w:eastAsia="zh-CN"/>
              </w:rPr>
              <w:t>拟派本项目的关键技术人员具有机电类二级建造师得1分，机电类一级建造师得2分；本小项最高得2分。</w:t>
            </w:r>
          </w:p>
          <w:p w14:paraId="4BDDF257">
            <w:pPr>
              <w:keepNext w:val="0"/>
              <w:keepLines w:val="0"/>
              <w:pageBreakBefore w:val="0"/>
              <w:numPr>
                <w:ilvl w:val="0"/>
                <w:numId w:val="0"/>
              </w:numPr>
              <w:kinsoku/>
              <w:wordWrap/>
              <w:overflowPunct/>
              <w:topLinePunct w:val="0"/>
              <w:autoSpaceDE/>
              <w:autoSpaceDN/>
              <w:bidi w:val="0"/>
              <w:snapToGrid w:val="0"/>
              <w:spacing w:line="360" w:lineRule="auto"/>
              <w:textAlignment w:val="auto"/>
              <w:rPr>
                <w:rFonts w:hint="eastAsia" w:ascii="宋体" w:hAnsi="宋体" w:eastAsia="宋体" w:cs="宋体"/>
                <w:color w:val="auto"/>
                <w:highlight w:val="none"/>
                <w:lang w:val="zh-CN" w:eastAsia="zh-CN"/>
              </w:rPr>
            </w:pPr>
            <w:r>
              <w:rPr>
                <w:rFonts w:hint="eastAsia" w:ascii="宋体" w:hAnsi="宋体" w:eastAsia="宋体" w:cs="宋体"/>
                <w:color w:val="auto"/>
                <w:highlight w:val="none"/>
                <w:lang w:val="zh-CN" w:eastAsia="zh-CN"/>
              </w:rPr>
              <w:t>③</w:t>
            </w:r>
            <w:r>
              <w:rPr>
                <w:rFonts w:hint="eastAsia" w:ascii="宋体" w:hAnsi="宋体" w:eastAsia="宋体" w:cs="宋体"/>
                <w:color w:val="auto"/>
                <w:highlight w:val="none"/>
                <w:lang w:val="en-US" w:eastAsia="zh-CN"/>
              </w:rPr>
              <w:t>拟派本项目的其它现场管理或安装人员具有国家相关部门颁发的合法有效的电工作业、架子工、高空作业证、焊接与热切割作业、危险化学品安全作业</w:t>
            </w:r>
            <w:r>
              <w:rPr>
                <w:rFonts w:hint="eastAsia" w:ascii="宋体" w:hAnsi="宋体" w:eastAsia="宋体" w:cs="宋体"/>
                <w:color w:val="auto"/>
                <w:highlight w:val="none"/>
                <w:lang w:val="zh-CN" w:eastAsia="zh-CN"/>
              </w:rPr>
              <w:t>等特种作业证书</w:t>
            </w:r>
            <w:r>
              <w:rPr>
                <w:rFonts w:hint="eastAsia" w:ascii="宋体" w:hAnsi="宋体" w:eastAsia="宋体" w:cs="宋体"/>
                <w:color w:val="auto"/>
                <w:highlight w:val="none"/>
                <w:lang w:val="en-US" w:eastAsia="zh-CN"/>
              </w:rPr>
              <w:t>的每个人得0.5分；本小项最高得3分</w:t>
            </w:r>
            <w:r>
              <w:rPr>
                <w:rFonts w:hint="eastAsia" w:ascii="宋体" w:hAnsi="宋体" w:eastAsia="宋体" w:cs="宋体"/>
                <w:color w:val="auto"/>
                <w:highlight w:val="none"/>
                <w:lang w:val="zh-CN" w:eastAsia="zh-CN"/>
              </w:rPr>
              <w:t>；</w:t>
            </w:r>
          </w:p>
          <w:p w14:paraId="1881865B">
            <w:pPr>
              <w:keepNext w:val="0"/>
              <w:keepLines w:val="0"/>
              <w:pageBreakBefore w:val="0"/>
              <w:numPr>
                <w:ilvl w:val="0"/>
                <w:numId w:val="0"/>
              </w:numPr>
              <w:kinsoku/>
              <w:wordWrap/>
              <w:overflowPunct/>
              <w:topLinePunct w:val="0"/>
              <w:autoSpaceDE/>
              <w:autoSpaceDN/>
              <w:bidi w:val="0"/>
              <w:adjustRightInd/>
              <w:spacing w:line="360" w:lineRule="auto"/>
              <w:ind w:left="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④</w:t>
            </w:r>
            <w:r>
              <w:rPr>
                <w:rFonts w:hint="eastAsia" w:ascii="宋体" w:hAnsi="宋体" w:eastAsia="宋体" w:cs="宋体"/>
                <w:color w:val="auto"/>
                <w:kern w:val="0"/>
                <w:szCs w:val="22"/>
                <w:highlight w:val="none"/>
                <w:shd w:val="clear" w:color="auto" w:fill="auto"/>
                <w:lang w:val="zh-CN"/>
              </w:rPr>
              <w:t>拟派本项目的</w:t>
            </w:r>
            <w:r>
              <w:rPr>
                <w:rFonts w:hint="eastAsia" w:ascii="宋体" w:hAnsi="宋体" w:eastAsia="宋体" w:cs="宋体"/>
                <w:color w:val="auto"/>
                <w:highlight w:val="none"/>
                <w:lang w:val="en-US" w:eastAsia="zh-CN"/>
              </w:rPr>
              <w:t>人员具有安全生产考核合格证书或安全员证书得1分，注册安全工程师证书得2分；本小项最高得2分。</w:t>
            </w:r>
          </w:p>
          <w:p w14:paraId="3264C6C3">
            <w:pPr>
              <w:keepNext w:val="0"/>
              <w:keepLines w:val="0"/>
              <w:pageBreakBefore w:val="0"/>
              <w:numPr>
                <w:ilvl w:val="0"/>
                <w:numId w:val="0"/>
              </w:numPr>
              <w:kinsoku/>
              <w:wordWrap/>
              <w:overflowPunct/>
              <w:topLinePunct w:val="0"/>
              <w:autoSpaceDE/>
              <w:autoSpaceDN/>
              <w:bidi w:val="0"/>
              <w:snapToGrid w:val="0"/>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本项最高得11分。</w:t>
            </w:r>
          </w:p>
          <w:p w14:paraId="4C37222B">
            <w:pPr>
              <w:keepNext w:val="0"/>
              <w:keepLines w:val="0"/>
              <w:pageBreakBefore w:val="0"/>
              <w:numPr>
                <w:ilvl w:val="0"/>
                <w:numId w:val="0"/>
              </w:numPr>
              <w:kinsoku/>
              <w:wordWrap/>
              <w:overflowPunct/>
              <w:topLinePunct w:val="0"/>
              <w:autoSpaceDE/>
              <w:autoSpaceDN/>
              <w:bidi w:val="0"/>
              <w:snapToGrid w:val="0"/>
              <w:spacing w:line="360" w:lineRule="auto"/>
              <w:ind w:left="0" w:leftChars="0" w:firstLine="0" w:firstLineChars="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w:t>
            </w:r>
            <w:r>
              <w:rPr>
                <w:rFonts w:hint="eastAsia" w:ascii="宋体" w:hAnsi="宋体" w:eastAsia="宋体" w:cs="宋体"/>
                <w:color w:val="auto"/>
                <w:highlight w:val="none"/>
                <w:lang w:val="zh-CN" w:eastAsia="zh-CN"/>
              </w:rPr>
              <w:t>①</w:t>
            </w:r>
            <w:r>
              <w:rPr>
                <w:rFonts w:hint="eastAsia" w:ascii="宋体" w:hAnsi="宋体" w:eastAsia="宋体" w:cs="宋体"/>
                <w:color w:val="auto"/>
                <w:highlight w:val="none"/>
                <w:lang w:val="en-US" w:eastAsia="zh-CN"/>
              </w:rPr>
              <w:t>提供人员合法有效的证书资料复印件并加盖投标人公章；</w:t>
            </w:r>
            <w:r>
              <w:rPr>
                <w:rFonts w:hint="eastAsia" w:ascii="宋体" w:hAnsi="宋体" w:eastAsia="宋体" w:cs="宋体"/>
                <w:color w:val="auto"/>
                <w:highlight w:val="none"/>
                <w:lang w:val="zh-CN" w:eastAsia="zh-CN"/>
              </w:rPr>
              <w:t>②</w:t>
            </w:r>
            <w:r>
              <w:rPr>
                <w:rFonts w:hint="eastAsia" w:ascii="宋体" w:hAnsi="宋体" w:eastAsia="宋体" w:cs="宋体"/>
                <w:color w:val="auto"/>
                <w:highlight w:val="none"/>
                <w:lang w:val="en-US" w:eastAsia="zh-CN"/>
              </w:rPr>
              <w:t>人员经验证明提供合同（如合同中无法体现经验情况，需同时提供业主证明或验收报告等第三方证明）；</w:t>
            </w:r>
            <w:r>
              <w:rPr>
                <w:rFonts w:hint="eastAsia" w:ascii="宋体" w:hAnsi="宋体" w:eastAsia="宋体" w:cs="宋体"/>
                <w:color w:val="auto"/>
                <w:highlight w:val="none"/>
                <w:lang w:val="zh-CN" w:eastAsia="zh-CN"/>
              </w:rPr>
              <w:t>③须提供近半年（不含开标当月）内投标人为其购买的任意1个月社保证明复印件并加盖投标人公章；</w:t>
            </w:r>
            <w:r>
              <w:rPr>
                <w:rFonts w:hint="eastAsia" w:ascii="宋体" w:hAnsi="宋体" w:eastAsia="宋体" w:cs="宋体"/>
                <w:color w:val="auto"/>
                <w:highlight w:val="none"/>
                <w:lang w:val="en-US" w:eastAsia="zh-CN"/>
              </w:rPr>
              <w:t>④以上同一人具有多个证书的只按最高得分的小项计算一次得分</w:t>
            </w:r>
            <w:r>
              <w:rPr>
                <w:rFonts w:hint="eastAsia" w:ascii="宋体" w:hAnsi="宋体" w:eastAsia="宋体" w:cs="宋体"/>
                <w:color w:val="auto"/>
                <w:highlight w:val="none"/>
                <w:lang w:val="zh-CN" w:eastAsia="zh-CN"/>
              </w:rPr>
              <w:t>。</w:t>
            </w:r>
            <w:r>
              <w:rPr>
                <w:rFonts w:hint="eastAsia" w:ascii="宋体" w:hAnsi="宋体" w:cs="宋体"/>
                <w:color w:val="auto"/>
                <w:highlight w:val="none"/>
                <w:lang w:val="en-US" w:eastAsia="zh-CN"/>
              </w:rPr>
              <w:t>⑤中标人在项目</w:t>
            </w:r>
            <w:r>
              <w:rPr>
                <w:rFonts w:hint="eastAsia" w:ascii="宋体" w:hAnsi="宋体" w:cs="宋体"/>
                <w:color w:val="auto"/>
                <w:sz w:val="21"/>
                <w:szCs w:val="22"/>
                <w:highlight w:val="none"/>
                <w:lang w:val="en-US" w:eastAsia="zh-CN"/>
              </w:rPr>
              <w:t>进场前7个工作日须将</w:t>
            </w:r>
            <w:r>
              <w:rPr>
                <w:rFonts w:hint="eastAsia" w:ascii="宋体" w:hAnsi="宋体" w:cs="宋体"/>
                <w:color w:val="auto"/>
                <w:sz w:val="21"/>
                <w:szCs w:val="22"/>
                <w:highlight w:val="none"/>
              </w:rPr>
              <w:t>上述</w:t>
            </w:r>
            <w:r>
              <w:rPr>
                <w:rFonts w:hint="eastAsia" w:ascii="宋体" w:hAnsi="宋体" w:cs="宋体"/>
                <w:color w:val="auto"/>
                <w:sz w:val="21"/>
                <w:szCs w:val="22"/>
                <w:highlight w:val="none"/>
                <w:lang w:val="en-US" w:eastAsia="zh-CN"/>
              </w:rPr>
              <w:t>投入对应人员具有的相关证件原件送采购人核验，如人员有变更应在进场前7个工作日向采购人办理变更申请手续并经采购人同意，否则作违约处理（更换人员的数量和标准不得低于投标文件的标准）。</w:t>
            </w:r>
          </w:p>
        </w:tc>
      </w:tr>
      <w:tr w14:paraId="318E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E62D56C">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09" w:type="dxa"/>
            <w:tcBorders>
              <w:top w:val="single" w:color="auto" w:sz="4" w:space="0"/>
              <w:left w:val="single" w:color="auto" w:sz="4" w:space="0"/>
              <w:bottom w:val="single" w:color="auto" w:sz="4" w:space="0"/>
              <w:right w:val="single" w:color="auto" w:sz="4" w:space="0"/>
            </w:tcBorders>
            <w:vAlign w:val="center"/>
          </w:tcPr>
          <w:p w14:paraId="7F9C83AD">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eastAsia="zh-CN"/>
              </w:rPr>
              <w:t>服务响应承诺</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39A0E764">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u w:val="single"/>
              </w:rPr>
            </w:pPr>
            <w:r>
              <w:rPr>
                <w:rFonts w:hint="eastAsia" w:ascii="宋体" w:eastAsia="宋体" w:cs="宋体"/>
                <w:color w:val="auto"/>
                <w:sz w:val="21"/>
                <w:szCs w:val="21"/>
                <w:highlight w:val="none"/>
                <w:u w:val="none"/>
                <w:lang w:val="en-US" w:eastAsia="zh-CN"/>
              </w:rPr>
              <w:t>3</w:t>
            </w:r>
          </w:p>
        </w:tc>
        <w:tc>
          <w:tcPr>
            <w:tcW w:w="5461" w:type="dxa"/>
            <w:tcBorders>
              <w:top w:val="single" w:color="auto" w:sz="4" w:space="0"/>
              <w:left w:val="single" w:color="auto" w:sz="4" w:space="0"/>
              <w:bottom w:val="single" w:color="auto" w:sz="4" w:space="0"/>
              <w:right w:val="single" w:color="auto" w:sz="4" w:space="0"/>
            </w:tcBorders>
            <w:vAlign w:val="center"/>
          </w:tcPr>
          <w:p w14:paraId="76F5100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color w:val="auto"/>
                <w:kern w:val="2"/>
                <w:sz w:val="21"/>
                <w:szCs w:val="21"/>
                <w:highlight w:val="none"/>
                <w:u w:val="none"/>
                <w:shd w:val="clear" w:color="auto" w:fill="FFFFFF"/>
                <w:lang w:val="zh-CN"/>
              </w:rPr>
            </w:pPr>
            <w:r>
              <w:rPr>
                <w:rFonts w:hint="eastAsia" w:ascii="宋体" w:hAnsi="宋体" w:eastAsia="宋体" w:cs="宋体"/>
                <w:b w:val="0"/>
                <w:color w:val="auto"/>
                <w:kern w:val="2"/>
                <w:sz w:val="21"/>
                <w:szCs w:val="21"/>
                <w:highlight w:val="none"/>
                <w:u w:val="none"/>
                <w:shd w:val="clear" w:color="auto" w:fill="FFFFFF"/>
                <w:lang w:val="zh-CN"/>
              </w:rPr>
              <w:t xml:space="preserve">根据投标人针对本项目收到采购人应急服务要求的响应时间进行评分： </w:t>
            </w:r>
          </w:p>
          <w:p w14:paraId="07D5354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color w:val="auto"/>
                <w:kern w:val="2"/>
                <w:sz w:val="21"/>
                <w:szCs w:val="21"/>
                <w:highlight w:val="none"/>
                <w:u w:val="none"/>
                <w:shd w:val="clear" w:color="auto" w:fill="FFFFFF"/>
                <w:lang w:val="zh-CN"/>
              </w:rPr>
            </w:pPr>
            <w:r>
              <w:rPr>
                <w:rFonts w:hint="eastAsia" w:ascii="宋体" w:hAnsi="宋体" w:eastAsia="宋体" w:cs="宋体"/>
                <w:b w:val="0"/>
                <w:color w:val="auto"/>
                <w:kern w:val="2"/>
                <w:sz w:val="21"/>
                <w:szCs w:val="21"/>
                <w:highlight w:val="none"/>
                <w:u w:val="none"/>
                <w:shd w:val="clear" w:color="auto" w:fill="FFFFFF"/>
                <w:lang w:val="zh-CN"/>
              </w:rPr>
              <w:t>①投标人承诺接到采购人通知后</w:t>
            </w:r>
            <w:r>
              <w:rPr>
                <w:rFonts w:hint="eastAsia" w:ascii="宋体" w:hAnsi="宋体" w:eastAsia="宋体" w:cs="宋体"/>
                <w:b w:val="0"/>
                <w:color w:val="auto"/>
                <w:kern w:val="2"/>
                <w:sz w:val="21"/>
                <w:szCs w:val="21"/>
                <w:highlight w:val="none"/>
                <w:u w:val="none"/>
                <w:shd w:val="clear" w:color="auto" w:fill="FFFFFF"/>
                <w:lang w:val="en-US" w:eastAsia="zh-CN"/>
              </w:rPr>
              <w:t>12</w:t>
            </w:r>
            <w:r>
              <w:rPr>
                <w:rFonts w:hint="eastAsia" w:ascii="宋体" w:hAnsi="宋体" w:eastAsia="宋体" w:cs="宋体"/>
                <w:b w:val="0"/>
                <w:color w:val="auto"/>
                <w:kern w:val="2"/>
                <w:sz w:val="21"/>
                <w:szCs w:val="21"/>
                <w:highlight w:val="none"/>
                <w:u w:val="none"/>
                <w:shd w:val="clear" w:color="auto" w:fill="FFFFFF"/>
                <w:lang w:val="zh-CN"/>
              </w:rPr>
              <w:t>小时（含）内到达采购人指定地点的，得</w:t>
            </w:r>
            <w:r>
              <w:rPr>
                <w:rFonts w:hint="eastAsia" w:ascii="宋体" w:hAnsi="宋体" w:cs="宋体"/>
                <w:b w:val="0"/>
                <w:color w:val="auto"/>
                <w:kern w:val="2"/>
                <w:sz w:val="21"/>
                <w:szCs w:val="21"/>
                <w:highlight w:val="none"/>
                <w:u w:val="none"/>
                <w:shd w:val="clear" w:color="auto" w:fill="FFFFFF"/>
                <w:lang w:val="en-US" w:eastAsia="zh-CN"/>
              </w:rPr>
              <w:t>3</w:t>
            </w:r>
            <w:r>
              <w:rPr>
                <w:rFonts w:hint="eastAsia" w:ascii="宋体" w:hAnsi="宋体" w:eastAsia="宋体" w:cs="宋体"/>
                <w:b w:val="0"/>
                <w:color w:val="auto"/>
                <w:kern w:val="2"/>
                <w:sz w:val="21"/>
                <w:szCs w:val="21"/>
                <w:highlight w:val="none"/>
                <w:u w:val="none"/>
                <w:shd w:val="clear" w:color="auto" w:fill="FFFFFF"/>
                <w:lang w:val="zh-CN"/>
              </w:rPr>
              <w:t>分。</w:t>
            </w:r>
          </w:p>
          <w:p w14:paraId="1D449F0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color w:val="auto"/>
                <w:kern w:val="2"/>
                <w:sz w:val="21"/>
                <w:szCs w:val="21"/>
                <w:highlight w:val="none"/>
                <w:u w:val="none"/>
                <w:shd w:val="clear" w:color="auto" w:fill="FFFFFF"/>
                <w:lang w:val="zh-CN"/>
              </w:rPr>
            </w:pPr>
            <w:r>
              <w:rPr>
                <w:rFonts w:hint="eastAsia" w:ascii="宋体" w:hAnsi="宋体" w:eastAsia="宋体" w:cs="宋体"/>
                <w:b w:val="0"/>
                <w:color w:val="auto"/>
                <w:kern w:val="2"/>
                <w:sz w:val="21"/>
                <w:szCs w:val="21"/>
                <w:highlight w:val="none"/>
                <w:u w:val="none"/>
                <w:shd w:val="clear" w:color="auto" w:fill="FFFFFF"/>
                <w:lang w:val="zh-CN"/>
              </w:rPr>
              <w:t>②投标人承诺接到采购人通知后</w:t>
            </w:r>
            <w:r>
              <w:rPr>
                <w:rFonts w:hint="eastAsia" w:ascii="宋体" w:hAnsi="宋体" w:eastAsia="宋体" w:cs="宋体"/>
                <w:b w:val="0"/>
                <w:color w:val="auto"/>
                <w:kern w:val="2"/>
                <w:sz w:val="21"/>
                <w:szCs w:val="21"/>
                <w:highlight w:val="none"/>
                <w:u w:val="none"/>
                <w:shd w:val="clear" w:color="auto" w:fill="FFFFFF"/>
                <w:lang w:val="en-US" w:eastAsia="zh-CN"/>
              </w:rPr>
              <w:t>12</w:t>
            </w:r>
            <w:r>
              <w:rPr>
                <w:rFonts w:hint="eastAsia" w:ascii="宋体" w:hAnsi="宋体" w:eastAsia="宋体" w:cs="宋体"/>
                <w:b w:val="0"/>
                <w:color w:val="auto"/>
                <w:kern w:val="2"/>
                <w:sz w:val="21"/>
                <w:szCs w:val="21"/>
                <w:highlight w:val="none"/>
                <w:u w:val="none"/>
                <w:shd w:val="clear" w:color="auto" w:fill="FFFFFF"/>
                <w:lang w:val="zh-CN"/>
              </w:rPr>
              <w:t>小时（不含）以上至</w:t>
            </w:r>
            <w:r>
              <w:rPr>
                <w:rFonts w:hint="eastAsia" w:ascii="宋体" w:hAnsi="宋体" w:eastAsia="宋体" w:cs="宋体"/>
                <w:b w:val="0"/>
                <w:color w:val="auto"/>
                <w:kern w:val="2"/>
                <w:sz w:val="21"/>
                <w:szCs w:val="21"/>
                <w:highlight w:val="none"/>
                <w:u w:val="none"/>
                <w:shd w:val="clear" w:color="auto" w:fill="FFFFFF"/>
                <w:lang w:val="en-US" w:eastAsia="zh-CN"/>
              </w:rPr>
              <w:t>24</w:t>
            </w:r>
            <w:r>
              <w:rPr>
                <w:rFonts w:hint="eastAsia" w:ascii="宋体" w:hAnsi="宋体" w:eastAsia="宋体" w:cs="宋体"/>
                <w:b w:val="0"/>
                <w:color w:val="auto"/>
                <w:kern w:val="2"/>
                <w:sz w:val="21"/>
                <w:szCs w:val="21"/>
                <w:highlight w:val="none"/>
                <w:u w:val="none"/>
                <w:shd w:val="clear" w:color="auto" w:fill="FFFFFF"/>
                <w:lang w:val="zh-CN"/>
              </w:rPr>
              <w:t>小时（含）内到达采购人指定地点的，得</w:t>
            </w:r>
            <w:r>
              <w:rPr>
                <w:rFonts w:hint="eastAsia" w:ascii="宋体" w:hAnsi="宋体" w:cs="宋体"/>
                <w:b w:val="0"/>
                <w:color w:val="auto"/>
                <w:kern w:val="2"/>
                <w:sz w:val="21"/>
                <w:szCs w:val="21"/>
                <w:highlight w:val="none"/>
                <w:u w:val="none"/>
                <w:shd w:val="clear" w:color="auto" w:fill="FFFFFF"/>
                <w:lang w:val="en-US" w:eastAsia="zh-CN"/>
              </w:rPr>
              <w:t>2</w:t>
            </w:r>
            <w:r>
              <w:rPr>
                <w:rFonts w:hint="eastAsia" w:ascii="宋体" w:hAnsi="宋体" w:eastAsia="宋体" w:cs="宋体"/>
                <w:b w:val="0"/>
                <w:color w:val="auto"/>
                <w:kern w:val="2"/>
                <w:sz w:val="21"/>
                <w:szCs w:val="21"/>
                <w:highlight w:val="none"/>
                <w:u w:val="none"/>
                <w:shd w:val="clear" w:color="auto" w:fill="FFFFFF"/>
                <w:lang w:val="zh-CN"/>
              </w:rPr>
              <w:t>分。</w:t>
            </w:r>
          </w:p>
          <w:p w14:paraId="78AD9949">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color w:val="auto"/>
                <w:kern w:val="2"/>
                <w:sz w:val="21"/>
                <w:szCs w:val="21"/>
                <w:highlight w:val="none"/>
                <w:u w:val="none"/>
                <w:shd w:val="clear" w:color="auto" w:fill="FFFFFF"/>
                <w:lang w:val="zh-CN"/>
              </w:rPr>
            </w:pPr>
            <w:r>
              <w:rPr>
                <w:rFonts w:hint="eastAsia" w:ascii="宋体" w:hAnsi="宋体" w:eastAsia="宋体" w:cs="宋体"/>
                <w:b w:val="0"/>
                <w:color w:val="auto"/>
                <w:kern w:val="2"/>
                <w:sz w:val="21"/>
                <w:szCs w:val="21"/>
                <w:highlight w:val="none"/>
                <w:u w:val="none"/>
                <w:shd w:val="clear" w:color="auto" w:fill="FFFFFF"/>
                <w:lang w:val="zh-CN"/>
              </w:rPr>
              <w:t>③投标人承诺接到采购人通知后</w:t>
            </w:r>
            <w:r>
              <w:rPr>
                <w:rFonts w:hint="eastAsia" w:ascii="宋体" w:hAnsi="宋体" w:eastAsia="宋体" w:cs="宋体"/>
                <w:b w:val="0"/>
                <w:color w:val="auto"/>
                <w:kern w:val="2"/>
                <w:sz w:val="21"/>
                <w:szCs w:val="21"/>
                <w:highlight w:val="none"/>
                <w:u w:val="none"/>
                <w:shd w:val="clear" w:color="auto" w:fill="FFFFFF"/>
                <w:lang w:val="en-US" w:eastAsia="zh-CN"/>
              </w:rPr>
              <w:t>2</w:t>
            </w:r>
            <w:r>
              <w:rPr>
                <w:rFonts w:hint="eastAsia" w:ascii="宋体" w:hAnsi="宋体" w:eastAsia="宋体" w:cs="宋体"/>
                <w:b w:val="0"/>
                <w:color w:val="auto"/>
                <w:kern w:val="2"/>
                <w:sz w:val="21"/>
                <w:szCs w:val="21"/>
                <w:highlight w:val="none"/>
                <w:u w:val="none"/>
                <w:shd w:val="clear" w:color="auto" w:fill="FFFFFF"/>
                <w:lang w:val="zh-CN" w:eastAsia="zh-CN"/>
              </w:rPr>
              <w:t>4</w:t>
            </w:r>
            <w:r>
              <w:rPr>
                <w:rFonts w:hint="eastAsia" w:ascii="宋体" w:hAnsi="宋体" w:eastAsia="宋体" w:cs="宋体"/>
                <w:b w:val="0"/>
                <w:color w:val="auto"/>
                <w:kern w:val="2"/>
                <w:sz w:val="21"/>
                <w:szCs w:val="21"/>
                <w:highlight w:val="none"/>
                <w:u w:val="none"/>
                <w:shd w:val="clear" w:color="auto" w:fill="FFFFFF"/>
                <w:lang w:val="zh-CN"/>
              </w:rPr>
              <w:t>小时（不含）以上至</w:t>
            </w:r>
            <w:r>
              <w:rPr>
                <w:rFonts w:hint="eastAsia" w:ascii="宋体" w:hAnsi="宋体" w:eastAsia="宋体" w:cs="宋体"/>
                <w:b w:val="0"/>
                <w:color w:val="auto"/>
                <w:kern w:val="2"/>
                <w:sz w:val="21"/>
                <w:szCs w:val="21"/>
                <w:highlight w:val="none"/>
                <w:u w:val="none"/>
                <w:shd w:val="clear" w:color="auto" w:fill="FFFFFF"/>
                <w:lang w:val="en-US" w:eastAsia="zh-CN"/>
              </w:rPr>
              <w:t>4</w:t>
            </w:r>
            <w:r>
              <w:rPr>
                <w:rFonts w:hint="eastAsia" w:ascii="宋体" w:hAnsi="宋体" w:eastAsia="宋体" w:cs="宋体"/>
                <w:b w:val="0"/>
                <w:color w:val="auto"/>
                <w:kern w:val="2"/>
                <w:sz w:val="21"/>
                <w:szCs w:val="21"/>
                <w:highlight w:val="none"/>
                <w:u w:val="none"/>
                <w:shd w:val="clear" w:color="auto" w:fill="FFFFFF"/>
                <w:lang w:val="zh-CN" w:eastAsia="zh-CN"/>
              </w:rPr>
              <w:t>8</w:t>
            </w:r>
            <w:r>
              <w:rPr>
                <w:rFonts w:hint="eastAsia" w:ascii="宋体" w:hAnsi="宋体" w:eastAsia="宋体" w:cs="宋体"/>
                <w:b w:val="0"/>
                <w:color w:val="auto"/>
                <w:kern w:val="2"/>
                <w:sz w:val="21"/>
                <w:szCs w:val="21"/>
                <w:highlight w:val="none"/>
                <w:u w:val="none"/>
                <w:shd w:val="clear" w:color="auto" w:fill="FFFFFF"/>
                <w:lang w:val="zh-CN"/>
              </w:rPr>
              <w:t>小时（含）内到达采购人指定地点的，得</w:t>
            </w:r>
            <w:r>
              <w:rPr>
                <w:rFonts w:hint="eastAsia" w:ascii="宋体" w:hAnsi="宋体" w:cs="宋体"/>
                <w:b w:val="0"/>
                <w:color w:val="auto"/>
                <w:kern w:val="2"/>
                <w:sz w:val="21"/>
                <w:szCs w:val="21"/>
                <w:highlight w:val="none"/>
                <w:u w:val="none"/>
                <w:shd w:val="clear" w:color="auto" w:fill="FFFFFF"/>
                <w:lang w:val="en-US" w:eastAsia="zh-CN"/>
              </w:rPr>
              <w:t>1</w:t>
            </w:r>
            <w:r>
              <w:rPr>
                <w:rFonts w:hint="eastAsia" w:ascii="宋体" w:hAnsi="宋体" w:eastAsia="宋体" w:cs="宋体"/>
                <w:b w:val="0"/>
                <w:color w:val="auto"/>
                <w:kern w:val="2"/>
                <w:sz w:val="21"/>
                <w:szCs w:val="21"/>
                <w:highlight w:val="none"/>
                <w:u w:val="none"/>
                <w:shd w:val="clear" w:color="auto" w:fill="FFFFFF"/>
                <w:lang w:val="zh-CN"/>
              </w:rPr>
              <w:t>分。</w:t>
            </w:r>
          </w:p>
          <w:p w14:paraId="45CC8C29">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color w:val="auto"/>
                <w:kern w:val="2"/>
                <w:sz w:val="21"/>
                <w:szCs w:val="21"/>
                <w:highlight w:val="none"/>
                <w:u w:val="none"/>
                <w:shd w:val="clear" w:color="auto" w:fill="FFFFFF"/>
                <w:lang w:val="zh-CN"/>
              </w:rPr>
            </w:pPr>
            <w:r>
              <w:rPr>
                <w:rFonts w:hint="eastAsia" w:ascii="宋体" w:hAnsi="宋体" w:eastAsia="宋体" w:cs="宋体"/>
                <w:b w:val="0"/>
                <w:color w:val="auto"/>
                <w:kern w:val="2"/>
                <w:sz w:val="21"/>
                <w:szCs w:val="21"/>
                <w:highlight w:val="none"/>
                <w:u w:val="none"/>
                <w:shd w:val="clear" w:color="auto" w:fill="FFFFFF"/>
                <w:lang w:val="zh-CN"/>
              </w:rPr>
              <w:t>④投标人承诺接到采购人通知后</w:t>
            </w:r>
            <w:r>
              <w:rPr>
                <w:rFonts w:hint="eastAsia" w:ascii="宋体" w:hAnsi="宋体" w:eastAsia="宋体" w:cs="宋体"/>
                <w:b w:val="0"/>
                <w:color w:val="auto"/>
                <w:kern w:val="2"/>
                <w:sz w:val="21"/>
                <w:szCs w:val="21"/>
                <w:highlight w:val="none"/>
                <w:u w:val="none"/>
                <w:shd w:val="clear" w:color="auto" w:fill="FFFFFF"/>
                <w:lang w:val="en-US" w:eastAsia="zh-CN"/>
              </w:rPr>
              <w:t>4</w:t>
            </w:r>
            <w:r>
              <w:rPr>
                <w:rFonts w:hint="eastAsia" w:ascii="宋体" w:hAnsi="宋体" w:eastAsia="宋体" w:cs="宋体"/>
                <w:b w:val="0"/>
                <w:color w:val="auto"/>
                <w:kern w:val="2"/>
                <w:sz w:val="21"/>
                <w:szCs w:val="21"/>
                <w:highlight w:val="none"/>
                <w:u w:val="none"/>
                <w:shd w:val="clear" w:color="auto" w:fill="FFFFFF"/>
                <w:lang w:val="zh-CN" w:eastAsia="zh-CN"/>
              </w:rPr>
              <w:t>8</w:t>
            </w:r>
            <w:r>
              <w:rPr>
                <w:rFonts w:hint="eastAsia" w:ascii="宋体" w:hAnsi="宋体" w:eastAsia="宋体" w:cs="宋体"/>
                <w:b w:val="0"/>
                <w:color w:val="auto"/>
                <w:kern w:val="2"/>
                <w:sz w:val="21"/>
                <w:szCs w:val="21"/>
                <w:highlight w:val="none"/>
                <w:u w:val="none"/>
                <w:shd w:val="clear" w:color="auto" w:fill="FFFFFF"/>
                <w:lang w:val="zh-CN"/>
              </w:rPr>
              <w:t>小时（不含）以上到达采购人指定地点的，得0分。</w:t>
            </w:r>
          </w:p>
          <w:p w14:paraId="3B19EA35">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color w:val="auto"/>
                <w:kern w:val="2"/>
                <w:sz w:val="21"/>
                <w:szCs w:val="21"/>
                <w:highlight w:val="none"/>
                <w:u w:val="none"/>
                <w:shd w:val="clear" w:color="auto" w:fill="FFFFFF"/>
                <w:lang w:val="zh-CN"/>
              </w:rPr>
            </w:pPr>
            <w:r>
              <w:rPr>
                <w:rFonts w:hint="eastAsia" w:ascii="宋体" w:hAnsi="宋体" w:eastAsia="宋体" w:cs="宋体"/>
                <w:b w:val="0"/>
                <w:color w:val="auto"/>
                <w:kern w:val="2"/>
                <w:sz w:val="21"/>
                <w:szCs w:val="21"/>
                <w:highlight w:val="none"/>
                <w:u w:val="none"/>
                <w:shd w:val="clear" w:color="auto" w:fill="FFFFFF"/>
                <w:lang w:val="zh-CN"/>
              </w:rPr>
              <w:t>投标人必须提供单独的应急服务响应时间承诺文件，并加盖投标人公章，否则不得分。</w:t>
            </w:r>
          </w:p>
          <w:p w14:paraId="3ABBAB91">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sz w:val="21"/>
                <w:szCs w:val="21"/>
                <w:highlight w:val="none"/>
                <w:u w:val="single"/>
              </w:rPr>
            </w:pPr>
            <w:r>
              <w:rPr>
                <w:rFonts w:hint="eastAsia" w:ascii="宋体" w:hAnsi="宋体" w:eastAsia="宋体" w:cs="宋体"/>
                <w:b w:val="0"/>
                <w:color w:val="auto"/>
                <w:kern w:val="2"/>
                <w:sz w:val="21"/>
                <w:szCs w:val="21"/>
                <w:highlight w:val="none"/>
                <w:u w:val="none"/>
                <w:shd w:val="clear" w:color="auto" w:fill="FFFFFF"/>
                <w:lang w:val="zh-CN"/>
              </w:rPr>
              <w:t>（备注：投标人承诺后如达不到承诺要求的，采购人有权做出相应处罚（①承诺接到采购人通知后</w:t>
            </w:r>
            <w:r>
              <w:rPr>
                <w:rFonts w:hint="eastAsia" w:ascii="宋体" w:hAnsi="宋体" w:eastAsia="宋体" w:cs="宋体"/>
                <w:b w:val="0"/>
                <w:color w:val="auto"/>
                <w:kern w:val="2"/>
                <w:sz w:val="21"/>
                <w:szCs w:val="21"/>
                <w:highlight w:val="none"/>
                <w:u w:val="none"/>
                <w:shd w:val="clear" w:color="auto" w:fill="FFFFFF"/>
                <w:lang w:val="en-US" w:eastAsia="zh-CN"/>
              </w:rPr>
              <w:t>12</w:t>
            </w:r>
            <w:r>
              <w:rPr>
                <w:rFonts w:hint="eastAsia" w:ascii="宋体" w:hAnsi="宋体" w:eastAsia="宋体" w:cs="宋体"/>
                <w:b w:val="0"/>
                <w:color w:val="auto"/>
                <w:kern w:val="2"/>
                <w:sz w:val="21"/>
                <w:szCs w:val="21"/>
                <w:highlight w:val="none"/>
                <w:u w:val="none"/>
                <w:shd w:val="clear" w:color="auto" w:fill="FFFFFF"/>
                <w:lang w:val="zh-CN"/>
              </w:rPr>
              <w:t>小时（含）内到达采购人指定地点的，未达到承诺要求每次处罚人民币10,000.00元）；②投标人承诺接到采购人通知后</w:t>
            </w:r>
            <w:r>
              <w:rPr>
                <w:rFonts w:hint="eastAsia" w:ascii="宋体" w:hAnsi="宋体" w:eastAsia="宋体" w:cs="宋体"/>
                <w:b w:val="0"/>
                <w:color w:val="auto"/>
                <w:kern w:val="2"/>
                <w:sz w:val="21"/>
                <w:szCs w:val="21"/>
                <w:highlight w:val="none"/>
                <w:u w:val="none"/>
                <w:shd w:val="clear" w:color="auto" w:fill="FFFFFF"/>
                <w:lang w:val="en-US" w:eastAsia="zh-CN"/>
              </w:rPr>
              <w:t>12</w:t>
            </w:r>
            <w:r>
              <w:rPr>
                <w:rFonts w:hint="eastAsia" w:ascii="宋体" w:hAnsi="宋体" w:eastAsia="宋体" w:cs="宋体"/>
                <w:b w:val="0"/>
                <w:color w:val="auto"/>
                <w:kern w:val="2"/>
                <w:sz w:val="21"/>
                <w:szCs w:val="21"/>
                <w:highlight w:val="none"/>
                <w:u w:val="none"/>
                <w:shd w:val="clear" w:color="auto" w:fill="FFFFFF"/>
                <w:lang w:val="zh-CN"/>
              </w:rPr>
              <w:t>小时（不含）以上至</w:t>
            </w:r>
            <w:r>
              <w:rPr>
                <w:rFonts w:hint="eastAsia" w:ascii="宋体" w:hAnsi="宋体" w:eastAsia="宋体" w:cs="宋体"/>
                <w:b w:val="0"/>
                <w:color w:val="auto"/>
                <w:kern w:val="2"/>
                <w:sz w:val="21"/>
                <w:szCs w:val="21"/>
                <w:highlight w:val="none"/>
                <w:u w:val="none"/>
                <w:shd w:val="clear" w:color="auto" w:fill="FFFFFF"/>
                <w:lang w:val="en-US" w:eastAsia="zh-CN"/>
              </w:rPr>
              <w:t>24</w:t>
            </w:r>
            <w:r>
              <w:rPr>
                <w:rFonts w:hint="eastAsia" w:ascii="宋体" w:hAnsi="宋体" w:eastAsia="宋体" w:cs="宋体"/>
                <w:b w:val="0"/>
                <w:color w:val="auto"/>
                <w:kern w:val="2"/>
                <w:sz w:val="21"/>
                <w:szCs w:val="21"/>
                <w:highlight w:val="none"/>
                <w:u w:val="none"/>
                <w:shd w:val="clear" w:color="auto" w:fill="FFFFFF"/>
                <w:lang w:val="zh-CN"/>
              </w:rPr>
              <w:t>小时（含）内到达采购人指定地点，未达到承诺要求的每次处罚人民币5,000.00元；③投标人承诺接到采购人通知后</w:t>
            </w:r>
            <w:r>
              <w:rPr>
                <w:rFonts w:hint="eastAsia" w:ascii="宋体" w:hAnsi="宋体" w:eastAsia="宋体" w:cs="宋体"/>
                <w:b w:val="0"/>
                <w:color w:val="auto"/>
                <w:kern w:val="2"/>
                <w:sz w:val="21"/>
                <w:szCs w:val="21"/>
                <w:highlight w:val="none"/>
                <w:u w:val="none"/>
                <w:shd w:val="clear" w:color="auto" w:fill="FFFFFF"/>
                <w:lang w:val="en-US" w:eastAsia="zh-CN"/>
              </w:rPr>
              <w:t>24</w:t>
            </w:r>
            <w:r>
              <w:rPr>
                <w:rFonts w:hint="eastAsia" w:ascii="宋体" w:hAnsi="宋体" w:eastAsia="宋体" w:cs="宋体"/>
                <w:b w:val="0"/>
                <w:color w:val="auto"/>
                <w:kern w:val="2"/>
                <w:sz w:val="21"/>
                <w:szCs w:val="21"/>
                <w:highlight w:val="none"/>
                <w:u w:val="none"/>
                <w:shd w:val="clear" w:color="auto" w:fill="FFFFFF"/>
                <w:lang w:val="zh-CN"/>
              </w:rPr>
              <w:t>小时（不含）以上至</w:t>
            </w:r>
            <w:r>
              <w:rPr>
                <w:rFonts w:hint="eastAsia" w:ascii="宋体" w:hAnsi="宋体" w:eastAsia="宋体" w:cs="宋体"/>
                <w:b w:val="0"/>
                <w:color w:val="auto"/>
                <w:kern w:val="2"/>
                <w:sz w:val="21"/>
                <w:szCs w:val="21"/>
                <w:highlight w:val="none"/>
                <w:u w:val="none"/>
                <w:shd w:val="clear" w:color="auto" w:fill="FFFFFF"/>
                <w:lang w:val="en-US" w:eastAsia="zh-CN"/>
              </w:rPr>
              <w:t>48</w:t>
            </w:r>
            <w:r>
              <w:rPr>
                <w:rFonts w:hint="eastAsia" w:ascii="宋体" w:hAnsi="宋体" w:eastAsia="宋体" w:cs="宋体"/>
                <w:b w:val="0"/>
                <w:color w:val="auto"/>
                <w:kern w:val="2"/>
                <w:sz w:val="21"/>
                <w:szCs w:val="21"/>
                <w:highlight w:val="none"/>
                <w:u w:val="none"/>
                <w:shd w:val="clear" w:color="auto" w:fill="FFFFFF"/>
                <w:lang w:val="zh-CN"/>
              </w:rPr>
              <w:t>小时（含）内到达采购人指定地点的，未达到承诺要求的每次处罚人民币3,000.00元。）</w:t>
            </w:r>
          </w:p>
        </w:tc>
      </w:tr>
      <w:tr w14:paraId="5FC5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5"/>
            <w:tcBorders>
              <w:top w:val="single" w:color="auto" w:sz="4" w:space="0"/>
              <w:left w:val="single" w:color="auto" w:sz="4" w:space="0"/>
              <w:bottom w:val="single" w:color="auto" w:sz="4" w:space="0"/>
              <w:right w:val="single" w:color="auto" w:sz="4" w:space="0"/>
            </w:tcBorders>
            <w:vAlign w:val="center"/>
          </w:tcPr>
          <w:p w14:paraId="5F466467">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技术评审（</w:t>
            </w: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r>
      <w:tr w14:paraId="53D9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1D19F4E">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vAlign w:val="center"/>
          </w:tcPr>
          <w:p w14:paraId="1F7B8E9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服务方案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2F58AA4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p>
        </w:tc>
        <w:tc>
          <w:tcPr>
            <w:tcW w:w="5461" w:type="dxa"/>
            <w:tcBorders>
              <w:top w:val="single" w:color="auto" w:sz="4" w:space="0"/>
              <w:left w:val="single" w:color="auto" w:sz="4" w:space="0"/>
              <w:bottom w:val="single" w:color="auto" w:sz="4" w:space="0"/>
              <w:right w:val="single" w:color="auto" w:sz="4" w:space="0"/>
            </w:tcBorders>
            <w:vAlign w:val="center"/>
          </w:tcPr>
          <w:p w14:paraId="053917C4">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针对本项目投标人提供的服务方案（包括服务内容、服务流程、管理服务架构及</w:t>
            </w:r>
            <w:r>
              <w:rPr>
                <w:rFonts w:hint="eastAsia" w:ascii="宋体" w:hAnsi="宋体" w:eastAsia="宋体" w:cs="宋体"/>
                <w:color w:val="auto"/>
                <w:sz w:val="21"/>
                <w:szCs w:val="21"/>
                <w:highlight w:val="none"/>
                <w:lang w:val="en-US" w:eastAsia="zh-CN"/>
              </w:rPr>
              <w:t>工程服务过程资料管理</w:t>
            </w:r>
            <w:r>
              <w:rPr>
                <w:rFonts w:hint="eastAsia" w:ascii="宋体" w:hAnsi="宋体" w:eastAsia="宋体" w:cs="宋体"/>
                <w:color w:val="auto"/>
                <w:sz w:val="21"/>
                <w:szCs w:val="21"/>
                <w:highlight w:val="none"/>
              </w:rPr>
              <w:t xml:space="preserve">等）进行评审： </w:t>
            </w:r>
          </w:p>
          <w:p w14:paraId="59CCACE6">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1.投标人提供的方案能完全满足且优于项目需求的，得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14:paraId="6D504089">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2.投标人提供的方案完全满足项目需求的，得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207B00B2">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3.投标人提供的方案基本满足项目需求的，得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分； </w:t>
            </w:r>
          </w:p>
          <w:p w14:paraId="1D93EDCC">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lang w:val="en-US" w:bidi="ar-SA"/>
              </w:rPr>
            </w:pPr>
            <w:r>
              <w:rPr>
                <w:rFonts w:hint="eastAsia" w:ascii="宋体" w:hAnsi="宋体" w:eastAsia="宋体" w:cs="宋体"/>
                <w:color w:val="auto"/>
                <w:sz w:val="21"/>
                <w:szCs w:val="21"/>
                <w:highlight w:val="none"/>
              </w:rPr>
              <w:t>4.投标人提供的方案不满足项目需求或未提供对应方案的，不得分。</w:t>
            </w:r>
          </w:p>
        </w:tc>
      </w:tr>
      <w:tr w14:paraId="4067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E32057B">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609" w:type="dxa"/>
            <w:tcBorders>
              <w:top w:val="single" w:color="auto" w:sz="4" w:space="0"/>
              <w:left w:val="single" w:color="auto" w:sz="4" w:space="0"/>
              <w:bottom w:val="single" w:color="auto" w:sz="4" w:space="0"/>
              <w:right w:val="single" w:color="auto" w:sz="4" w:space="0"/>
            </w:tcBorders>
            <w:vAlign w:val="center"/>
          </w:tcPr>
          <w:p w14:paraId="1F246166">
            <w:pPr>
              <w:pStyle w:val="9"/>
              <w:keepNext w:val="0"/>
              <w:keepLines w:val="0"/>
              <w:pageBreakBefore w:val="0"/>
              <w:numPr>
                <w:ilvl w:val="0"/>
                <w:numId w:val="0"/>
              </w:numPr>
              <w:kinsoku/>
              <w:wordWrap/>
              <w:overflowPunct/>
              <w:topLinePunct w:val="0"/>
              <w:autoSpaceDE/>
              <w:autoSpaceDN/>
              <w:bidi w:val="0"/>
              <w:spacing w:line="360" w:lineRule="auto"/>
              <w:ind w:left="0" w:leftChars="0" w:firstLine="0" w:firstLineChars="0"/>
              <w:textAlignment w:val="auto"/>
              <w:rPr>
                <w:rFonts w:hint="eastAsia" w:ascii="宋体" w:hAnsi="宋体" w:eastAsia="宋体" w:cs="宋体"/>
                <w:color w:val="auto"/>
                <w:szCs w:val="21"/>
                <w:highlight w:val="none"/>
                <w:u w:val="single"/>
              </w:rPr>
            </w:pPr>
            <w:r>
              <w:rPr>
                <w:rFonts w:hint="eastAsia" w:ascii="宋体" w:hAnsi="宋体" w:eastAsia="宋体" w:cs="宋体"/>
                <w:color w:val="auto"/>
                <w:highlight w:val="none"/>
                <w:lang w:val="en-US" w:eastAsia="zh-CN"/>
              </w:rPr>
              <w:t>人员管理制度及配备方案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04A1C84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p>
        </w:tc>
        <w:tc>
          <w:tcPr>
            <w:tcW w:w="5461" w:type="dxa"/>
            <w:tcBorders>
              <w:top w:val="single" w:color="auto" w:sz="4" w:space="0"/>
              <w:left w:val="single" w:color="auto" w:sz="4" w:space="0"/>
              <w:bottom w:val="single" w:color="auto" w:sz="4" w:space="0"/>
              <w:right w:val="single" w:color="auto" w:sz="4" w:space="0"/>
            </w:tcBorders>
            <w:vAlign w:val="center"/>
          </w:tcPr>
          <w:p w14:paraId="42A1FF96">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投标人的各项内部管理制度（包括但不限于对人员招聘及用工制度、培训制度、考勤制度、食宿方案、薪酬管理制度、劳动争议处理等制度、违章作业考核制度（现场违规作业，如不戴安全帽和吸烟等作业的规范考核））</w:t>
            </w:r>
            <w:r>
              <w:rPr>
                <w:rFonts w:hint="eastAsia" w:ascii="宋体" w:hAnsi="宋体" w:eastAsia="宋体" w:cs="宋体"/>
                <w:color w:val="auto"/>
                <w:sz w:val="21"/>
                <w:szCs w:val="21"/>
                <w:highlight w:val="none"/>
                <w:lang w:eastAsia="zh-CN"/>
              </w:rPr>
              <w:t>及对应本项目进行相应专业与人员数量配置的方案</w:t>
            </w:r>
            <w:r>
              <w:rPr>
                <w:rFonts w:hint="eastAsia" w:ascii="宋体" w:hAnsi="宋体" w:eastAsia="宋体" w:cs="宋体"/>
                <w:color w:val="auto"/>
                <w:sz w:val="21"/>
                <w:szCs w:val="21"/>
                <w:highlight w:val="none"/>
              </w:rPr>
              <w:t>进行综合评价：</w:t>
            </w:r>
          </w:p>
          <w:p w14:paraId="0858D7BA">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1.规章制度齐全，涉及面广，具体可行，有可操作性</w:t>
            </w:r>
            <w:r>
              <w:rPr>
                <w:rFonts w:hint="eastAsia" w:ascii="宋体" w:hAnsi="宋体" w:eastAsia="宋体" w:cs="宋体"/>
                <w:color w:val="auto"/>
                <w:sz w:val="21"/>
                <w:szCs w:val="21"/>
                <w:highlight w:val="none"/>
                <w:lang w:eastAsia="zh-CN"/>
              </w:rPr>
              <w:t>，人员配置专业丰富，符合项目实际需求且人员数量充足的</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1E8DDAE2">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2.规章制度涵盖的内容多，且有一定的可操作性</w:t>
            </w:r>
            <w:r>
              <w:rPr>
                <w:rFonts w:hint="eastAsia" w:ascii="宋体" w:hAnsi="宋体" w:eastAsia="宋体" w:cs="宋体"/>
                <w:color w:val="auto"/>
                <w:sz w:val="21"/>
                <w:szCs w:val="21"/>
                <w:highlight w:val="none"/>
                <w:lang w:eastAsia="zh-CN"/>
              </w:rPr>
              <w:t>，人员配置专业合理，能达到项目日常要求且人员数量配置合理的</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287E322F">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3.有规章制度，但不太具体全面的，</w:t>
            </w:r>
            <w:r>
              <w:rPr>
                <w:rFonts w:hint="eastAsia" w:ascii="宋体" w:hAnsi="宋体" w:eastAsia="宋体" w:cs="宋体"/>
                <w:color w:val="auto"/>
                <w:sz w:val="21"/>
                <w:szCs w:val="21"/>
                <w:highlight w:val="none"/>
                <w:lang w:eastAsia="zh-CN"/>
              </w:rPr>
              <w:t>人员配置方面，专业与数量配套较一般</w:t>
            </w:r>
            <w:r>
              <w:rPr>
                <w:rFonts w:hint="eastAsia" w:ascii="宋体" w:hAnsi="宋体" w:eastAsia="宋体" w:cs="宋体"/>
                <w:color w:val="auto"/>
                <w:sz w:val="21"/>
                <w:szCs w:val="21"/>
                <w:highlight w:val="none"/>
              </w:rPr>
              <w:t>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分。 </w:t>
            </w:r>
          </w:p>
          <w:p w14:paraId="35D8CE2C">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u w:val="single"/>
                <w:lang w:val="zh-CN"/>
              </w:rPr>
            </w:pPr>
            <w:r>
              <w:rPr>
                <w:rFonts w:hint="eastAsia" w:ascii="宋体" w:hAnsi="宋体" w:eastAsia="宋体" w:cs="宋体"/>
                <w:color w:val="auto"/>
                <w:sz w:val="21"/>
                <w:szCs w:val="21"/>
                <w:highlight w:val="none"/>
              </w:rPr>
              <w:t>4. 未提供对应方案的，不得分。</w:t>
            </w:r>
          </w:p>
        </w:tc>
      </w:tr>
      <w:tr w14:paraId="538B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C3BFE32">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609" w:type="dxa"/>
            <w:tcBorders>
              <w:top w:val="single" w:color="auto" w:sz="4" w:space="0"/>
              <w:left w:val="single" w:color="auto" w:sz="4" w:space="0"/>
              <w:bottom w:val="single" w:color="auto" w:sz="4" w:space="0"/>
              <w:right w:val="single" w:color="auto" w:sz="4" w:space="0"/>
            </w:tcBorders>
            <w:vAlign w:val="center"/>
          </w:tcPr>
          <w:p w14:paraId="40BFCD1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培训方案</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7F15F02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p>
        </w:tc>
        <w:tc>
          <w:tcPr>
            <w:tcW w:w="5461" w:type="dxa"/>
            <w:tcBorders>
              <w:top w:val="single" w:color="auto" w:sz="4" w:space="0"/>
              <w:left w:val="single" w:color="auto" w:sz="4" w:space="0"/>
              <w:bottom w:val="single" w:color="auto" w:sz="4" w:space="0"/>
              <w:right w:val="single" w:color="auto" w:sz="4" w:space="0"/>
            </w:tcBorders>
            <w:vAlign w:val="top"/>
          </w:tcPr>
          <w:p w14:paraId="2149A3AE">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针对本项目投标人制定的培训方案（包括但不限于培训计划、入职前培训、技能培训等）进行综合评价：</w:t>
            </w:r>
          </w:p>
          <w:p w14:paraId="3C1AB696">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1．培训方案有专门针对本项目的分析并制定培训计划，各阶段及各类的培训内容详细具体，培训方式多样化，具体可行，有可操作性，得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分。 </w:t>
            </w:r>
          </w:p>
          <w:p w14:paraId="2F07434F">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2．培训方案涵盖了相关内容，且有一定的可操作性的，得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分。  </w:t>
            </w:r>
          </w:p>
          <w:p w14:paraId="273B5E83">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3．有培训方案，但不太具体全面的，得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分。 </w:t>
            </w:r>
          </w:p>
          <w:p w14:paraId="4206FF1E">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u w:val="single"/>
                <w:lang w:val="zh-CN"/>
              </w:rPr>
            </w:pPr>
            <w:r>
              <w:rPr>
                <w:rFonts w:hint="eastAsia" w:ascii="宋体" w:hAnsi="宋体" w:eastAsia="宋体" w:cs="宋体"/>
                <w:color w:val="auto"/>
                <w:sz w:val="21"/>
                <w:szCs w:val="21"/>
                <w:highlight w:val="none"/>
              </w:rPr>
              <w:t>4. 未提供对应方案的，不得分。</w:t>
            </w:r>
          </w:p>
        </w:tc>
      </w:tr>
      <w:tr w14:paraId="5BA2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DF6EA73">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609" w:type="dxa"/>
            <w:tcBorders>
              <w:top w:val="single" w:color="auto" w:sz="4" w:space="0"/>
              <w:left w:val="single" w:color="auto" w:sz="4" w:space="0"/>
              <w:bottom w:val="single" w:color="auto" w:sz="4" w:space="0"/>
              <w:right w:val="single" w:color="auto" w:sz="4" w:space="0"/>
            </w:tcBorders>
            <w:vAlign w:val="center"/>
          </w:tcPr>
          <w:p w14:paraId="3E6BB7D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应急事件处理能力</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5E7AA42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p>
        </w:tc>
        <w:tc>
          <w:tcPr>
            <w:tcW w:w="5461" w:type="dxa"/>
            <w:tcBorders>
              <w:top w:val="single" w:color="auto" w:sz="4" w:space="0"/>
              <w:left w:val="single" w:color="auto" w:sz="4" w:space="0"/>
              <w:bottom w:val="single" w:color="auto" w:sz="4" w:space="0"/>
              <w:right w:val="single" w:color="auto" w:sz="4" w:space="0"/>
            </w:tcBorders>
            <w:vAlign w:val="top"/>
          </w:tcPr>
          <w:p w14:paraId="0CDD0DA0">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针对本项目投标人制定对突发事件的应急响应(如自然灾害事件、公共卫生事件、安全类的响应等)的应急预案进行评价：</w:t>
            </w:r>
          </w:p>
          <w:p w14:paraId="06CCAD10">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1.应急处置方案有效、针对性强、考虑情况全面，处理措施完善合理，应急响应时间及时，得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p w14:paraId="7D2EE96E">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2.应急处置方案较有效、针对性较强、考虑情况较全面，处理措施较好、较合理，得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14:paraId="5B9512D8">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3.应急处置方案较差、内容针对性不强、考虑情况一般，处理措施一般、不</w:t>
            </w:r>
            <w:r>
              <w:rPr>
                <w:rFonts w:hint="eastAsia" w:ascii="宋体" w:eastAsia="宋体" w:cs="宋体"/>
                <w:color w:val="auto"/>
                <w:sz w:val="21"/>
                <w:szCs w:val="21"/>
                <w:highlight w:val="none"/>
                <w:lang w:val="en-US" w:eastAsia="zh-CN"/>
              </w:rPr>
              <w:t>够</w:t>
            </w:r>
            <w:r>
              <w:rPr>
                <w:rFonts w:hint="eastAsia" w:ascii="宋体" w:hAnsi="宋体" w:eastAsia="宋体" w:cs="宋体"/>
                <w:color w:val="auto"/>
                <w:sz w:val="21"/>
                <w:szCs w:val="21"/>
                <w:highlight w:val="none"/>
              </w:rPr>
              <w:t>合理，得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分； </w:t>
            </w:r>
          </w:p>
          <w:p w14:paraId="65F0B1CD">
            <w:pPr>
              <w:pStyle w:val="45"/>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u w:val="single"/>
                <w:lang w:bidi="ar-SA"/>
              </w:rPr>
            </w:pPr>
            <w:r>
              <w:rPr>
                <w:rFonts w:hint="eastAsia" w:ascii="宋体" w:hAnsi="宋体" w:eastAsia="宋体" w:cs="宋体"/>
                <w:color w:val="auto"/>
                <w:sz w:val="21"/>
                <w:szCs w:val="21"/>
                <w:highlight w:val="none"/>
              </w:rPr>
              <w:t>4.未提供对应方案的，不得分。</w:t>
            </w:r>
          </w:p>
        </w:tc>
      </w:tr>
      <w:tr w14:paraId="251F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12FC633">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09" w:type="dxa"/>
            <w:tcBorders>
              <w:top w:val="single" w:color="auto" w:sz="4" w:space="0"/>
              <w:left w:val="single" w:color="auto" w:sz="4" w:space="0"/>
              <w:bottom w:val="single" w:color="auto" w:sz="4" w:space="0"/>
              <w:right w:val="single" w:color="auto" w:sz="4" w:space="0"/>
            </w:tcBorders>
            <w:vAlign w:val="center"/>
          </w:tcPr>
          <w:p w14:paraId="3D5871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pacing w:val="2"/>
                <w:szCs w:val="21"/>
                <w:highlight w:val="none"/>
                <w:u w:val="single"/>
              </w:rPr>
            </w:pPr>
            <w:r>
              <w:rPr>
                <w:rFonts w:hint="eastAsia" w:ascii="宋体" w:hAnsi="宋体" w:eastAsia="宋体" w:cs="宋体"/>
                <w:color w:val="auto"/>
                <w:szCs w:val="21"/>
                <w:highlight w:val="none"/>
                <w:u w:val="none"/>
              </w:rPr>
              <w:t>质量保证措施</w:t>
            </w:r>
          </w:p>
        </w:tc>
        <w:tc>
          <w:tcPr>
            <w:tcW w:w="762" w:type="dxa"/>
            <w:gridSpan w:val="2"/>
            <w:tcBorders>
              <w:top w:val="single" w:color="auto" w:sz="4" w:space="0"/>
              <w:left w:val="single" w:color="auto" w:sz="4" w:space="0"/>
              <w:bottom w:val="single" w:color="auto" w:sz="4" w:space="0"/>
              <w:right w:val="single" w:color="auto" w:sz="4" w:space="0"/>
            </w:tcBorders>
            <w:vAlign w:val="center"/>
          </w:tcPr>
          <w:p w14:paraId="780BE2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p>
        </w:tc>
        <w:tc>
          <w:tcPr>
            <w:tcW w:w="5461" w:type="dxa"/>
            <w:tcBorders>
              <w:top w:val="single" w:color="auto" w:sz="4" w:space="0"/>
              <w:left w:val="single" w:color="auto" w:sz="4" w:space="0"/>
              <w:bottom w:val="single" w:color="auto" w:sz="4" w:space="0"/>
              <w:right w:val="single" w:color="auto" w:sz="4" w:space="0"/>
            </w:tcBorders>
            <w:vAlign w:val="center"/>
          </w:tcPr>
          <w:p w14:paraId="67B9D560">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根据</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提供质量保证措施方案（包括但不限于质量目标、项目质量的控制、质量保证措施等）进行评审</w:t>
            </w:r>
            <w:r>
              <w:rPr>
                <w:rFonts w:hint="eastAsia" w:ascii="宋体" w:hAnsi="宋体" w:eastAsia="宋体" w:cs="宋体"/>
                <w:color w:val="auto"/>
                <w:highlight w:val="none"/>
                <w:lang w:eastAsia="zh-CN"/>
              </w:rPr>
              <w:t>：</w:t>
            </w:r>
          </w:p>
          <w:p w14:paraId="2526E805">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质量目标非常明确、对项目质量的控制非常详细、</w:t>
            </w:r>
            <w:r>
              <w:rPr>
                <w:rFonts w:hint="eastAsia" w:ascii="宋体" w:hAnsi="宋体" w:eastAsia="宋体" w:cs="宋体"/>
                <w:color w:val="auto"/>
                <w:highlight w:val="none"/>
                <w:lang w:eastAsia="zh-CN"/>
              </w:rPr>
              <w:t>检查</w:t>
            </w:r>
            <w:r>
              <w:rPr>
                <w:rFonts w:hint="eastAsia" w:ascii="宋体" w:hAnsi="宋体" w:eastAsia="宋体" w:cs="宋体"/>
                <w:color w:val="auto"/>
                <w:highlight w:val="none"/>
              </w:rPr>
              <w:t>手段非常科学，质量保证措施非常具体，可行</w:t>
            </w:r>
            <w:r>
              <w:rPr>
                <w:rFonts w:hint="eastAsia" w:ascii="宋体" w:hAnsi="宋体" w:eastAsia="宋体" w:cs="宋体"/>
                <w:color w:val="auto"/>
                <w:highlight w:val="none"/>
                <w:lang w:val="en-US" w:eastAsia="zh-CN"/>
              </w:rPr>
              <w:t>性强</w:t>
            </w:r>
            <w:r>
              <w:rPr>
                <w:rFonts w:hint="eastAsia" w:ascii="宋体" w:hAnsi="宋体" w:eastAsia="宋体" w:cs="宋体"/>
                <w:color w:val="auto"/>
                <w:highlight w:val="none"/>
              </w:rPr>
              <w:t>的，得</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分；</w:t>
            </w:r>
          </w:p>
          <w:p w14:paraId="6697D509">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质量目标比较明确、对项目质量的控制较为详细、</w:t>
            </w:r>
            <w:r>
              <w:rPr>
                <w:rFonts w:hint="eastAsia" w:ascii="宋体" w:hAnsi="宋体" w:eastAsia="宋体" w:cs="宋体"/>
                <w:color w:val="auto"/>
                <w:highlight w:val="none"/>
                <w:lang w:eastAsia="zh-CN"/>
              </w:rPr>
              <w:t>检查</w:t>
            </w:r>
            <w:r>
              <w:rPr>
                <w:rFonts w:hint="eastAsia" w:ascii="宋体" w:hAnsi="宋体" w:eastAsia="宋体" w:cs="宋体"/>
                <w:color w:val="auto"/>
                <w:highlight w:val="none"/>
              </w:rPr>
              <w:t>手段比较科学，质量保证措施比较具体，可行</w:t>
            </w:r>
            <w:r>
              <w:rPr>
                <w:rFonts w:hint="eastAsia" w:ascii="宋体" w:hAnsi="宋体" w:eastAsia="宋体" w:cs="宋体"/>
                <w:color w:val="auto"/>
                <w:highlight w:val="none"/>
                <w:lang w:val="en-US" w:eastAsia="zh-CN"/>
              </w:rPr>
              <w:t>性较强</w:t>
            </w:r>
            <w:r>
              <w:rPr>
                <w:rFonts w:hint="eastAsia" w:ascii="宋体" w:hAnsi="宋体" w:eastAsia="宋体" w:cs="宋体"/>
                <w:color w:val="auto"/>
                <w:highlight w:val="none"/>
              </w:rPr>
              <w:t>的，得</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分；</w:t>
            </w:r>
          </w:p>
          <w:p w14:paraId="732F03A1">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质量目标基本明确、对项目质量的控制详细程度</w:t>
            </w:r>
            <w:r>
              <w:rPr>
                <w:rFonts w:hint="eastAsia" w:ascii="宋体" w:hAnsi="宋体" w:eastAsia="宋体" w:cs="宋体"/>
                <w:color w:val="auto"/>
                <w:highlight w:val="none"/>
                <w:lang w:val="en-US" w:eastAsia="zh-CN"/>
              </w:rPr>
              <w:t>一般</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检查</w:t>
            </w:r>
            <w:r>
              <w:rPr>
                <w:rFonts w:hint="eastAsia" w:ascii="宋体" w:hAnsi="宋体" w:eastAsia="宋体" w:cs="宋体"/>
                <w:color w:val="auto"/>
                <w:highlight w:val="none"/>
              </w:rPr>
              <w:t>手段科学性</w:t>
            </w:r>
            <w:r>
              <w:rPr>
                <w:rFonts w:hint="eastAsia" w:ascii="宋体" w:hAnsi="宋体" w:eastAsia="宋体" w:cs="宋体"/>
                <w:color w:val="auto"/>
                <w:highlight w:val="none"/>
                <w:lang w:eastAsia="zh-CN"/>
              </w:rPr>
              <w:t>一般</w:t>
            </w:r>
            <w:r>
              <w:rPr>
                <w:rFonts w:hint="eastAsia" w:ascii="宋体" w:hAnsi="宋体" w:eastAsia="宋体" w:cs="宋体"/>
                <w:color w:val="auto"/>
                <w:highlight w:val="none"/>
              </w:rPr>
              <w:t>，质量保证措施不够具体，可行性</w:t>
            </w:r>
            <w:r>
              <w:rPr>
                <w:rFonts w:hint="eastAsia" w:ascii="宋体" w:hAnsi="宋体" w:eastAsia="宋体" w:cs="宋体"/>
                <w:color w:val="auto"/>
                <w:highlight w:val="none"/>
                <w:lang w:eastAsia="zh-CN"/>
              </w:rPr>
              <w:t>一般的，得</w:t>
            </w:r>
            <w:r>
              <w:rPr>
                <w:rFonts w:hint="eastAsia" w:ascii="宋体" w:hAnsi="宋体" w:eastAsia="宋体" w:cs="宋体"/>
                <w:color w:val="auto"/>
                <w:highlight w:val="none"/>
                <w:lang w:val="en-US" w:eastAsia="zh-CN"/>
              </w:rPr>
              <w:t>1分；</w:t>
            </w:r>
          </w:p>
          <w:p w14:paraId="1AAA3C2A">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Cs w:val="21"/>
                <w:highlight w:val="none"/>
                <w:u w:val="none"/>
                <w:lang w:val="en-US" w:eastAsia="zh-CN"/>
              </w:rPr>
              <w:t>4.</w:t>
            </w:r>
            <w:r>
              <w:rPr>
                <w:rFonts w:hint="eastAsia" w:ascii="宋体" w:hAnsi="宋体" w:eastAsia="宋体" w:cs="宋体"/>
                <w:color w:val="auto"/>
                <w:szCs w:val="21"/>
                <w:highlight w:val="none"/>
                <w:u w:val="none"/>
              </w:rPr>
              <w:t>未提供</w:t>
            </w:r>
            <w:r>
              <w:rPr>
                <w:rFonts w:hint="eastAsia" w:ascii="宋体" w:hAnsi="宋体" w:eastAsia="宋体" w:cs="宋体"/>
                <w:color w:val="auto"/>
                <w:szCs w:val="21"/>
                <w:highlight w:val="none"/>
                <w:u w:val="none"/>
                <w:lang w:eastAsia="zh-CN"/>
              </w:rPr>
              <w:t>相关方案的</w:t>
            </w:r>
            <w:r>
              <w:rPr>
                <w:rFonts w:hint="eastAsia" w:ascii="宋体" w:hAnsi="宋体" w:eastAsia="宋体" w:cs="宋体"/>
                <w:color w:val="auto"/>
                <w:szCs w:val="21"/>
                <w:highlight w:val="none"/>
                <w:u w:val="none"/>
              </w:rPr>
              <w:t>，不得分</w:t>
            </w:r>
            <w:r>
              <w:rPr>
                <w:rFonts w:hint="eastAsia" w:ascii="宋体" w:hAnsi="宋体" w:eastAsia="宋体" w:cs="宋体"/>
                <w:color w:val="auto"/>
                <w:szCs w:val="21"/>
                <w:highlight w:val="none"/>
                <w:u w:val="none"/>
                <w:lang w:eastAsia="zh-CN"/>
              </w:rPr>
              <w:t>。</w:t>
            </w:r>
          </w:p>
        </w:tc>
      </w:tr>
      <w:tr w14:paraId="057C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22" w:type="dxa"/>
            <w:gridSpan w:val="5"/>
            <w:tcBorders>
              <w:top w:val="single" w:color="auto" w:sz="4" w:space="0"/>
              <w:left w:val="single" w:color="auto" w:sz="4" w:space="0"/>
              <w:bottom w:val="single" w:color="auto" w:sz="4" w:space="0"/>
              <w:right w:val="single" w:color="auto" w:sz="4" w:space="0"/>
            </w:tcBorders>
            <w:vAlign w:val="center"/>
          </w:tcPr>
          <w:p w14:paraId="259BDAC8">
            <w:pPr>
              <w:keepNext w:val="0"/>
              <w:keepLines w:val="0"/>
              <w:pageBreakBefore w:val="0"/>
              <w:widowControl w:val="0"/>
              <w:tabs>
                <w:tab w:val="left" w:pos="907"/>
              </w:tabs>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3788EBBA">
            <w:pPr>
              <w:keepNext w:val="0"/>
              <w:keepLines w:val="0"/>
              <w:pageBreakBefore w:val="0"/>
              <w:widowControl w:val="0"/>
              <w:tabs>
                <w:tab w:val="left" w:pos="907"/>
              </w:tabs>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（1）无特殊说明</w:t>
            </w:r>
            <w:r>
              <w:rPr>
                <w:rFonts w:hint="eastAsia" w:ascii="宋体" w:hAnsi="宋体" w:cs="宋体"/>
                <w:b/>
                <w:color w:val="auto"/>
                <w:szCs w:val="21"/>
                <w:highlight w:val="none"/>
                <w:lang w:val="en-US" w:eastAsia="zh-CN"/>
              </w:rPr>
              <w:t>的</w:t>
            </w:r>
            <w:r>
              <w:rPr>
                <w:rFonts w:hint="eastAsia" w:ascii="宋体" w:hAnsi="宋体" w:eastAsia="宋体" w:cs="宋体"/>
                <w:b/>
                <w:color w:val="auto"/>
                <w:szCs w:val="21"/>
                <w:highlight w:val="none"/>
              </w:rPr>
              <w:t>，以上评审项，同一证明文件不重复计分。</w:t>
            </w:r>
          </w:p>
          <w:p w14:paraId="6F74001D">
            <w:pPr>
              <w:keepNext w:val="0"/>
              <w:keepLines w:val="0"/>
              <w:pageBreakBefore w:val="0"/>
              <w:widowControl w:val="0"/>
              <w:tabs>
                <w:tab w:val="left" w:pos="907"/>
              </w:tabs>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（2）投标人根据以上评分要求提供的投标材料因模糊不清导致评标委员会无法清晰辨认进行评审的，视为无效材料。</w:t>
            </w:r>
          </w:p>
        </w:tc>
      </w:tr>
      <w:tr w14:paraId="5865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522" w:type="dxa"/>
            <w:gridSpan w:val="5"/>
            <w:tcBorders>
              <w:top w:val="single" w:color="auto" w:sz="4" w:space="0"/>
              <w:left w:val="single" w:color="auto" w:sz="4" w:space="0"/>
              <w:bottom w:val="single" w:color="auto" w:sz="4" w:space="0"/>
              <w:right w:val="single" w:color="auto" w:sz="4" w:space="0"/>
            </w:tcBorders>
            <w:vAlign w:val="center"/>
          </w:tcPr>
          <w:p w14:paraId="05D32D93">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1"/>
                <w:szCs w:val="21"/>
                <w:highlight w:val="none"/>
                <w:u w:val="single"/>
              </w:rPr>
              <w:t>价格评审（</w:t>
            </w:r>
            <w:r>
              <w:rPr>
                <w:rFonts w:hint="eastAsia" w:ascii="宋体" w:hAnsi="宋体" w:eastAsia="宋体" w:cs="宋体"/>
                <w:b/>
                <w:bCs/>
                <w:color w:val="auto"/>
                <w:sz w:val="21"/>
                <w:szCs w:val="21"/>
                <w:highlight w:val="none"/>
                <w:u w:val="single"/>
                <w:lang w:val="en-US" w:eastAsia="zh-CN"/>
              </w:rPr>
              <w:t>40</w:t>
            </w:r>
            <w:r>
              <w:rPr>
                <w:rFonts w:hint="eastAsia" w:ascii="宋体" w:hAnsi="宋体" w:eastAsia="宋体" w:cs="宋体"/>
                <w:b/>
                <w:bCs/>
                <w:color w:val="auto"/>
                <w:sz w:val="21"/>
                <w:szCs w:val="21"/>
                <w:highlight w:val="none"/>
                <w:u w:val="single"/>
              </w:rPr>
              <w:t>分）</w:t>
            </w:r>
          </w:p>
        </w:tc>
      </w:tr>
      <w:tr w14:paraId="7D9E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7047BA8">
            <w:pPr>
              <w:pStyle w:val="45"/>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09" w:type="dxa"/>
            <w:tcBorders>
              <w:top w:val="single" w:color="auto" w:sz="4" w:space="0"/>
              <w:left w:val="single" w:color="auto" w:sz="4" w:space="0"/>
              <w:bottom w:val="single" w:color="auto" w:sz="4" w:space="0"/>
              <w:right w:val="single" w:color="auto" w:sz="4" w:space="0"/>
            </w:tcBorders>
            <w:vAlign w:val="center"/>
          </w:tcPr>
          <w:p w14:paraId="522998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投标总价</w:t>
            </w:r>
          </w:p>
        </w:tc>
        <w:tc>
          <w:tcPr>
            <w:tcW w:w="734" w:type="dxa"/>
            <w:tcBorders>
              <w:top w:val="single" w:color="auto" w:sz="4" w:space="0"/>
              <w:left w:val="single" w:color="auto" w:sz="4" w:space="0"/>
              <w:bottom w:val="single" w:color="auto" w:sz="4" w:space="0"/>
              <w:right w:val="single" w:color="auto" w:sz="4" w:space="0"/>
            </w:tcBorders>
            <w:vAlign w:val="center"/>
          </w:tcPr>
          <w:p w14:paraId="517C0D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Cs w:val="21"/>
                <w:highlight w:val="none"/>
              </w:rPr>
            </w:pPr>
          </w:p>
        </w:tc>
        <w:tc>
          <w:tcPr>
            <w:tcW w:w="5489" w:type="dxa"/>
            <w:gridSpan w:val="2"/>
            <w:tcBorders>
              <w:top w:val="single" w:color="auto" w:sz="4" w:space="0"/>
              <w:left w:val="single" w:color="auto" w:sz="4" w:space="0"/>
              <w:bottom w:val="single" w:color="auto" w:sz="4" w:space="0"/>
              <w:right w:val="single" w:color="auto" w:sz="4" w:space="0"/>
            </w:tcBorders>
            <w:vAlign w:val="center"/>
          </w:tcPr>
          <w:p w14:paraId="401E51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价格分计算方法：满足采购文件要求且投标价格最低（即</w:t>
            </w:r>
            <w:r>
              <w:rPr>
                <w:rFonts w:hint="eastAsia" w:ascii="宋体" w:hAnsi="宋体" w:eastAsia="宋体" w:cs="宋体"/>
                <w:color w:val="auto"/>
                <w:sz w:val="21"/>
                <w:szCs w:val="21"/>
                <w:highlight w:val="none"/>
                <w:lang w:val="en-US" w:eastAsia="zh-CN"/>
              </w:rPr>
              <w:t>投标下浮率最高</w:t>
            </w:r>
            <w:r>
              <w:rPr>
                <w:rFonts w:hint="eastAsia" w:ascii="宋体" w:hAnsi="宋体" w:eastAsia="宋体" w:cs="宋体"/>
                <w:color w:val="auto"/>
                <w:kern w:val="2"/>
                <w:szCs w:val="21"/>
                <w:highlight w:val="none"/>
                <w:lang w:val="zh-CN"/>
              </w:rPr>
              <w:t>）的投标报价为评标基准价，其价格分为满分。其他投标人的价格分统一按照下列公式计算：</w:t>
            </w:r>
          </w:p>
          <w:p w14:paraId="662126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lang w:val="en-US" w:eastAsia="zh-CN"/>
              </w:rPr>
            </w:pPr>
            <w:bookmarkStart w:id="5" w:name="OLE_LINK1"/>
            <w:r>
              <w:rPr>
                <w:rFonts w:hint="eastAsia" w:ascii="宋体" w:hAnsi="宋体" w:eastAsia="宋体" w:cs="宋体"/>
                <w:color w:val="auto"/>
                <w:sz w:val="21"/>
                <w:szCs w:val="21"/>
                <w:highlight w:val="none"/>
                <w:lang w:val="en-US" w:eastAsia="zh-CN"/>
              </w:rPr>
              <w:t>1.满足采购文件要求且投标下浮率最高的作为评标基准价，其价格分为满分。其他投标人的价格分统一按照下列公式计算：投标人价格得分＝[（1-评标基准价）/（1-投标报价）]×价格权重×100%；价格得分（40分）=</w:t>
            </w:r>
            <w:r>
              <w:rPr>
                <w:rFonts w:hint="eastAsia" w:ascii="宋体" w:hAnsi="宋体" w:eastAsia="宋体" w:cs="宋体"/>
                <w:color w:val="auto"/>
                <w:szCs w:val="21"/>
                <w:highlight w:val="none"/>
              </w:rPr>
              <w:t>常规项部分价格分</w:t>
            </w:r>
            <w:r>
              <w:rPr>
                <w:rFonts w:hint="eastAsia" w:ascii="宋体" w:hAnsi="宋体" w:eastAsia="宋体" w:cs="宋体"/>
                <w:color w:val="auto"/>
                <w:sz w:val="21"/>
                <w:szCs w:val="21"/>
                <w:highlight w:val="none"/>
                <w:lang w:val="en-US" w:eastAsia="zh-CN"/>
              </w:rPr>
              <w:t>（8分）+</w:t>
            </w:r>
            <w:r>
              <w:rPr>
                <w:rFonts w:hint="eastAsia" w:ascii="宋体" w:hAnsi="宋体" w:eastAsia="宋体" w:cs="宋体"/>
                <w:color w:val="auto"/>
                <w:sz w:val="21"/>
                <w:szCs w:val="21"/>
                <w:highlight w:val="none"/>
              </w:rPr>
              <w:t>特殊项部分价格分</w:t>
            </w:r>
            <w:r>
              <w:rPr>
                <w:rFonts w:hint="eastAsia" w:ascii="宋体" w:hAnsi="宋体" w:eastAsia="宋体" w:cs="宋体"/>
                <w:color w:val="auto"/>
                <w:sz w:val="21"/>
                <w:szCs w:val="21"/>
                <w:highlight w:val="none"/>
                <w:lang w:val="en-US" w:eastAsia="zh-CN"/>
              </w:rPr>
              <w:t>（16分）+外判</w:t>
            </w:r>
            <w:r>
              <w:rPr>
                <w:rFonts w:hint="eastAsia" w:ascii="宋体" w:hAnsi="宋体" w:eastAsia="宋体" w:cs="宋体"/>
                <w:color w:val="auto"/>
                <w:szCs w:val="21"/>
                <w:highlight w:val="none"/>
                <w:lang w:val="en-US" w:eastAsia="zh-CN"/>
              </w:rPr>
              <w:t>及日常项</w:t>
            </w:r>
            <w:r>
              <w:rPr>
                <w:rFonts w:hint="eastAsia" w:ascii="宋体" w:hAnsi="宋体" w:eastAsia="宋体" w:cs="宋体"/>
                <w:color w:val="auto"/>
                <w:sz w:val="21"/>
                <w:szCs w:val="21"/>
                <w:highlight w:val="none"/>
              </w:rPr>
              <w:t>部分价格分</w:t>
            </w:r>
            <w:r>
              <w:rPr>
                <w:rFonts w:hint="eastAsia" w:ascii="宋体" w:hAnsi="宋体" w:eastAsia="宋体" w:cs="宋体"/>
                <w:color w:val="auto"/>
                <w:sz w:val="21"/>
                <w:szCs w:val="21"/>
                <w:highlight w:val="none"/>
                <w:lang w:val="en-US" w:eastAsia="zh-CN"/>
              </w:rPr>
              <w:t>（16分）</w:t>
            </w:r>
            <w:r>
              <w:rPr>
                <w:rFonts w:hint="eastAsia" w:ascii="宋体" w:hAnsi="宋体" w:eastAsia="宋体" w:cs="宋体"/>
                <w:color w:val="auto"/>
                <w:sz w:val="21"/>
                <w:szCs w:val="21"/>
                <w:highlight w:val="none"/>
                <w:lang w:eastAsia="zh-CN"/>
              </w:rPr>
              <w:t>。</w:t>
            </w:r>
          </w:p>
          <w:p w14:paraId="0A708C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常规项</w:t>
            </w:r>
            <w:r>
              <w:rPr>
                <w:rFonts w:hint="eastAsia" w:ascii="宋体" w:hAnsi="宋体" w:eastAsia="宋体" w:cs="宋体"/>
                <w:color w:val="auto"/>
                <w:szCs w:val="21"/>
                <w:highlight w:val="none"/>
                <w:lang w:val="en-US" w:eastAsia="zh-CN"/>
              </w:rPr>
              <w:t>部分</w:t>
            </w:r>
            <w:r>
              <w:rPr>
                <w:rFonts w:hint="eastAsia" w:ascii="宋体" w:hAnsi="宋体" w:eastAsia="宋体" w:cs="宋体"/>
                <w:color w:val="auto"/>
                <w:szCs w:val="21"/>
                <w:highlight w:val="none"/>
              </w:rPr>
              <w:t>价格分</w:t>
            </w:r>
            <w:r>
              <w:rPr>
                <w:rFonts w:hint="eastAsia" w:ascii="宋体" w:hAnsi="宋体" w:eastAsia="宋体" w:cs="宋体"/>
                <w:color w:val="auto"/>
                <w:szCs w:val="21"/>
                <w:highlight w:val="none"/>
                <w:lang w:val="en-US" w:eastAsia="zh-CN"/>
              </w:rPr>
              <w:t>权重</w:t>
            </w:r>
            <w:r>
              <w:rPr>
                <w:rFonts w:hint="eastAsia" w:ascii="宋体" w:hAnsi="宋体" w:eastAsia="宋体" w:cs="宋体"/>
                <w:color w:val="auto"/>
                <w:sz w:val="21"/>
                <w:szCs w:val="21"/>
                <w:highlight w:val="none"/>
                <w:lang w:val="en-US" w:eastAsia="zh-CN"/>
              </w:rPr>
              <w:t>8分，</w:t>
            </w:r>
            <w:r>
              <w:rPr>
                <w:rFonts w:hint="eastAsia" w:ascii="宋体" w:hAnsi="宋体" w:eastAsia="宋体" w:cs="宋体"/>
                <w:color w:val="auto"/>
                <w:szCs w:val="21"/>
                <w:highlight w:val="none"/>
              </w:rPr>
              <w:t>特殊项</w:t>
            </w:r>
            <w:r>
              <w:rPr>
                <w:rFonts w:hint="eastAsia" w:ascii="宋体" w:hAnsi="宋体" w:eastAsia="宋体" w:cs="宋体"/>
                <w:color w:val="auto"/>
                <w:szCs w:val="21"/>
                <w:highlight w:val="none"/>
                <w:lang w:val="en-US" w:eastAsia="zh-CN"/>
              </w:rPr>
              <w:t>部分</w:t>
            </w:r>
            <w:r>
              <w:rPr>
                <w:rFonts w:hint="eastAsia" w:ascii="宋体" w:hAnsi="宋体" w:eastAsia="宋体" w:cs="宋体"/>
                <w:color w:val="auto"/>
                <w:szCs w:val="21"/>
                <w:highlight w:val="none"/>
              </w:rPr>
              <w:t>价格分</w:t>
            </w:r>
            <w:r>
              <w:rPr>
                <w:rFonts w:hint="eastAsia" w:ascii="宋体" w:hAnsi="宋体" w:eastAsia="宋体" w:cs="宋体"/>
                <w:color w:val="auto"/>
                <w:szCs w:val="21"/>
                <w:highlight w:val="none"/>
                <w:lang w:val="en-US" w:eastAsia="zh-CN"/>
              </w:rPr>
              <w:t>权重</w:t>
            </w:r>
            <w:r>
              <w:rPr>
                <w:rFonts w:hint="eastAsia" w:ascii="宋体" w:hAnsi="宋体" w:eastAsia="宋体" w:cs="宋体"/>
                <w:color w:val="auto"/>
                <w:sz w:val="21"/>
                <w:szCs w:val="21"/>
                <w:highlight w:val="none"/>
                <w:lang w:val="en-US" w:eastAsia="zh-CN"/>
              </w:rPr>
              <w:t>16分，外判及</w:t>
            </w:r>
            <w:r>
              <w:rPr>
                <w:rFonts w:hint="eastAsia" w:ascii="宋体" w:hAnsi="宋体" w:eastAsia="宋体" w:cs="宋体"/>
                <w:color w:val="auto"/>
                <w:szCs w:val="21"/>
                <w:highlight w:val="none"/>
                <w:lang w:val="en-US" w:eastAsia="zh-CN"/>
              </w:rPr>
              <w:t>日常项</w:t>
            </w:r>
            <w:r>
              <w:rPr>
                <w:rFonts w:hint="eastAsia" w:ascii="宋体" w:hAnsi="宋体" w:eastAsia="宋体" w:cs="宋体"/>
                <w:color w:val="auto"/>
                <w:szCs w:val="21"/>
                <w:highlight w:val="none"/>
              </w:rPr>
              <w:t>部分价格</w:t>
            </w:r>
            <w:r>
              <w:rPr>
                <w:rFonts w:hint="eastAsia" w:ascii="宋体" w:hAnsi="宋体" w:eastAsia="宋体" w:cs="宋体"/>
                <w:color w:val="auto"/>
                <w:szCs w:val="21"/>
                <w:highlight w:val="none"/>
                <w:lang w:eastAsia="zh-CN"/>
              </w:rPr>
              <w:t>分</w:t>
            </w:r>
            <w:r>
              <w:rPr>
                <w:rFonts w:hint="eastAsia" w:ascii="宋体" w:hAnsi="宋体" w:eastAsia="宋体" w:cs="宋体"/>
                <w:color w:val="auto"/>
                <w:szCs w:val="21"/>
                <w:highlight w:val="none"/>
                <w:lang w:val="en-US" w:eastAsia="zh-CN"/>
              </w:rPr>
              <w:t>权重</w:t>
            </w:r>
            <w:r>
              <w:rPr>
                <w:rFonts w:hint="eastAsia" w:ascii="宋体" w:hAnsi="宋体" w:eastAsia="宋体" w:cs="宋体"/>
                <w:color w:val="auto"/>
                <w:sz w:val="21"/>
                <w:szCs w:val="21"/>
                <w:highlight w:val="none"/>
                <w:lang w:val="en-US" w:eastAsia="zh-CN"/>
              </w:rPr>
              <w:t>16分。</w:t>
            </w:r>
            <w:bookmarkEnd w:id="5"/>
          </w:p>
        </w:tc>
      </w:tr>
    </w:tbl>
    <w:p w14:paraId="22F4939D">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注：评标委员会评委按评标标准独立对技术标进行评审，得出技术标评分。当评标委员会为五人时，在所有评委对同一份投标文件技术标评审的总评分中，去掉一个最高分和一个最低分，计算剩余总评分的算术平均值即为该投标人技术标的最终综合得分；当评标委员会为七人及以上单数时，在各评委的打分中，同一评委的最高评分减去最低评分，去掉分差最大评委的所有技术标评分（当一位或两位评委评分差值最大时均取消其评委评分，当多于两位评分差值均最大时，不取消任一评委评分），在所有剩余评委对同一份投标文件技术部分评审的总评分中，去掉一个最高分和一个最低分，计算剩余总评分的算术平均值即为该投标人技术部分的最终综合得分。</w:t>
      </w:r>
      <w:r>
        <w:rPr>
          <w:rFonts w:hint="eastAsia" w:ascii="宋体" w:hAnsi="宋体" w:eastAsia="宋体" w:cs="宋体"/>
          <w:color w:val="auto"/>
          <w:highlight w:val="none"/>
        </w:rPr>
        <w:br w:type="page"/>
      </w:r>
    </w:p>
    <w:p w14:paraId="2455BAB0">
      <w:pPr>
        <w:pStyle w:val="2"/>
        <w:spacing w:before="0" w:after="0" w:line="240" w:lineRule="auto"/>
        <w:rPr>
          <w:rFonts w:hint="eastAsia" w:ascii="宋体" w:hAnsi="宋体" w:eastAsia="宋体" w:cs="宋体"/>
          <w:color w:val="auto"/>
          <w:sz w:val="36"/>
          <w:szCs w:val="36"/>
          <w:highlight w:val="none"/>
        </w:rPr>
      </w:pPr>
      <w:bookmarkStart w:id="6" w:name="_Toc31338"/>
      <w:r>
        <w:rPr>
          <w:rFonts w:hint="eastAsia" w:ascii="宋体" w:hAnsi="宋体" w:eastAsia="宋体" w:cs="宋体"/>
          <w:color w:val="auto"/>
          <w:sz w:val="28"/>
          <w:szCs w:val="28"/>
          <w:highlight w:val="none"/>
        </w:rPr>
        <w:t>第三部分用户需求书</w:t>
      </w:r>
      <w:bookmarkEnd w:id="6"/>
    </w:p>
    <w:p w14:paraId="59A0BDCE">
      <w:pPr>
        <w:pStyle w:val="4"/>
        <w:spacing w:before="0" w:after="0" w:line="360" w:lineRule="auto"/>
        <w:jc w:val="center"/>
        <w:rPr>
          <w:rFonts w:hint="eastAsia" w:ascii="宋体" w:hAnsi="宋体" w:eastAsia="宋体" w:cs="宋体"/>
          <w:color w:val="auto"/>
          <w:highlight w:val="none"/>
        </w:rPr>
      </w:pPr>
      <w:bookmarkStart w:id="7" w:name="_Toc11162"/>
      <w:bookmarkStart w:id="8" w:name="_Toc1593"/>
      <w:bookmarkStart w:id="9" w:name="_Toc308786492"/>
      <w:bookmarkStart w:id="10" w:name="_Toc24679"/>
      <w:bookmarkStart w:id="11" w:name="_Toc13112"/>
      <w:bookmarkStart w:id="12" w:name="_Toc14462"/>
      <w:bookmarkStart w:id="13" w:name="_Toc31278"/>
      <w:r>
        <w:rPr>
          <w:rFonts w:hint="eastAsia" w:ascii="宋体" w:hAnsi="宋体" w:eastAsia="宋体" w:cs="宋体"/>
          <w:color w:val="auto"/>
          <w:highlight w:val="none"/>
        </w:rPr>
        <w:t>第一章 商务需求书</w:t>
      </w:r>
      <w:bookmarkEnd w:id="7"/>
      <w:bookmarkEnd w:id="8"/>
    </w:p>
    <w:tbl>
      <w:tblPr>
        <w:tblStyle w:val="31"/>
        <w:tblW w:w="868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501"/>
        <w:gridCol w:w="6466"/>
      </w:tblGrid>
      <w:tr w14:paraId="4AA5AC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18" w:type="dxa"/>
            <w:vAlign w:val="center"/>
          </w:tcPr>
          <w:p w14:paraId="0FF4578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501" w:type="dxa"/>
            <w:vAlign w:val="center"/>
          </w:tcPr>
          <w:p w14:paraId="03D9437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条款名称</w:t>
            </w:r>
          </w:p>
        </w:tc>
        <w:tc>
          <w:tcPr>
            <w:tcW w:w="6466" w:type="dxa"/>
            <w:vAlign w:val="center"/>
          </w:tcPr>
          <w:p w14:paraId="4240439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  明</w:t>
            </w:r>
          </w:p>
        </w:tc>
      </w:tr>
      <w:tr w14:paraId="78047E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2B1A421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501" w:type="dxa"/>
            <w:vAlign w:val="center"/>
          </w:tcPr>
          <w:p w14:paraId="31F0DDF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合格投标人</w:t>
            </w:r>
          </w:p>
        </w:tc>
        <w:tc>
          <w:tcPr>
            <w:tcW w:w="6466" w:type="dxa"/>
            <w:vAlign w:val="center"/>
          </w:tcPr>
          <w:p w14:paraId="6C3FB859">
            <w:pPr>
              <w:pStyle w:val="42"/>
              <w:rPr>
                <w:rFonts w:hint="eastAsia" w:ascii="宋体" w:hAnsi="宋体" w:eastAsia="宋体" w:cs="宋体"/>
                <w:bCs/>
                <w:color w:val="auto"/>
                <w:kern w:val="44"/>
                <w:szCs w:val="21"/>
                <w:highlight w:val="none"/>
              </w:rPr>
            </w:pPr>
            <w:r>
              <w:rPr>
                <w:rFonts w:hint="eastAsia" w:ascii="宋体" w:hAnsi="宋体" w:eastAsia="宋体" w:cs="宋体"/>
                <w:color w:val="auto"/>
                <w:szCs w:val="21"/>
                <w:highlight w:val="none"/>
              </w:rPr>
              <w:t>详见“第一部分 投标邀请”中“二、投标人资格要求”</w:t>
            </w:r>
          </w:p>
        </w:tc>
      </w:tr>
      <w:tr w14:paraId="0B740B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4725586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501" w:type="dxa"/>
            <w:vAlign w:val="center"/>
          </w:tcPr>
          <w:p w14:paraId="6473257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服务期</w:t>
            </w:r>
          </w:p>
        </w:tc>
        <w:tc>
          <w:tcPr>
            <w:tcW w:w="6466" w:type="dxa"/>
            <w:vAlign w:val="center"/>
          </w:tcPr>
          <w:p w14:paraId="70E51959">
            <w:pPr>
              <w:pStyle w:val="40"/>
              <w:spacing w:line="360" w:lineRule="auto"/>
              <w:ind w:firstLine="4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服务期两年，服务期从202</w:t>
            </w: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rPr>
              <w:t>年1月7日至202</w:t>
            </w: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rPr>
              <w:t>年1月6日止</w:t>
            </w:r>
            <w:r>
              <w:rPr>
                <w:rFonts w:hint="eastAsia" w:ascii="宋体" w:hAnsi="宋体" w:eastAsia="宋体" w:cs="宋体"/>
                <w:color w:val="auto"/>
                <w:szCs w:val="21"/>
                <w:highlight w:val="none"/>
              </w:rPr>
              <w:t>。</w:t>
            </w:r>
          </w:p>
        </w:tc>
      </w:tr>
      <w:tr w14:paraId="0FB4D3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8" w:hRule="atLeast"/>
        </w:trPr>
        <w:tc>
          <w:tcPr>
            <w:tcW w:w="718" w:type="dxa"/>
            <w:vAlign w:val="center"/>
          </w:tcPr>
          <w:p w14:paraId="70A543C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501" w:type="dxa"/>
            <w:vAlign w:val="center"/>
          </w:tcPr>
          <w:p w14:paraId="152E488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付款方式</w:t>
            </w:r>
          </w:p>
        </w:tc>
        <w:tc>
          <w:tcPr>
            <w:tcW w:w="6466" w:type="dxa"/>
            <w:vAlign w:val="center"/>
          </w:tcPr>
          <w:p w14:paraId="5B8160CA">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锅炉施工工程（常规项目及特殊项目）：中标人凭请款函、工程竣工验收证明、工程量确认单、工程验收核算单及对应金额的合格发票等单据，向中标人支付95%的实际核算金额作为工程验收进度款；质保期为6个月，自设备正常满负荷连续运行72小时之日起计算。</w:t>
            </w:r>
          </w:p>
          <w:p w14:paraId="039258B1">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日常配合项目，月度外判工程及小型施工工程：按月支付，采购人凭请款函、工程竣工验收证明、工程量确认单、工程验收核算单及对应金额的合格发票等单据，向中标人支付95%的上一个月实际核算金额作为工程验收进度款，质保期为6个月，质保期自该工程完工并经采购人验收合格后起算。</w:t>
            </w:r>
          </w:p>
          <w:p w14:paraId="05D59352">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（3）合同期结束后中标人提交结算资料至采购人单位，双方确认结算资料无异议后办理结算。质保期结束，采购人确认无工程质量问题，采购人30天内付清合同结算。</w:t>
            </w:r>
          </w:p>
        </w:tc>
      </w:tr>
      <w:tr w14:paraId="52497B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0180BB1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1501" w:type="dxa"/>
            <w:vAlign w:val="center"/>
          </w:tcPr>
          <w:p w14:paraId="11A9DDC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项目地点</w:t>
            </w:r>
          </w:p>
        </w:tc>
        <w:tc>
          <w:tcPr>
            <w:tcW w:w="6466" w:type="dxa"/>
            <w:vAlign w:val="center"/>
          </w:tcPr>
          <w:p w14:paraId="7E68316A">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采购人指定地点。</w:t>
            </w:r>
          </w:p>
        </w:tc>
      </w:tr>
      <w:tr w14:paraId="4C403B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6" w:hRule="atLeast"/>
        </w:trPr>
        <w:tc>
          <w:tcPr>
            <w:tcW w:w="718" w:type="dxa"/>
            <w:vAlign w:val="center"/>
          </w:tcPr>
          <w:p w14:paraId="6E17F84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1501" w:type="dxa"/>
            <w:vAlign w:val="center"/>
          </w:tcPr>
          <w:p w14:paraId="0AC4C98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报价要求</w:t>
            </w:r>
          </w:p>
        </w:tc>
        <w:tc>
          <w:tcPr>
            <w:tcW w:w="6466" w:type="dxa"/>
            <w:vAlign w:val="center"/>
          </w:tcPr>
          <w:p w14:paraId="3A566BD5">
            <w:pPr>
              <w:pStyle w:val="9"/>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投标报价应包括本次采购所有服务内容的费用，包括但不限于人工、材料、成本、利润、机械设备使用费、措施费、税费以及合同实施过程中的不可预见费用等全部费用。</w:t>
            </w:r>
          </w:p>
        </w:tc>
      </w:tr>
      <w:tr w14:paraId="096B13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1" w:hRule="atLeast"/>
        </w:trPr>
        <w:tc>
          <w:tcPr>
            <w:tcW w:w="718" w:type="dxa"/>
            <w:vAlign w:val="center"/>
          </w:tcPr>
          <w:p w14:paraId="0CAC9E4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1501" w:type="dxa"/>
            <w:vAlign w:val="center"/>
          </w:tcPr>
          <w:p w14:paraId="5FFE1E4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6466" w:type="dxa"/>
            <w:vAlign w:val="center"/>
          </w:tcPr>
          <w:p w14:paraId="545BE2B2">
            <w:pPr>
              <w:tabs>
                <w:tab w:val="center" w:pos="3125"/>
              </w:tabs>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自开标之日起90天。</w:t>
            </w:r>
          </w:p>
        </w:tc>
      </w:tr>
      <w:tr w14:paraId="63C3A6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6F74482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1501" w:type="dxa"/>
            <w:vAlign w:val="center"/>
          </w:tcPr>
          <w:p w14:paraId="4BAC2E3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合同条款</w:t>
            </w:r>
          </w:p>
        </w:tc>
        <w:tc>
          <w:tcPr>
            <w:tcW w:w="6466" w:type="dxa"/>
            <w:vAlign w:val="center"/>
          </w:tcPr>
          <w:p w14:paraId="00C00C9A">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投标人实质响应合同各条款。</w:t>
            </w:r>
          </w:p>
        </w:tc>
      </w:tr>
    </w:tbl>
    <w:p w14:paraId="5FC638E7">
      <w:pPr>
        <w:rPr>
          <w:rFonts w:hint="eastAsia" w:ascii="宋体" w:hAnsi="宋体" w:eastAsia="宋体" w:cs="宋体"/>
          <w:color w:val="auto"/>
          <w:highlight w:val="none"/>
        </w:rPr>
      </w:pPr>
    </w:p>
    <w:p w14:paraId="16135C39">
      <w:pPr>
        <w:pStyle w:val="10"/>
        <w:rPr>
          <w:rFonts w:hint="eastAsia" w:ascii="宋体" w:hAnsi="宋体" w:eastAsia="宋体" w:cs="宋体"/>
          <w:color w:val="auto"/>
          <w:highlight w:val="none"/>
          <w:lang w:val="en-US"/>
        </w:rPr>
      </w:pPr>
    </w:p>
    <w:p w14:paraId="5BAF2E14">
      <w:pPr>
        <w:rPr>
          <w:rFonts w:hint="eastAsia" w:ascii="宋体" w:hAnsi="宋体" w:eastAsia="宋体" w:cs="宋体"/>
          <w:color w:val="auto"/>
          <w:highlight w:val="none"/>
        </w:rPr>
      </w:pPr>
      <w:bookmarkStart w:id="14" w:name="_Toc19316"/>
      <w:r>
        <w:rPr>
          <w:rFonts w:hint="eastAsia" w:ascii="宋体" w:hAnsi="宋体" w:eastAsia="宋体" w:cs="宋体"/>
          <w:color w:val="auto"/>
          <w:highlight w:val="none"/>
        </w:rPr>
        <w:br w:type="page"/>
      </w:r>
    </w:p>
    <w:p w14:paraId="32CA93E1">
      <w:pPr>
        <w:pStyle w:val="4"/>
        <w:spacing w:before="0" w:after="0" w:line="360" w:lineRule="auto"/>
        <w:jc w:val="center"/>
        <w:rPr>
          <w:rFonts w:hint="eastAsia" w:ascii="宋体" w:hAnsi="宋体" w:eastAsia="宋体" w:cs="宋体"/>
          <w:color w:val="auto"/>
          <w:highlight w:val="none"/>
        </w:rPr>
      </w:pPr>
      <w:bookmarkStart w:id="15" w:name="_Toc11104"/>
      <w:r>
        <w:rPr>
          <w:rFonts w:hint="eastAsia" w:ascii="宋体" w:hAnsi="宋体" w:eastAsia="宋体" w:cs="宋体"/>
          <w:color w:val="auto"/>
          <w:highlight w:val="none"/>
        </w:rPr>
        <w:t>第二章 技术需求书</w:t>
      </w:r>
      <w:bookmarkEnd w:id="14"/>
      <w:bookmarkEnd w:id="15"/>
    </w:p>
    <w:bookmarkEnd w:id="9"/>
    <w:p w14:paraId="41D201DE">
      <w:pPr>
        <w:keepNext w:val="0"/>
        <w:keepLines w:val="0"/>
        <w:pageBreakBefore w:val="0"/>
        <w:widowControl/>
        <w:kinsoku/>
        <w:wordWrap/>
        <w:overflowPunct/>
        <w:topLinePunct w:val="0"/>
        <w:autoSpaceDE/>
        <w:autoSpaceDN/>
        <w:bidi w:val="0"/>
        <w:adjustRightInd w:val="0"/>
        <w:snapToGrid w:val="0"/>
        <w:ind w:firstLine="422" w:firstLineChars="200"/>
        <w:textAlignment w:val="auto"/>
        <w:rPr>
          <w:rFonts w:hint="eastAsia" w:ascii="宋体" w:hAnsi="宋体" w:eastAsia="宋体" w:cs="宋体"/>
          <w:color w:val="auto"/>
          <w:sz w:val="21"/>
          <w:szCs w:val="21"/>
          <w:highlight w:val="none"/>
          <w:lang w:val="zh-CN"/>
        </w:rPr>
      </w:pPr>
      <w:bookmarkStart w:id="16" w:name="_Toc30349"/>
      <w:bookmarkStart w:id="17" w:name="_Toc10194"/>
      <w:bookmarkStart w:id="18" w:name="_Toc20491478"/>
      <w:r>
        <w:rPr>
          <w:rFonts w:hint="eastAsia" w:ascii="宋体" w:hAnsi="宋体" w:eastAsia="宋体" w:cs="宋体"/>
          <w:b/>
          <w:bCs/>
          <w:color w:val="auto"/>
          <w:sz w:val="21"/>
          <w:szCs w:val="21"/>
          <w:highlight w:val="none"/>
          <w:lang w:val="zh-CN"/>
        </w:rPr>
        <w:t>一、总则</w:t>
      </w:r>
      <w:bookmarkEnd w:id="16"/>
      <w:bookmarkEnd w:id="17"/>
    </w:p>
    <w:p w14:paraId="183E0325">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1.本技术规范书仅适用于海心沙资源综合利用中心环保热电厂项目（以</w:t>
      </w:r>
      <w:r>
        <w:rPr>
          <w:rFonts w:hint="eastAsia" w:ascii="宋体" w:hAnsi="宋体" w:eastAsia="宋体" w:cs="宋体"/>
          <w:color w:val="auto"/>
          <w:sz w:val="21"/>
          <w:szCs w:val="21"/>
          <w:highlight w:val="none"/>
          <w:lang w:eastAsia="zh-CN"/>
        </w:rPr>
        <w:t>下简</w:t>
      </w:r>
      <w:r>
        <w:rPr>
          <w:rFonts w:hint="eastAsia" w:ascii="宋体" w:hAnsi="宋体" w:eastAsia="宋体" w:cs="宋体"/>
          <w:color w:val="auto"/>
          <w:sz w:val="21"/>
          <w:szCs w:val="21"/>
          <w:highlight w:val="none"/>
        </w:rPr>
        <w:t>称“项目”）锅炉和尾气系统施工</w:t>
      </w:r>
      <w:r>
        <w:rPr>
          <w:rFonts w:hint="eastAsia" w:ascii="宋体" w:hAnsi="宋体" w:eastAsia="宋体" w:cs="宋体"/>
          <w:color w:val="auto"/>
          <w:sz w:val="21"/>
          <w:szCs w:val="21"/>
          <w:highlight w:val="none"/>
          <w:lang w:eastAsia="zh-CN"/>
        </w:rPr>
        <w:t>清包工程服务</w:t>
      </w:r>
      <w:r>
        <w:rPr>
          <w:rFonts w:hint="eastAsia" w:ascii="宋体" w:hAnsi="宋体" w:eastAsia="宋体" w:cs="宋体"/>
          <w:color w:val="auto"/>
          <w:sz w:val="21"/>
          <w:szCs w:val="21"/>
          <w:highlight w:val="none"/>
        </w:rPr>
        <w:t>采购。</w:t>
      </w:r>
    </w:p>
    <w:p w14:paraId="53FCF2F2">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2.本技术需求书仅对海心沙资源综合利用中心环保热电厂项目锅炉和尾气系统施工</w:t>
      </w:r>
      <w:r>
        <w:rPr>
          <w:rFonts w:hint="eastAsia" w:ascii="宋体" w:hAnsi="宋体" w:eastAsia="宋体" w:cs="宋体"/>
          <w:color w:val="auto"/>
          <w:sz w:val="21"/>
          <w:szCs w:val="21"/>
          <w:highlight w:val="none"/>
          <w:lang w:eastAsia="zh-CN"/>
        </w:rPr>
        <w:t>清包工程服务</w:t>
      </w:r>
      <w:r>
        <w:rPr>
          <w:rFonts w:hint="eastAsia" w:ascii="宋体" w:hAnsi="宋体" w:eastAsia="宋体" w:cs="宋体"/>
          <w:color w:val="auto"/>
          <w:sz w:val="21"/>
          <w:szCs w:val="21"/>
          <w:highlight w:val="none"/>
        </w:rPr>
        <w:t>采购项目的内容、投标人的人员配置及技术要求等方面提出了相关的规定。</w:t>
      </w:r>
    </w:p>
    <w:p w14:paraId="290BCD76">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3.本需求书提出的是最低限度的技术要求，并未对一切技术细节作出规定，也未充分引述有关标准和规范的条文。投标人应提供符合本需求书的服务，同时还应满足相应的国家行业标准的要求。</w:t>
      </w:r>
    </w:p>
    <w:p w14:paraId="7B89D985">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4.投标人应按照投标文件技术规范的相关内容做出全面响应，内容应包括技术规范上所有条款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并最大限度的满足或优于本技术规范条款的要求。</w:t>
      </w:r>
    </w:p>
    <w:p w14:paraId="4806656E">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5.如果投标人没有以书面形式对本规范书条文提出异议，则意味着投标人提供的服务完全符合本规范书的要求。</w:t>
      </w:r>
    </w:p>
    <w:p w14:paraId="029D55AD">
      <w:pPr>
        <w:keepNext w:val="0"/>
        <w:keepLines w:val="0"/>
        <w:pageBreakBefore w:val="0"/>
        <w:widowControl/>
        <w:kinsoku/>
        <w:wordWrap/>
        <w:overflowPunct/>
        <w:topLinePunct w:val="0"/>
        <w:autoSpaceDE/>
        <w:autoSpaceDN/>
        <w:bidi w:val="0"/>
        <w:adjustRightInd w:val="0"/>
        <w:snapToGrid w:val="0"/>
        <w:ind w:firstLine="422" w:firstLineChars="200"/>
        <w:textAlignment w:val="auto"/>
        <w:rPr>
          <w:rFonts w:hint="eastAsia" w:ascii="宋体" w:hAnsi="宋体" w:eastAsia="宋体" w:cs="宋体"/>
          <w:color w:val="auto"/>
          <w:sz w:val="21"/>
          <w:szCs w:val="21"/>
          <w:highlight w:val="none"/>
          <w:lang w:val="zh-CN"/>
        </w:rPr>
      </w:pPr>
      <w:bookmarkStart w:id="19" w:name="_Toc4129"/>
      <w:bookmarkStart w:id="20" w:name="_Toc26635"/>
      <w:r>
        <w:rPr>
          <w:rFonts w:hint="eastAsia" w:ascii="宋体" w:hAnsi="宋体" w:eastAsia="宋体" w:cs="宋体"/>
          <w:b/>
          <w:bCs/>
          <w:color w:val="auto"/>
          <w:sz w:val="21"/>
          <w:szCs w:val="21"/>
          <w:highlight w:val="none"/>
          <w:lang w:val="zh-CN"/>
        </w:rPr>
        <w:t>二、工程概况：</w:t>
      </w:r>
      <w:bookmarkEnd w:id="18"/>
      <w:bookmarkEnd w:id="19"/>
      <w:bookmarkEnd w:id="20"/>
    </w:p>
    <w:p w14:paraId="4A87CB71">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工程名称：</w:t>
      </w:r>
      <w:r>
        <w:rPr>
          <w:rFonts w:hint="eastAsia" w:ascii="宋体" w:hAnsi="宋体" w:eastAsia="宋体" w:cs="宋体"/>
          <w:color w:val="auto"/>
          <w:sz w:val="21"/>
          <w:szCs w:val="21"/>
          <w:highlight w:val="none"/>
          <w:lang w:eastAsia="zh-CN"/>
        </w:rPr>
        <w:t>东莞市海心沙环保热电厂202</w:t>
      </w:r>
      <w:r>
        <w:rPr>
          <w:rFonts w:hint="eastAsia" w:ascii="宋体" w:hAnsi="宋体" w:eastAsia="宋体" w:cs="宋体"/>
          <w:color w:val="auto"/>
          <w:sz w:val="21"/>
          <w:szCs w:val="21"/>
          <w:highlight w:val="none"/>
          <w:lang w:val="en-US" w:eastAsia="zh-CN"/>
        </w:rPr>
        <w:t>7~2028</w:t>
      </w:r>
      <w:r>
        <w:rPr>
          <w:rFonts w:hint="eastAsia" w:ascii="宋体" w:hAnsi="宋体" w:eastAsia="宋体" w:cs="宋体"/>
          <w:color w:val="auto"/>
          <w:sz w:val="21"/>
          <w:szCs w:val="21"/>
          <w:highlight w:val="none"/>
          <w:lang w:eastAsia="zh-CN"/>
        </w:rPr>
        <w:t>年度锅炉和尾气系统施工清包工程服务采购项目</w:t>
      </w:r>
      <w:r>
        <w:rPr>
          <w:rFonts w:hint="eastAsia" w:ascii="宋体" w:hAnsi="宋体" w:eastAsia="宋体" w:cs="宋体"/>
          <w:color w:val="auto"/>
          <w:sz w:val="21"/>
          <w:szCs w:val="21"/>
          <w:highlight w:val="none"/>
        </w:rPr>
        <w:t>。</w:t>
      </w:r>
    </w:p>
    <w:p w14:paraId="54D91CC9">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工程地址：东莞市新东元环保投资有限公司。</w:t>
      </w:r>
    </w:p>
    <w:p w14:paraId="45650488">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项目规模：</w:t>
      </w:r>
    </w:p>
    <w:p w14:paraId="21A8C794">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总处理规模为处理生活垃圾和一般工业垃圾2250吨，年处理垃圾82.125万吨，设置3条日处理能力为750吨的焚烧线及对应配套系统（包括烟气净化系统、湿法系统、SCR脱硝系统、飞灰螯合稳定化系统、给排水系统等），2台40MW纯凝式汽轮发电机组。项目用地总面积为6.96公顷。</w:t>
      </w:r>
    </w:p>
    <w:p w14:paraId="5748AD32">
      <w:pPr>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本项目</w:t>
      </w:r>
      <w:r>
        <w:rPr>
          <w:rFonts w:hint="eastAsia" w:ascii="宋体" w:hAnsi="宋体" w:cs="宋体"/>
          <w:color w:val="auto"/>
          <w:szCs w:val="21"/>
          <w:highlight w:val="none"/>
        </w:rPr>
        <w:t>余热炉：额定蒸发量126t/h,最大蒸发量151/h。</w:t>
      </w:r>
    </w:p>
    <w:p w14:paraId="5F3F8D49">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承包范围：</w:t>
      </w:r>
    </w:p>
    <w:p w14:paraId="729841C4">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本发包工程的范围见《锅炉与尾气系统施工项目清单》。</w:t>
      </w:r>
    </w:p>
    <w:p w14:paraId="0EC3818D">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承包方式：清包工</w:t>
      </w:r>
    </w:p>
    <w:p w14:paraId="5EA31E32">
      <w:pPr>
        <w:keepNext w:val="0"/>
        <w:keepLines w:val="0"/>
        <w:pageBreakBefore w:val="0"/>
        <w:widowControl/>
        <w:kinsoku/>
        <w:wordWrap/>
        <w:overflowPunct/>
        <w:topLinePunct w:val="0"/>
        <w:autoSpaceDE/>
        <w:autoSpaceDN/>
        <w:bidi w:val="0"/>
        <w:adjustRightInd w:val="0"/>
        <w:snapToGrid w:val="0"/>
        <w:ind w:firstLine="422" w:firstLineChars="200"/>
        <w:textAlignment w:val="auto"/>
        <w:rPr>
          <w:rFonts w:hint="eastAsia" w:ascii="宋体" w:hAnsi="宋体" w:eastAsia="宋体" w:cs="宋体"/>
          <w:color w:val="auto"/>
          <w:sz w:val="21"/>
          <w:szCs w:val="21"/>
          <w:highlight w:val="none"/>
        </w:rPr>
      </w:pPr>
      <w:bookmarkStart w:id="21" w:name="_Toc26882"/>
      <w:bookmarkStart w:id="22" w:name="_Toc15994"/>
      <w:bookmarkStart w:id="23" w:name="_Toc20491479"/>
      <w:r>
        <w:rPr>
          <w:rFonts w:hint="eastAsia" w:ascii="宋体" w:hAnsi="宋体" w:eastAsia="宋体" w:cs="宋体"/>
          <w:b/>
          <w:bCs/>
          <w:color w:val="auto"/>
          <w:sz w:val="21"/>
          <w:szCs w:val="21"/>
          <w:highlight w:val="none"/>
          <w:lang w:val="zh-CN"/>
        </w:rPr>
        <w:t>三、工期要求</w:t>
      </w:r>
      <w:r>
        <w:rPr>
          <w:rFonts w:hint="eastAsia" w:ascii="宋体" w:hAnsi="宋体" w:eastAsia="宋体" w:cs="宋体"/>
          <w:b/>
          <w:bCs/>
          <w:color w:val="auto"/>
          <w:sz w:val="21"/>
          <w:szCs w:val="21"/>
          <w:highlight w:val="none"/>
        </w:rPr>
        <w:t>：</w:t>
      </w:r>
      <w:bookmarkEnd w:id="21"/>
      <w:bookmarkEnd w:id="22"/>
      <w:bookmarkEnd w:id="23"/>
    </w:p>
    <w:p w14:paraId="7FBE9535">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本项目服务期两年，服务期从202</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年1月7日至202</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年1月6日止。</w:t>
      </w:r>
    </w:p>
    <w:p w14:paraId="0C758DE4">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开工日期：具体时间以采购人通知为准。</w:t>
      </w:r>
    </w:p>
    <w:p w14:paraId="253CD397">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工期：每台次锅炉与尾气系统施工工程根据每次实际施工工程量分为以下三种工程类别。</w:t>
      </w:r>
    </w:p>
    <w:p w14:paraId="038A5440">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大型施工工程：主要施工内容为大面积受热面管道更换（如：管道更换数量超过200根或管排数量超过100片）；工期：15天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25天。</w:t>
      </w:r>
    </w:p>
    <w:p w14:paraId="22632AC1">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中型施工工程：部分受热面管道更换（如：管道更换小于200根大于10根或管排数量小于100片）；工期：12天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15天。</w:t>
      </w:r>
    </w:p>
    <w:p w14:paraId="4FCE5220">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常规性施工工程：锅炉及尾气常规性施工工程；工期：8天</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12天。</w:t>
      </w:r>
    </w:p>
    <w:p w14:paraId="2156FE05">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竣工日期指中标人已完成采购人指定的《锅炉与尾气系统施工项目清单》的施工项目，锅炉及尾气系统运行指标均达到良好并办理完竣工验收签证。</w:t>
      </w:r>
    </w:p>
    <w:p w14:paraId="5D9C7C33">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如果发生不可预见的事项或工程量需要调整而影响工期时，工期由双方协商进行合理调整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中标人</w:t>
      </w:r>
      <w:r>
        <w:rPr>
          <w:rFonts w:hint="eastAsia" w:ascii="宋体" w:hAnsi="宋体" w:eastAsia="宋体" w:cs="宋体"/>
          <w:color w:val="auto"/>
          <w:sz w:val="21"/>
          <w:szCs w:val="21"/>
          <w:highlight w:val="none"/>
          <w:lang w:eastAsia="zh-CN"/>
        </w:rPr>
        <w:t>应当在前述事项发生后3个工作日内向</w:t>
      </w:r>
      <w:r>
        <w:rPr>
          <w:rFonts w:hint="eastAsia" w:ascii="宋体" w:hAnsi="宋体" w:cs="宋体"/>
          <w:color w:val="auto"/>
          <w:sz w:val="21"/>
          <w:szCs w:val="21"/>
          <w:highlight w:val="none"/>
          <w:lang w:val="en-US" w:eastAsia="zh-CN"/>
        </w:rPr>
        <w:t>采购人（业主）</w:t>
      </w:r>
      <w:r>
        <w:rPr>
          <w:rFonts w:hint="eastAsia" w:ascii="宋体" w:hAnsi="宋体" w:eastAsia="宋体" w:cs="宋体"/>
          <w:color w:val="auto"/>
          <w:sz w:val="21"/>
          <w:szCs w:val="21"/>
          <w:highlight w:val="none"/>
          <w:lang w:eastAsia="zh-CN"/>
        </w:rPr>
        <w:t>提交书面工期调整申请及佐证材料，逾期未提交的，视为该事项不影响工期，</w:t>
      </w:r>
      <w:r>
        <w:rPr>
          <w:rFonts w:hint="eastAsia" w:ascii="宋体" w:hAnsi="宋体" w:eastAsia="宋体" w:cs="宋体"/>
          <w:color w:val="auto"/>
          <w:sz w:val="21"/>
          <w:szCs w:val="21"/>
          <w:highlight w:val="none"/>
        </w:rPr>
        <w:t>中标人</w:t>
      </w:r>
      <w:r>
        <w:rPr>
          <w:rFonts w:hint="eastAsia" w:ascii="宋体" w:hAnsi="宋体" w:eastAsia="宋体" w:cs="宋体"/>
          <w:color w:val="auto"/>
          <w:sz w:val="21"/>
          <w:szCs w:val="21"/>
          <w:highlight w:val="none"/>
          <w:lang w:eastAsia="zh-CN"/>
        </w:rPr>
        <w:t>不得再主张工期顺延。</w:t>
      </w:r>
      <w:r>
        <w:rPr>
          <w:rFonts w:hint="eastAsia" w:ascii="宋体" w:hAnsi="宋体" w:eastAsia="宋体" w:cs="宋体"/>
          <w:color w:val="auto"/>
          <w:sz w:val="21"/>
          <w:szCs w:val="21"/>
          <w:highlight w:val="none"/>
        </w:rPr>
        <w:t>若中标人的施工进度未能满足采购人（业主）的要求，采购人有权终止合同。</w:t>
      </w:r>
    </w:p>
    <w:p w14:paraId="429BC7A8">
      <w:pPr>
        <w:keepNext w:val="0"/>
        <w:keepLines w:val="0"/>
        <w:pageBreakBefore w:val="0"/>
        <w:widowControl/>
        <w:kinsoku/>
        <w:wordWrap/>
        <w:overflowPunct/>
        <w:topLinePunct w:val="0"/>
        <w:autoSpaceDE/>
        <w:autoSpaceDN/>
        <w:bidi w:val="0"/>
        <w:adjustRightInd w:val="0"/>
        <w:snapToGrid w:val="0"/>
        <w:ind w:firstLine="422" w:firstLineChars="200"/>
        <w:textAlignment w:val="auto"/>
        <w:rPr>
          <w:rFonts w:hint="eastAsia" w:ascii="宋体" w:hAnsi="宋体" w:eastAsia="宋体" w:cs="宋体"/>
          <w:color w:val="auto"/>
          <w:sz w:val="21"/>
          <w:szCs w:val="21"/>
          <w:highlight w:val="none"/>
          <w:lang w:val="zh-CN"/>
        </w:rPr>
      </w:pPr>
      <w:bookmarkStart w:id="24" w:name="_Toc20491480"/>
      <w:bookmarkStart w:id="25" w:name="_Toc20134"/>
      <w:bookmarkStart w:id="26" w:name="_Toc31202"/>
      <w:r>
        <w:rPr>
          <w:rFonts w:hint="eastAsia" w:ascii="宋体" w:hAnsi="宋体" w:eastAsia="宋体" w:cs="宋体"/>
          <w:b/>
          <w:bCs/>
          <w:color w:val="auto"/>
          <w:sz w:val="21"/>
          <w:szCs w:val="21"/>
          <w:highlight w:val="none"/>
          <w:lang w:val="zh-CN"/>
        </w:rPr>
        <w:t>四、质量及技术要求：</w:t>
      </w:r>
      <w:bookmarkEnd w:id="24"/>
      <w:bookmarkEnd w:id="25"/>
      <w:bookmarkEnd w:id="26"/>
    </w:p>
    <w:p w14:paraId="2B422020">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rPr>
        <w:t>（80）电技字第26号 DL/T 748.8 DL/T 748.8 电力工业技术管理法规。</w:t>
      </w:r>
    </w:p>
    <w:p w14:paraId="75572A59">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2.</w:t>
      </w:r>
      <w:r>
        <w:rPr>
          <w:rFonts w:hint="eastAsia" w:ascii="宋体" w:hAnsi="宋体" w:eastAsia="宋体" w:cs="宋体"/>
          <w:color w:val="auto"/>
          <w:sz w:val="21"/>
          <w:szCs w:val="21"/>
          <w:highlight w:val="none"/>
        </w:rPr>
        <w:t>电安生[1994] 227号  电业安全工作规程（热力和机械部分）。</w:t>
      </w:r>
    </w:p>
    <w:p w14:paraId="62A521F1">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3.</w:t>
      </w:r>
      <w:r>
        <w:rPr>
          <w:rFonts w:hint="eastAsia" w:ascii="宋体" w:hAnsi="宋体" w:eastAsia="宋体" w:cs="宋体"/>
          <w:color w:val="auto"/>
          <w:sz w:val="21"/>
          <w:szCs w:val="21"/>
          <w:highlight w:val="none"/>
        </w:rPr>
        <w:t>DL/T 5047  电力建设施工及验收技术规范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锅炉机组篇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7A0A3ACE">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4.</w:t>
      </w:r>
      <w:r>
        <w:rPr>
          <w:rFonts w:hint="eastAsia" w:ascii="宋体" w:hAnsi="宋体" w:eastAsia="宋体" w:cs="宋体"/>
          <w:color w:val="auto"/>
          <w:sz w:val="21"/>
          <w:szCs w:val="21"/>
          <w:highlight w:val="none"/>
        </w:rPr>
        <w:t>DL/T5069-1996 《电力建设施工及验收技术规范》。</w:t>
      </w:r>
    </w:p>
    <w:p w14:paraId="5844E420">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5.</w:t>
      </w:r>
      <w:r>
        <w:rPr>
          <w:rFonts w:hint="eastAsia" w:ascii="宋体" w:hAnsi="宋体" w:eastAsia="宋体" w:cs="宋体"/>
          <w:color w:val="auto"/>
          <w:sz w:val="21"/>
          <w:szCs w:val="21"/>
          <w:highlight w:val="none"/>
        </w:rPr>
        <w:t>工程质量要求参照合同附件</w:t>
      </w:r>
      <w:r>
        <w:rPr>
          <w:rFonts w:hint="eastAsia" w:ascii="宋体" w:hAnsi="宋体" w:cs="宋体"/>
          <w:color w:val="auto"/>
          <w:sz w:val="21"/>
          <w:szCs w:val="21"/>
          <w:highlight w:val="none"/>
          <w:lang w:val="en-US" w:eastAsia="zh-CN"/>
        </w:rPr>
        <w:t>四《</w:t>
      </w:r>
      <w:r>
        <w:rPr>
          <w:rFonts w:hint="eastAsia" w:ascii="宋体" w:hAnsi="宋体" w:cs="宋体"/>
          <w:color w:val="auto"/>
          <w:kern w:val="2"/>
          <w:szCs w:val="21"/>
          <w:highlight w:val="none"/>
        </w:rPr>
        <w:t>锅炉与尾气系统施工项目清单及技术要求</w:t>
      </w:r>
      <w:r>
        <w:rPr>
          <w:rFonts w:hint="eastAsia" w:ascii="宋体" w:hAnsi="宋体" w:cs="宋体"/>
          <w:color w:val="auto"/>
          <w:sz w:val="21"/>
          <w:szCs w:val="21"/>
          <w:highlight w:val="none"/>
          <w:lang w:val="en-US" w:eastAsia="zh-CN"/>
        </w:rPr>
        <w:t>》中</w:t>
      </w:r>
      <w:r>
        <w:rPr>
          <w:rFonts w:hint="eastAsia" w:ascii="宋体" w:hAnsi="宋体" w:eastAsia="宋体" w:cs="宋体"/>
          <w:color w:val="auto"/>
          <w:sz w:val="21"/>
          <w:szCs w:val="21"/>
          <w:highlight w:val="none"/>
        </w:rPr>
        <w:t>每台锅炉及其尾气系统施工项目主要质量要求及原厂设计要求。</w:t>
      </w:r>
    </w:p>
    <w:p w14:paraId="221196D9">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6.</w:t>
      </w:r>
      <w:r>
        <w:rPr>
          <w:rFonts w:hint="eastAsia" w:ascii="宋体" w:hAnsi="宋体" w:eastAsia="宋体" w:cs="宋体"/>
          <w:color w:val="auto"/>
          <w:sz w:val="21"/>
          <w:szCs w:val="21"/>
          <w:highlight w:val="none"/>
        </w:rPr>
        <w:t>中标人应严格按照图纸及规范进行施工，因不按照图纸及规范施工所造成的返工及材料损失，中标人负全部责任，工期不予延后，对于因此所发生的损失，采购人有权直接在中标人工程款中扣除。</w:t>
      </w:r>
    </w:p>
    <w:p w14:paraId="151E9C30">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7.由于</w:t>
      </w:r>
      <w:r>
        <w:rPr>
          <w:rFonts w:hint="eastAsia" w:ascii="宋体" w:hAnsi="宋体" w:eastAsia="宋体" w:cs="宋体"/>
          <w:color w:val="auto"/>
          <w:sz w:val="21"/>
          <w:szCs w:val="21"/>
          <w:highlight w:val="none"/>
        </w:rPr>
        <w:t>中标人施工质量导致而发生的一切费用由中标人承担，工期不予延期，在施工中如</w:t>
      </w:r>
      <w:r>
        <w:rPr>
          <w:rFonts w:hint="eastAsia" w:ascii="宋体" w:hAnsi="宋体" w:cs="宋体"/>
          <w:color w:val="auto"/>
          <w:sz w:val="21"/>
          <w:szCs w:val="21"/>
          <w:highlight w:val="none"/>
          <w:lang w:val="en-US" w:eastAsia="zh-CN"/>
        </w:rPr>
        <w:t>因</w:t>
      </w:r>
      <w:r>
        <w:rPr>
          <w:rFonts w:hint="eastAsia" w:ascii="宋体" w:hAnsi="宋体" w:eastAsia="宋体" w:cs="宋体"/>
          <w:color w:val="auto"/>
          <w:sz w:val="21"/>
          <w:szCs w:val="21"/>
          <w:highlight w:val="none"/>
        </w:rPr>
        <w:t>中标人</w:t>
      </w:r>
      <w:r>
        <w:rPr>
          <w:rFonts w:hint="eastAsia" w:ascii="宋体" w:hAnsi="宋体" w:cs="宋体"/>
          <w:color w:val="auto"/>
          <w:sz w:val="21"/>
          <w:szCs w:val="21"/>
          <w:highlight w:val="none"/>
          <w:lang w:val="en-US" w:eastAsia="zh-CN"/>
        </w:rPr>
        <w:t>原因导致</w:t>
      </w:r>
      <w:r>
        <w:rPr>
          <w:rFonts w:hint="eastAsia" w:ascii="宋体" w:hAnsi="宋体" w:eastAsia="宋体" w:cs="宋体"/>
          <w:color w:val="auto"/>
          <w:sz w:val="21"/>
          <w:szCs w:val="21"/>
          <w:highlight w:val="none"/>
        </w:rPr>
        <w:t>的施工进度和质量达不到业主</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rPr>
        <w:t>监理的要求，采购人有权要求中标人整改或退场，所完成工程量不予结算。</w:t>
      </w:r>
    </w:p>
    <w:p w14:paraId="72C83C61">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r>
        <w:rPr>
          <w:rFonts w:hint="eastAsia" w:ascii="宋体" w:hAnsi="宋体" w:cs="宋体"/>
          <w:color w:val="auto"/>
          <w:sz w:val="21"/>
          <w:szCs w:val="21"/>
          <w:highlight w:val="none"/>
          <w:lang w:val="en-US" w:eastAsia="zh-CN"/>
        </w:rPr>
        <w:t>.</w:t>
      </w:r>
      <w:r>
        <w:rPr>
          <w:rFonts w:hint="eastAsia" w:ascii="宋体" w:hAnsi="宋体" w:eastAsia="宋体" w:cs="宋体"/>
          <w:color w:val="auto"/>
          <w:highlight w:val="none"/>
        </w:rPr>
        <w:t>自停炉次日起白天开始搭设脚手架，（停炉时间约为当日0：00点），每个通道的工作面须在1天内完成搭设，第一、二、三、水平烟道的总搭设绝对工期不超过4天。根据工期需要，中标人须随时配合拆除脚手架，每个通道的拆除时间不得超过8小时。若中标人的施工进度未能满足采购人（业主）的要求，采购人有权终止合同</w:t>
      </w:r>
      <w:r>
        <w:rPr>
          <w:rFonts w:hint="eastAsia" w:ascii="宋体" w:hAnsi="宋体" w:eastAsia="宋体" w:cs="宋体"/>
          <w:color w:val="auto"/>
          <w:sz w:val="21"/>
          <w:szCs w:val="21"/>
          <w:highlight w:val="none"/>
        </w:rPr>
        <w:t>。</w:t>
      </w:r>
    </w:p>
    <w:p w14:paraId="6EE2FE2B">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对已完工各项施工项目内容，中标人须执行三级验收签字确认程序。</w:t>
      </w:r>
    </w:p>
    <w:p w14:paraId="18F0E9E5">
      <w:pPr>
        <w:keepNext w:val="0"/>
        <w:keepLines w:val="0"/>
        <w:pageBreakBefore w:val="0"/>
        <w:widowControl/>
        <w:kinsoku/>
        <w:wordWrap/>
        <w:overflowPunct/>
        <w:topLinePunct w:val="0"/>
        <w:autoSpaceDE/>
        <w:autoSpaceDN/>
        <w:bidi w:val="0"/>
        <w:adjustRightInd w:val="0"/>
        <w:snapToGrid w:val="0"/>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综合单价包干已涵盖为完成该项目内容所需的一切人工费用，具体包括但不限于：人工操作费、辅助工费、相关连接构件（如螺栓、卡扣、套管等）的拆除与安装费，以及为满足施工要求而采取的所有辅助措施（如临时支撑、二次搬运、定位调整、清场清理等）所产生的人工成本，发包人不再就上述任何项目另行支付费用</w:t>
      </w:r>
      <w:r>
        <w:rPr>
          <w:rFonts w:hint="eastAsia" w:ascii="宋体" w:hAnsi="宋体" w:eastAsia="宋体" w:cs="宋体"/>
          <w:color w:val="auto"/>
          <w:sz w:val="21"/>
          <w:szCs w:val="21"/>
          <w:highlight w:val="none"/>
        </w:rPr>
        <w:t>。</w:t>
      </w:r>
    </w:p>
    <w:p w14:paraId="1AB833D4">
      <w:pPr>
        <w:widowControl w:val="0"/>
        <w:adjustRightInd/>
        <w:snapToGrid/>
        <w:spacing w:line="360" w:lineRule="auto"/>
        <w:ind w:firstLine="420" w:firstLineChars="200"/>
        <w:jc w:val="both"/>
        <w:rPr>
          <w:rFonts w:hint="eastAsia" w:ascii="宋体" w:hAnsi="宋体" w:cs="宋体"/>
          <w:color w:val="auto"/>
          <w:kern w:val="2"/>
          <w:szCs w:val="21"/>
          <w:highlight w:val="none"/>
        </w:rPr>
      </w:pPr>
      <w:bookmarkStart w:id="27" w:name="_Toc3389"/>
      <w:bookmarkStart w:id="28" w:name="_Toc7125"/>
      <w:r>
        <w:rPr>
          <w:rFonts w:hint="eastAsia" w:ascii="宋体" w:hAnsi="宋体" w:cs="宋体"/>
          <w:color w:val="auto"/>
          <w:kern w:val="2"/>
          <w:szCs w:val="21"/>
          <w:highlight w:val="none"/>
          <w:lang w:val="en-US" w:eastAsia="zh-CN"/>
        </w:rPr>
        <w:t>11.</w:t>
      </w:r>
      <w:r>
        <w:rPr>
          <w:rFonts w:hint="eastAsia" w:ascii="宋体" w:hAnsi="宋体" w:cs="宋体"/>
          <w:color w:val="auto"/>
          <w:kern w:val="2"/>
          <w:szCs w:val="21"/>
          <w:highlight w:val="none"/>
        </w:rPr>
        <w:t>锅炉与尾气系统施工项目清单及技术要求</w:t>
      </w:r>
    </w:p>
    <w:p w14:paraId="60CFD884">
      <w:pPr>
        <w:keepNext w:val="0"/>
        <w:keepLines w:val="0"/>
        <w:pageBreakBefore w:val="0"/>
        <w:widowControl/>
        <w:numPr>
          <w:ilvl w:val="0"/>
          <w:numId w:val="0"/>
        </w:numPr>
        <w:kinsoku/>
        <w:wordWrap/>
        <w:overflowPunct/>
        <w:topLinePunct w:val="0"/>
        <w:autoSpaceDE/>
        <w:autoSpaceDN/>
        <w:bidi w:val="0"/>
        <w:adjustRightInd w:val="0"/>
        <w:snapToGrid w:val="0"/>
        <w:ind w:firstLine="422" w:firstLineChars="200"/>
        <w:textAlignment w:val="auto"/>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SA"/>
        </w:rPr>
        <w:t>（1）</w:t>
      </w:r>
      <w:r>
        <w:rPr>
          <w:rFonts w:hint="eastAsia" w:ascii="宋体" w:hAnsi="宋体" w:eastAsia="宋体" w:cs="宋体"/>
          <w:b/>
          <w:bCs/>
          <w:color w:val="auto"/>
          <w:sz w:val="21"/>
          <w:szCs w:val="21"/>
          <w:highlight w:val="none"/>
          <w:lang w:val="zh-CN"/>
        </w:rPr>
        <w:t>常规项目（</w:t>
      </w:r>
      <w:r>
        <w:rPr>
          <w:rFonts w:hint="eastAsia" w:ascii="宋体" w:hAnsi="宋体" w:eastAsia="宋体" w:cs="宋体"/>
          <w:b/>
          <w:bCs/>
          <w:color w:val="auto"/>
          <w:sz w:val="21"/>
          <w:szCs w:val="21"/>
          <w:highlight w:val="none"/>
        </w:rPr>
        <w:t>本项涉及维修、更换配件数量要求为固定范围包干，多出部分</w:t>
      </w:r>
      <w:r>
        <w:rPr>
          <w:rFonts w:hint="eastAsia" w:ascii="宋体" w:hAnsi="宋体" w:cs="宋体"/>
          <w:b/>
          <w:bCs/>
          <w:color w:val="auto"/>
          <w:sz w:val="21"/>
          <w:szCs w:val="21"/>
          <w:highlight w:val="none"/>
          <w:lang w:val="en-US" w:eastAsia="zh-CN"/>
        </w:rPr>
        <w:t>如交由投标人施工的，则</w:t>
      </w:r>
      <w:r>
        <w:rPr>
          <w:rFonts w:hint="eastAsia" w:ascii="宋体" w:hAnsi="宋体" w:eastAsia="宋体" w:cs="宋体"/>
          <w:b/>
          <w:bCs/>
          <w:color w:val="auto"/>
          <w:sz w:val="21"/>
          <w:szCs w:val="21"/>
          <w:highlight w:val="none"/>
        </w:rPr>
        <w:t>按特殊项目对应单价进行结算）</w:t>
      </w:r>
      <w:bookmarkEnd w:id="27"/>
      <w:bookmarkEnd w:id="28"/>
    </w:p>
    <w:tbl>
      <w:tblPr>
        <w:tblStyle w:val="31"/>
        <w:tblW w:w="85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5"/>
        <w:gridCol w:w="514"/>
        <w:gridCol w:w="1342"/>
        <w:gridCol w:w="2470"/>
        <w:gridCol w:w="3339"/>
        <w:gridCol w:w="456"/>
      </w:tblGrid>
      <w:tr w14:paraId="2F81E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jc w:val="center"/>
        </w:trPr>
        <w:tc>
          <w:tcPr>
            <w:tcW w:w="455" w:type="dxa"/>
            <w:tcBorders>
              <w:top w:val="single" w:color="000000" w:sz="8" w:space="0"/>
              <w:left w:val="single" w:color="000000" w:sz="8" w:space="0"/>
              <w:bottom w:val="single" w:color="000000" w:sz="8" w:space="0"/>
              <w:right w:val="single" w:color="000000" w:sz="8" w:space="0"/>
            </w:tcBorders>
            <w:vAlign w:val="center"/>
          </w:tcPr>
          <w:p w14:paraId="1C630481">
            <w:pPr>
              <w:widowControl w:val="0"/>
              <w:adjustRightInd/>
              <w:snapToGrid/>
              <w:spacing w:line="240" w:lineRule="auto"/>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序号</w:t>
            </w:r>
          </w:p>
        </w:tc>
        <w:tc>
          <w:tcPr>
            <w:tcW w:w="514" w:type="dxa"/>
            <w:tcBorders>
              <w:top w:val="single" w:color="000000" w:sz="8" w:space="0"/>
              <w:left w:val="nil"/>
              <w:bottom w:val="single" w:color="000000" w:sz="8" w:space="0"/>
              <w:right w:val="single" w:color="000000" w:sz="8" w:space="0"/>
            </w:tcBorders>
            <w:vAlign w:val="center"/>
          </w:tcPr>
          <w:p w14:paraId="206BABFC">
            <w:pPr>
              <w:widowControl w:val="0"/>
              <w:adjustRightInd/>
              <w:snapToGrid/>
              <w:spacing w:line="240" w:lineRule="auto"/>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系统</w:t>
            </w:r>
          </w:p>
          <w:p w14:paraId="242BB166">
            <w:pPr>
              <w:widowControl w:val="0"/>
              <w:adjustRightInd/>
              <w:snapToGrid/>
              <w:spacing w:line="240" w:lineRule="auto"/>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名称</w:t>
            </w:r>
          </w:p>
        </w:tc>
        <w:tc>
          <w:tcPr>
            <w:tcW w:w="1342" w:type="dxa"/>
            <w:tcBorders>
              <w:top w:val="single" w:color="000000" w:sz="8" w:space="0"/>
              <w:left w:val="nil"/>
              <w:bottom w:val="single" w:color="000000" w:sz="8" w:space="0"/>
              <w:right w:val="single" w:color="000000" w:sz="8" w:space="0"/>
            </w:tcBorders>
            <w:vAlign w:val="center"/>
          </w:tcPr>
          <w:p w14:paraId="3C0C161B">
            <w:pPr>
              <w:widowControl w:val="0"/>
              <w:adjustRightInd/>
              <w:snapToGrid/>
              <w:spacing w:line="240" w:lineRule="auto"/>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设备</w:t>
            </w:r>
          </w:p>
          <w:p w14:paraId="36117712">
            <w:pPr>
              <w:widowControl w:val="0"/>
              <w:adjustRightInd/>
              <w:snapToGrid/>
              <w:spacing w:line="240" w:lineRule="auto"/>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名称</w:t>
            </w:r>
          </w:p>
        </w:tc>
        <w:tc>
          <w:tcPr>
            <w:tcW w:w="2470" w:type="dxa"/>
            <w:tcBorders>
              <w:top w:val="single" w:color="000000" w:sz="8" w:space="0"/>
              <w:left w:val="nil"/>
              <w:bottom w:val="single" w:color="000000" w:sz="8" w:space="0"/>
              <w:right w:val="single" w:color="000000" w:sz="8" w:space="0"/>
            </w:tcBorders>
            <w:vAlign w:val="center"/>
          </w:tcPr>
          <w:p w14:paraId="771FADEB">
            <w:pPr>
              <w:widowControl w:val="0"/>
              <w:adjustRightInd/>
              <w:snapToGrid/>
              <w:spacing w:line="240" w:lineRule="auto"/>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常规项目</w:t>
            </w:r>
          </w:p>
        </w:tc>
        <w:tc>
          <w:tcPr>
            <w:tcW w:w="3339" w:type="dxa"/>
            <w:tcBorders>
              <w:top w:val="single" w:color="000000" w:sz="8" w:space="0"/>
              <w:left w:val="nil"/>
              <w:bottom w:val="single" w:color="000000" w:sz="8" w:space="0"/>
              <w:right w:val="single" w:color="000000" w:sz="8" w:space="0"/>
            </w:tcBorders>
            <w:vAlign w:val="center"/>
          </w:tcPr>
          <w:p w14:paraId="7A14C97D">
            <w:pPr>
              <w:widowControl w:val="0"/>
              <w:adjustRightInd/>
              <w:snapToGrid/>
              <w:spacing w:line="240" w:lineRule="auto"/>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技术要求</w:t>
            </w:r>
          </w:p>
        </w:tc>
        <w:tc>
          <w:tcPr>
            <w:tcW w:w="456" w:type="dxa"/>
            <w:tcBorders>
              <w:top w:val="single" w:color="000000" w:sz="8" w:space="0"/>
              <w:left w:val="nil"/>
              <w:bottom w:val="single" w:color="000000" w:sz="8" w:space="0"/>
              <w:right w:val="single" w:color="000000" w:sz="8" w:space="0"/>
            </w:tcBorders>
            <w:vAlign w:val="center"/>
          </w:tcPr>
          <w:p w14:paraId="29267CE7">
            <w:pPr>
              <w:widowControl w:val="0"/>
              <w:adjustRightInd/>
              <w:snapToGrid/>
              <w:spacing w:line="240" w:lineRule="auto"/>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备注</w:t>
            </w:r>
          </w:p>
        </w:tc>
      </w:tr>
      <w:tr w14:paraId="38685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0D38EB56">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一</w:t>
            </w:r>
          </w:p>
        </w:tc>
        <w:tc>
          <w:tcPr>
            <w:tcW w:w="514" w:type="dxa"/>
            <w:vMerge w:val="restart"/>
            <w:tcBorders>
              <w:top w:val="nil"/>
              <w:left w:val="nil"/>
              <w:bottom w:val="single" w:color="000000" w:sz="8" w:space="0"/>
              <w:right w:val="single" w:color="000000" w:sz="8" w:space="0"/>
            </w:tcBorders>
            <w:vAlign w:val="center"/>
          </w:tcPr>
          <w:p w14:paraId="1FB1BA79">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余热锅炉</w:t>
            </w:r>
          </w:p>
        </w:tc>
        <w:tc>
          <w:tcPr>
            <w:tcW w:w="1342" w:type="dxa"/>
            <w:vMerge w:val="restart"/>
            <w:tcBorders>
              <w:top w:val="nil"/>
              <w:left w:val="nil"/>
              <w:bottom w:val="single" w:color="000000" w:sz="8" w:space="0"/>
              <w:right w:val="single" w:color="000000" w:sz="8" w:space="0"/>
            </w:tcBorders>
            <w:vAlign w:val="center"/>
          </w:tcPr>
          <w:p w14:paraId="032AA0C5">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受热面包括水冷壁、蒸发器、高中低温过热器、省煤器</w:t>
            </w:r>
          </w:p>
        </w:tc>
        <w:tc>
          <w:tcPr>
            <w:tcW w:w="2470" w:type="dxa"/>
            <w:vMerge w:val="restart"/>
            <w:tcBorders>
              <w:top w:val="nil"/>
              <w:left w:val="nil"/>
              <w:bottom w:val="single" w:color="000000" w:sz="8" w:space="0"/>
              <w:right w:val="single" w:color="000000" w:sz="8" w:space="0"/>
            </w:tcBorders>
            <w:vAlign w:val="center"/>
          </w:tcPr>
          <w:p w14:paraId="48D1DC59">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检查管子磨损，胀粗、弯曲情况受热面打磨测厚记录</w:t>
            </w:r>
          </w:p>
          <w:p w14:paraId="4979663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根据测厚情况消缺或更换受热面管，更换管的部分按特殊项目对应单价结算。</w:t>
            </w:r>
          </w:p>
          <w:p w14:paraId="2F6A3E7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防磨瓦及拉筯检查与更换。</w:t>
            </w:r>
          </w:p>
          <w:p w14:paraId="07DCD33C">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4. 管子支撑、紧固卡扣检查处理。</w:t>
            </w:r>
          </w:p>
        </w:tc>
        <w:tc>
          <w:tcPr>
            <w:tcW w:w="3339" w:type="dxa"/>
            <w:vMerge w:val="restart"/>
            <w:tcBorders>
              <w:top w:val="nil"/>
              <w:left w:val="nil"/>
              <w:bottom w:val="single" w:color="000000" w:sz="8" w:space="0"/>
              <w:right w:val="single" w:color="000000" w:sz="8" w:space="0"/>
            </w:tcBorders>
            <w:vAlign w:val="center"/>
          </w:tcPr>
          <w:p w14:paraId="41524213">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受热面与结构件的焊缝无裂纹；焊缝须经100%无损探伤。</w:t>
            </w:r>
          </w:p>
          <w:p w14:paraId="6BB9071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水冷壁鳍片无开裂，补焊焊缝应平整密封，无气孔，无咬边。</w:t>
            </w:r>
          </w:p>
          <w:p w14:paraId="2BB8017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管子表面无裂纹、撞伤、压扁、沙眼和分层等缺陷。</w:t>
            </w:r>
          </w:p>
          <w:p w14:paraId="09EEBEE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清理管子外壁、焦渣和积灰使管子表面光洁，无积灰积渣。</w:t>
            </w:r>
          </w:p>
          <w:p w14:paraId="449C759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更换管壁厚负公差应小于壁厚的10%，更换管要求砂轮切割片严禁用割枪。</w:t>
            </w:r>
          </w:p>
          <w:p w14:paraId="132EC97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弯管表面无拉伤，其波浪度应符合规范要求。</w:t>
            </w:r>
          </w:p>
          <w:p w14:paraId="2D90164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弯管弯曲部分实测壁厚应大于直管的理论计算壁厚。</w:t>
            </w:r>
          </w:p>
          <w:p w14:paraId="2201C5E2">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弯管的椭圆度应小于6%，通球试验合格。（若需要）</w:t>
            </w:r>
          </w:p>
          <w:p w14:paraId="12844FE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鳍片焊缝无咬边。</w:t>
            </w:r>
          </w:p>
          <w:p w14:paraId="0055494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打磨测厚不得损坏管子露出金属表面。</w:t>
            </w:r>
          </w:p>
          <w:p w14:paraId="23A183A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11. 打磨时严禁用尖锐铁器敲击。</w:t>
            </w:r>
          </w:p>
          <w:p w14:paraId="01DCCF1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12. 新管内无铁锈等杂质。</w:t>
            </w:r>
          </w:p>
          <w:p w14:paraId="659F08E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13. 检修后的管排应平整、无凹陷及凸出。</w:t>
            </w:r>
          </w:p>
          <w:p w14:paraId="1B955D63">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14. 焊口水压试验合格。</w:t>
            </w:r>
          </w:p>
          <w:p w14:paraId="77DA545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15. 炉墙保温恢复正常。</w:t>
            </w:r>
          </w:p>
          <w:p w14:paraId="2B58373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16. 现场清理干净。</w:t>
            </w:r>
          </w:p>
          <w:p w14:paraId="7E706E93">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17. 拆除的保温、化妆板及栏杆恢复正常。</w:t>
            </w:r>
          </w:p>
        </w:tc>
        <w:tc>
          <w:tcPr>
            <w:tcW w:w="456" w:type="dxa"/>
            <w:vMerge w:val="restart"/>
            <w:tcBorders>
              <w:top w:val="nil"/>
              <w:left w:val="nil"/>
              <w:bottom w:val="single" w:color="000000" w:sz="8" w:space="0"/>
              <w:right w:val="single" w:color="000000" w:sz="8" w:space="0"/>
            </w:tcBorders>
            <w:vAlign w:val="top"/>
          </w:tcPr>
          <w:p w14:paraId="7311454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CF98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1056A8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89788D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EC579A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E22970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1E4DC9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66B992B">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DA8A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5B6C0F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2413C8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27CBCC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B70F8A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9E1751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218544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500C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50E95F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481686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8AA91A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753067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4E606B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2D334D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492A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A81D31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65C60A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39B950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690281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E7D535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0C18E7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BDEB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43EB00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D37715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FCEF13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C9B808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89F2F2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086AC2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7C0C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6C2B19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8112FD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E8D2F2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4BCB9A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E860EA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56BA0A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9B5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7AE5B6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B57C3D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0E78BE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21D08A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1F1917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905249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10F9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EDC528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0D7129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27AD24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74469F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CD7B03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80DC5C1">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E1CF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3C08EF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50F6D4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0E925E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E213FF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E26A7F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B27D75E">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FC95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31DFA4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6FFA15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B3638A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29B27F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F654B3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337F18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DF5E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BE27B6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3CDD23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3FDA1D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4E2734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D32B64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A75E56B">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AE56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2DFF4F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4EBF30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4FBF36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371DAD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B1423D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076188B">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07A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77022B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D17770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7FE13C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B106D6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493036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0193F2B">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4129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DDA377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009319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AA3433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CA9494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8BF077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8DCE39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A064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42BFD2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20D68C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A8FC9D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07D7F3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185C2D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A6962B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08D8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C04945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903B5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F4A8B2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191FC1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1AD2CC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3AFD47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9E93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75619A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6797C1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428E721F">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脱硝系统</w:t>
            </w:r>
          </w:p>
        </w:tc>
        <w:tc>
          <w:tcPr>
            <w:tcW w:w="2470" w:type="dxa"/>
            <w:vMerge w:val="restart"/>
            <w:tcBorders>
              <w:top w:val="nil"/>
              <w:left w:val="nil"/>
              <w:bottom w:val="single" w:color="000000" w:sz="8" w:space="0"/>
              <w:right w:val="single" w:color="000000" w:sz="8" w:space="0"/>
            </w:tcBorders>
            <w:vAlign w:val="center"/>
          </w:tcPr>
          <w:p w14:paraId="7CB8ED92">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喷枪清理或更换。</w:t>
            </w:r>
          </w:p>
          <w:p w14:paraId="749DE3A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喷枪套管检查腐蚀严重的更换。</w:t>
            </w:r>
          </w:p>
          <w:p w14:paraId="1FFBA99E">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3. 喷枪进退系统清理。</w:t>
            </w:r>
          </w:p>
        </w:tc>
        <w:tc>
          <w:tcPr>
            <w:tcW w:w="3339" w:type="dxa"/>
            <w:vMerge w:val="restart"/>
            <w:tcBorders>
              <w:top w:val="nil"/>
              <w:left w:val="nil"/>
              <w:bottom w:val="single" w:color="000000" w:sz="8" w:space="0"/>
              <w:right w:val="single" w:color="000000" w:sz="8" w:space="0"/>
            </w:tcBorders>
            <w:vAlign w:val="center"/>
          </w:tcPr>
          <w:p w14:paraId="6B87092D">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喷枪无堵塞，雾化试验良好，无滴漏现象。</w:t>
            </w:r>
          </w:p>
          <w:p w14:paraId="793C663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管子接头无泄漏。</w:t>
            </w:r>
          </w:p>
          <w:p w14:paraId="77DE574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喷枪进退灵活，无卡涩。</w:t>
            </w:r>
          </w:p>
          <w:p w14:paraId="798816C4">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更换的套管焊接牢固。</w:t>
            </w:r>
          </w:p>
          <w:p w14:paraId="03777DCA">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 喷枪进到位后喷头伸出水冷壁100mm。</w:t>
            </w:r>
          </w:p>
        </w:tc>
        <w:tc>
          <w:tcPr>
            <w:tcW w:w="456" w:type="dxa"/>
            <w:vMerge w:val="restart"/>
            <w:tcBorders>
              <w:top w:val="nil"/>
              <w:left w:val="nil"/>
              <w:bottom w:val="single" w:color="000000" w:sz="8" w:space="0"/>
              <w:right w:val="single" w:color="000000" w:sz="8" w:space="0"/>
            </w:tcBorders>
            <w:vAlign w:val="top"/>
          </w:tcPr>
          <w:p w14:paraId="307CA1B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489B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52E8F8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485CE2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AB0C3E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A13170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95F8A5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CB1F17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DE33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4A313D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EDD628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D3F94E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FD846F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8CF5DD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34574D4">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AC87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2C9C0A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BC00DC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7A8C66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CD78E9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042A48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D13A77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09E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FD3399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0AEABD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3BACD9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12BAEA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86ADB9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3A1DDE5">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DCD2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38EDBC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AAB532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44BF42CB">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汽水阀门及汽水管道</w:t>
            </w:r>
          </w:p>
        </w:tc>
        <w:tc>
          <w:tcPr>
            <w:tcW w:w="2470" w:type="dxa"/>
            <w:vMerge w:val="restart"/>
            <w:tcBorders>
              <w:top w:val="nil"/>
              <w:left w:val="nil"/>
              <w:bottom w:val="single" w:color="000000" w:sz="8" w:space="0"/>
              <w:right w:val="single" w:color="000000" w:sz="8" w:space="0"/>
            </w:tcBorders>
            <w:vAlign w:val="center"/>
          </w:tcPr>
          <w:p w14:paraId="520BE1C2">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内漏的阀门阀芯研磨处理。</w:t>
            </w:r>
          </w:p>
          <w:p w14:paraId="69A62C8A">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更换阀门按特殊项单价。</w:t>
            </w:r>
          </w:p>
          <w:p w14:paraId="486023D9">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定排及疏水阀一二次门添加填料；如需更换填料。</w:t>
            </w:r>
          </w:p>
          <w:p w14:paraId="59FAC2A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集箱过热器安全阀（1个）、汽包安全阀（2个）解体清洁密封面研磨。</w:t>
            </w:r>
          </w:p>
          <w:p w14:paraId="1DC7CDCE">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 管道支撑架调整处理。</w:t>
            </w:r>
          </w:p>
        </w:tc>
        <w:tc>
          <w:tcPr>
            <w:tcW w:w="3339" w:type="dxa"/>
            <w:vMerge w:val="restart"/>
            <w:tcBorders>
              <w:top w:val="nil"/>
              <w:left w:val="nil"/>
              <w:bottom w:val="single" w:color="000000" w:sz="8" w:space="0"/>
              <w:right w:val="single" w:color="000000" w:sz="8" w:space="0"/>
            </w:tcBorders>
            <w:vAlign w:val="center"/>
          </w:tcPr>
          <w:p w14:paraId="7230031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更换的阀门、填料、焊口水压试验合格。</w:t>
            </w:r>
          </w:p>
          <w:p w14:paraId="56A3ED39">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阀门盘根压缩量不小于10mm。</w:t>
            </w:r>
          </w:p>
          <w:p w14:paraId="289A49C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阀杆开关灵活，无滴漏；手轮完整，无滑丝等情况。</w:t>
            </w:r>
          </w:p>
          <w:p w14:paraId="34A9A0D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管道应能按照设计要求膨胀。</w:t>
            </w:r>
          </w:p>
          <w:p w14:paraId="37BCDA4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对于活动支吊架，吊杆应无弯曲现象，弹簧的拉长变形长度不得超过允许数值，弹簧和弹簧盒应无倾倒歪斜或弹簧被压缩而无间隙的现象。</w:t>
            </w:r>
          </w:p>
          <w:p w14:paraId="6A158A0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所有固定支吊架和活动支吊架的构件内不得有任何杂物。</w:t>
            </w:r>
          </w:p>
          <w:p w14:paraId="0618E961">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油漆、标志等按要求恢复。</w:t>
            </w:r>
          </w:p>
          <w:p w14:paraId="2232543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按规定对全部或部分焊口进行金属拍片检查，不合格的焊口必须重新处理。</w:t>
            </w:r>
          </w:p>
          <w:p w14:paraId="3DA732E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焊接工作结束后应恢复管子附件。</w:t>
            </w:r>
          </w:p>
          <w:p w14:paraId="545E8BF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现场清理干净。</w:t>
            </w:r>
          </w:p>
          <w:p w14:paraId="4000F823">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11. 各部间隙记录准确。各点弹簧高度记录准确。</w:t>
            </w:r>
          </w:p>
          <w:p w14:paraId="2BE68A02">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12. 弹簧无裂纹，无锈蚀和变形，弹性良好。</w:t>
            </w:r>
          </w:p>
          <w:p w14:paraId="12F0F2C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13. 弹簧与弹簧座吻合良好。</w:t>
            </w:r>
          </w:p>
          <w:p w14:paraId="14CBBBFF">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14. 拆除的保温、化妆板及栏杆恢复正常。</w:t>
            </w:r>
          </w:p>
        </w:tc>
        <w:tc>
          <w:tcPr>
            <w:tcW w:w="456" w:type="dxa"/>
            <w:vMerge w:val="restart"/>
            <w:tcBorders>
              <w:top w:val="nil"/>
              <w:left w:val="nil"/>
              <w:bottom w:val="single" w:color="000000" w:sz="8" w:space="0"/>
              <w:right w:val="single" w:color="000000" w:sz="8" w:space="0"/>
            </w:tcBorders>
            <w:vAlign w:val="center"/>
          </w:tcPr>
          <w:p w14:paraId="762726A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1B68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5FE892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A6AE24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87A5AE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C28D88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35F124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5B51170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D99A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4BFE4C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E4074A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F95DBF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81853E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CBC029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0CDCC955">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8F9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734ADE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4C5DE2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4C74B5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1ECC45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C4530F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02DFED71">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D7C2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F8D844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93156B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A3AD3A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5BFEC7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CE7092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F7D980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79BC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A5187A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C689A2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1F7CD1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5D1BEC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66F160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76B59D9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2364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547DAC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2CB94E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1E163A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D207F5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F6B4F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4C99E66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993D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3F1BDD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9C690A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CE4038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8C32A3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EEE038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2074398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4699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DDD26F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F48E0D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C32932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CB204D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1A2734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DB7CC6C">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5B53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7FE65E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204505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5D719E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DF5FE7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627374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7BEE9B2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588E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70FE3E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1637D6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2CD7B8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BE53FA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8D1357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6E6EAE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76B5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0F4798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F0A11D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D350A3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606EF1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ECB651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4F80F91">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757F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D01992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69028E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5B7795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80175E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DCE2FC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76141F5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D5A1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D82D5E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2FBA07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87175D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FF8805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E7C295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66B5BA0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C4F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810AC7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DB9121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6A5D3611">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防爆门检查门</w:t>
            </w:r>
          </w:p>
        </w:tc>
        <w:tc>
          <w:tcPr>
            <w:tcW w:w="2470" w:type="dxa"/>
            <w:vMerge w:val="restart"/>
            <w:tcBorders>
              <w:top w:val="nil"/>
              <w:left w:val="nil"/>
              <w:bottom w:val="single" w:color="000000" w:sz="8" w:space="0"/>
              <w:right w:val="single" w:color="000000" w:sz="8" w:space="0"/>
            </w:tcBorders>
            <w:vAlign w:val="center"/>
          </w:tcPr>
          <w:p w14:paraId="3136C09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清理检查结合面；检查修理活动销子。</w:t>
            </w:r>
          </w:p>
          <w:p w14:paraId="7C8281A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更换石棉绳</w:t>
            </w:r>
          </w:p>
          <w:p w14:paraId="404D985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螺栓螺母检修</w:t>
            </w:r>
          </w:p>
          <w:p w14:paraId="4CA848B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浇筑料脱落修复。</w:t>
            </w:r>
          </w:p>
          <w:p w14:paraId="7C404950">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 腐蚀严重的更换。</w:t>
            </w:r>
          </w:p>
        </w:tc>
        <w:tc>
          <w:tcPr>
            <w:tcW w:w="3339" w:type="dxa"/>
            <w:vMerge w:val="restart"/>
            <w:tcBorders>
              <w:top w:val="nil"/>
              <w:left w:val="nil"/>
              <w:bottom w:val="single" w:color="000000" w:sz="8" w:space="0"/>
              <w:right w:val="single" w:color="000000" w:sz="8" w:space="0"/>
            </w:tcBorders>
            <w:vAlign w:val="center"/>
          </w:tcPr>
          <w:p w14:paraId="511F7BC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结合面无划痕、无裂纹；结合面平整无变形。</w:t>
            </w:r>
          </w:p>
          <w:p w14:paraId="493C59F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活动销子无变形；转动灵活无卡涩。</w:t>
            </w:r>
          </w:p>
          <w:p w14:paraId="7D86DEFD">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3. 人孔门严密、无漏风。</w:t>
            </w:r>
          </w:p>
        </w:tc>
        <w:tc>
          <w:tcPr>
            <w:tcW w:w="456" w:type="dxa"/>
            <w:vMerge w:val="restart"/>
            <w:tcBorders>
              <w:top w:val="nil"/>
              <w:left w:val="nil"/>
              <w:bottom w:val="single" w:color="000000" w:sz="8" w:space="0"/>
              <w:right w:val="single" w:color="000000" w:sz="8" w:space="0"/>
            </w:tcBorders>
            <w:vAlign w:val="top"/>
          </w:tcPr>
          <w:p w14:paraId="7B653A3C">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FCA0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992026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AC033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B60179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08AC0D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AED09B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3D5DE0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93DA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FACAC2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6DE910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7F5E6E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FF1CE4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3638A1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7FB484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AD2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3FB231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FD153E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C3A659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595B20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BB9AB6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BFDF35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00D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AC3E08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F9D4AC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592941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DFA04A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59E887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1A9F750">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5577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789F5A4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F85579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57F6C001">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给料斗及给料器</w:t>
            </w:r>
          </w:p>
        </w:tc>
        <w:tc>
          <w:tcPr>
            <w:tcW w:w="2470" w:type="dxa"/>
            <w:vMerge w:val="restart"/>
            <w:tcBorders>
              <w:top w:val="nil"/>
              <w:left w:val="nil"/>
              <w:bottom w:val="single" w:color="000000" w:sz="8" w:space="0"/>
              <w:right w:val="single" w:color="000000" w:sz="8" w:space="0"/>
            </w:tcBorders>
            <w:vAlign w:val="center"/>
          </w:tcPr>
          <w:p w14:paraId="2A4FB42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密封隔离门驱动轴承检查并加油。</w:t>
            </w:r>
          </w:p>
          <w:p w14:paraId="7FE5EDD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密封隔离门驱动轴承座螺栓紧固。</w:t>
            </w:r>
          </w:p>
          <w:p w14:paraId="1F3C3834">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落料口耐磨板检查消缺或更换，磨损超标的更换。</w:t>
            </w:r>
          </w:p>
          <w:p w14:paraId="266918E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给料小车导轨、加油模块、液压缸周边杂物清理。</w:t>
            </w:r>
          </w:p>
          <w:p w14:paraId="3B10E9B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给料小车平台、给料小车推头、侧墙铸造件检查并修补，若损坏或腐蚀严重的更换；给料小车与左右小车的膨胀间隙检查调整。</w:t>
            </w:r>
          </w:p>
          <w:p w14:paraId="3EC610A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给料小车导向轴承活络加油、清通堵塞的加油孔。</w:t>
            </w:r>
          </w:p>
          <w:p w14:paraId="4C69360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给料小车滑轨、铜滑板、导向轮磨损程度检查如有损坏更换。</w:t>
            </w:r>
          </w:p>
          <w:p w14:paraId="7588C03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给料小车油缸底座固定螺栓检查紧固。</w:t>
            </w:r>
          </w:p>
          <w:p w14:paraId="5C8141E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检查各类铸件是否出现断裂、下沉、上翘、松动、铸件间间隙大缝隙等现象；中间框架耐磨板及铸件紧固情况。</w:t>
            </w:r>
          </w:p>
          <w:p w14:paraId="275BC84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检查并调整滑动平台铸件平面度、相邻铸件平面度等。</w:t>
            </w:r>
          </w:p>
          <w:p w14:paraId="22CFCF12">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11. 驱动轮、导向轮、行走钢轨检查、加油、维护及调整。</w:t>
            </w:r>
          </w:p>
        </w:tc>
        <w:tc>
          <w:tcPr>
            <w:tcW w:w="3339" w:type="dxa"/>
            <w:vMerge w:val="restart"/>
            <w:tcBorders>
              <w:top w:val="nil"/>
              <w:left w:val="nil"/>
              <w:bottom w:val="single" w:color="000000" w:sz="8" w:space="0"/>
              <w:right w:val="single" w:color="000000" w:sz="8" w:space="0"/>
            </w:tcBorders>
            <w:vAlign w:val="center"/>
          </w:tcPr>
          <w:p w14:paraId="521E5C1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密封门开关灵活，密封严密。</w:t>
            </w:r>
          </w:p>
          <w:p w14:paraId="57DC9943">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驱动油缸底座螺栓紧固可靠。</w:t>
            </w:r>
          </w:p>
          <w:p w14:paraId="00FE8A44">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落料口耐磨板牢固可靠，无挂料现象。</w:t>
            </w:r>
          </w:p>
          <w:p w14:paraId="35680F2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给料小车导轨、加油模块、液压缸等周边干净整洁无杂物。</w:t>
            </w:r>
          </w:p>
          <w:p w14:paraId="70768BFD">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给料小车各连接部位紧密、牢固。</w:t>
            </w:r>
          </w:p>
          <w:p w14:paraId="0EE2E73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中间框架连接牢固，各耐磨板在同一平面；各类铸件检查无缺陷。</w:t>
            </w:r>
          </w:p>
          <w:p w14:paraId="26CEE9F9">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滑动平台的底部与侧面平整度、光滑度符合要求。</w:t>
            </w:r>
          </w:p>
          <w:p w14:paraId="101A433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驱动轮、导向轮、钢轨加油部位充满油脂，接触良好，行走无偏斜； 试运时行走平稳，无跳动现象。</w:t>
            </w:r>
          </w:p>
          <w:p w14:paraId="2D612CE7">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9. 运行声音平缓，无杂音。</w:t>
            </w:r>
          </w:p>
        </w:tc>
        <w:tc>
          <w:tcPr>
            <w:tcW w:w="456" w:type="dxa"/>
            <w:vMerge w:val="restart"/>
            <w:tcBorders>
              <w:top w:val="nil"/>
              <w:left w:val="nil"/>
              <w:bottom w:val="single" w:color="000000" w:sz="8" w:space="0"/>
              <w:right w:val="single" w:color="000000" w:sz="8" w:space="0"/>
            </w:tcBorders>
            <w:vAlign w:val="top"/>
          </w:tcPr>
          <w:p w14:paraId="6F8AF6B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080D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A5FB98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6238D5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49FE33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8334D7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F79BA5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92FD0D0">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6EE2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02766D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8F6495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D1606A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2B6FD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3DBD86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6A1072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F2C9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AE7A6A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7C9C7A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CB51D7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1FC4DD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1F8855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3B1A4D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590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88B31E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6F3F34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2FF5AE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101346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BD6E74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4C2263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57DD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7EEE3B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8E480E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154312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45FCE2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71A699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F3858B4">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B740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C038A4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EA583B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F50691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EAA1B2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35C046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CD99CF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8B98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256233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C5E3DC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E1E0D2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0CE709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799618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9B4902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2FDB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72BB5A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2C984A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A0279D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4E9B4E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2FA3FA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8E7D74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9FE7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BD9E52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D74CAA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97C83D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F7AF9F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AD7D17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04772F8">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0C5B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57C417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1013DE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B45F42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BAE30F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4E5D3A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4C216B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0AAB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2622D4F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1CCA82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216B7ECF">
            <w:pPr>
              <w:widowControl w:val="0"/>
              <w:adjustRightInd/>
              <w:snapToGrid/>
              <w:spacing w:line="240" w:lineRule="auto"/>
              <w:jc w:val="both"/>
              <w:rPr>
                <w:rFonts w:hint="eastAsia" w:ascii="宋体" w:hAnsi="宋体" w:eastAsia="宋体" w:cs="宋体"/>
                <w:color w:val="auto"/>
                <w:kern w:val="2"/>
                <w:sz w:val="21"/>
                <w:szCs w:val="21"/>
                <w:highlight w:val="none"/>
                <w:lang w:val="en-US"/>
              </w:rPr>
            </w:pPr>
            <w:r>
              <w:rPr>
                <w:rFonts w:hint="eastAsia" w:ascii="宋体" w:hAnsi="宋体" w:eastAsia="宋体" w:cs="宋体"/>
                <w:color w:val="auto"/>
                <w:kern w:val="2"/>
                <w:sz w:val="21"/>
                <w:szCs w:val="21"/>
                <w:highlight w:val="none"/>
                <w:lang w:val="en-US" w:eastAsia="zh-CN"/>
              </w:rPr>
              <w:t>炉排及中间圆弧板</w:t>
            </w:r>
          </w:p>
        </w:tc>
        <w:tc>
          <w:tcPr>
            <w:tcW w:w="2470" w:type="dxa"/>
            <w:vMerge w:val="restart"/>
            <w:tcBorders>
              <w:top w:val="nil"/>
              <w:left w:val="nil"/>
              <w:bottom w:val="single" w:color="000000" w:sz="8" w:space="0"/>
              <w:right w:val="single" w:color="000000" w:sz="8" w:space="0"/>
            </w:tcBorders>
            <w:vAlign w:val="center"/>
          </w:tcPr>
          <w:p w14:paraId="082845A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炉排铸件磨损、腐蚀超标的更换。</w:t>
            </w:r>
          </w:p>
          <w:p w14:paraId="702991CA">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炉排片间隙杂物清理、测量、调整。</w:t>
            </w:r>
          </w:p>
          <w:p w14:paraId="37C486F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炉排定位块检查处理。</w:t>
            </w:r>
          </w:p>
          <w:p w14:paraId="2C3C990D">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炉排片风孔清理及磨损消缺处理。对检查中磨损超标的更换炉排</w:t>
            </w:r>
          </w:p>
          <w:p w14:paraId="72824A3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炉排两侧圆弧板、圆弧板铸件磨损消缺，损坏的更换。</w:t>
            </w:r>
          </w:p>
          <w:p w14:paraId="1BE90BB9">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上下炉排液压缸底座定位块检查处理；上、下炉排油缸、摇臂底座固定螺栓检查紧固。</w:t>
            </w:r>
          </w:p>
        </w:tc>
        <w:tc>
          <w:tcPr>
            <w:tcW w:w="3339" w:type="dxa"/>
            <w:vMerge w:val="restart"/>
            <w:tcBorders>
              <w:top w:val="nil"/>
              <w:left w:val="nil"/>
              <w:bottom w:val="single" w:color="000000" w:sz="8" w:space="0"/>
              <w:right w:val="single" w:color="000000" w:sz="8" w:space="0"/>
            </w:tcBorders>
            <w:vAlign w:val="center"/>
          </w:tcPr>
          <w:p w14:paraId="604D6AE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炉排片纵向不超过基准线2mm，横向偏斜不超过2mm。</w:t>
            </w:r>
          </w:p>
          <w:p w14:paraId="747E942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调整垫片无凸出、下沉；炉排间隙2～5mm。</w:t>
            </w:r>
          </w:p>
          <w:p w14:paraId="7F750712">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炉排间连接螺栓紧固良好，螺母已点焊。</w:t>
            </w:r>
          </w:p>
          <w:p w14:paraId="41144C51">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炉排间连接螺栓紧固良好，螺母已点焊。</w:t>
            </w:r>
          </w:p>
          <w:p w14:paraId="5DB32822">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炉排风孔磨损量不超过2mm；轴承、导向轮、托辊、驱动梁等磨损量不超过3mm。</w:t>
            </w:r>
          </w:p>
          <w:p w14:paraId="772531E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密封铜块密封良好；各定位块固定牢固，无偏斜或松动；各受力部位连接件均固定牢固，无松动。</w:t>
            </w:r>
          </w:p>
          <w:p w14:paraId="4C8F6305">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7. 试运时平稳，无卡涩现象。声音平缓，无杂音。</w:t>
            </w:r>
          </w:p>
        </w:tc>
        <w:tc>
          <w:tcPr>
            <w:tcW w:w="456" w:type="dxa"/>
            <w:vMerge w:val="restart"/>
            <w:tcBorders>
              <w:top w:val="nil"/>
              <w:left w:val="nil"/>
              <w:bottom w:val="single" w:color="000000" w:sz="8" w:space="0"/>
              <w:right w:val="single" w:color="000000" w:sz="8" w:space="0"/>
            </w:tcBorders>
            <w:vAlign w:val="top"/>
          </w:tcPr>
          <w:p w14:paraId="204FDF9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7920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1E89CC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7AD544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622B28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607A18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F652EB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CB03C19">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B1AE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29F2B5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9E1A0F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D778C6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C0020A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195A00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992065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0394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AB8339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DFB80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271EBC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76BD53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9F08FE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D46ACD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6676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E22D98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C6BAA5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B092AD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70DE7A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D254E7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A4F4FC0">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C839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AB8F40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6FCCB9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982A80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9460E0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1A78C3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456F18E">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6D37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1DCA5F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57E439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B1D39F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9280ED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17A403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BF23B7E">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F59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698E378E">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二</w:t>
            </w:r>
          </w:p>
        </w:tc>
        <w:tc>
          <w:tcPr>
            <w:tcW w:w="514" w:type="dxa"/>
            <w:vMerge w:val="restart"/>
            <w:tcBorders>
              <w:top w:val="nil"/>
              <w:left w:val="nil"/>
              <w:bottom w:val="single" w:color="000000" w:sz="8" w:space="0"/>
              <w:right w:val="single" w:color="000000" w:sz="8" w:space="0"/>
            </w:tcBorders>
            <w:vAlign w:val="center"/>
          </w:tcPr>
          <w:p w14:paraId="26979C6C">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焚烧炉</w:t>
            </w:r>
          </w:p>
        </w:tc>
        <w:tc>
          <w:tcPr>
            <w:tcW w:w="1342" w:type="dxa"/>
            <w:vMerge w:val="restart"/>
            <w:tcBorders>
              <w:top w:val="nil"/>
              <w:left w:val="nil"/>
              <w:bottom w:val="single" w:color="000000" w:sz="8" w:space="0"/>
              <w:right w:val="single" w:color="000000" w:sz="8" w:space="0"/>
            </w:tcBorders>
            <w:vAlign w:val="center"/>
          </w:tcPr>
          <w:p w14:paraId="164BFEA0">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驱动梁及摇臂系统</w:t>
            </w:r>
          </w:p>
        </w:tc>
        <w:tc>
          <w:tcPr>
            <w:tcW w:w="2470" w:type="dxa"/>
            <w:vMerge w:val="restart"/>
            <w:tcBorders>
              <w:top w:val="nil"/>
              <w:left w:val="nil"/>
              <w:bottom w:val="single" w:color="000000" w:sz="8" w:space="0"/>
              <w:right w:val="single" w:color="000000" w:sz="8" w:space="0"/>
            </w:tcBorders>
            <w:vAlign w:val="center"/>
          </w:tcPr>
          <w:p w14:paraId="6EC74B5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驱动梁托辊轴承支撑架螺栓检查紧固。</w:t>
            </w:r>
          </w:p>
          <w:p w14:paraId="5A84FB4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驱动梁支撑耐磨板检查，磨损超标的更换。</w:t>
            </w:r>
          </w:p>
          <w:p w14:paraId="3CE0988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驱动梁托辊轴承检查更换，并加高温油脂（40套）。</w:t>
            </w:r>
          </w:p>
          <w:p w14:paraId="2D2E811A">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驱动梁导向轮轴承更换（40件），并加高温油脂。</w:t>
            </w:r>
          </w:p>
          <w:p w14:paraId="3FF09DAA">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后驱动梁拉杆支撑轴承更换，并加高温油脂。</w:t>
            </w:r>
          </w:p>
          <w:p w14:paraId="3B9375E3">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后驱动梁拉杆连接轴承检查加高温油脂，损坏的更换。</w:t>
            </w:r>
          </w:p>
          <w:p w14:paraId="72D9A6B9">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驱动梁摇臂轴承检查更换。轴承间隙超标的更换。</w:t>
            </w:r>
          </w:p>
          <w:p w14:paraId="665D4F1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驱动梁密封盒更换密封套。</w:t>
            </w:r>
          </w:p>
          <w:p w14:paraId="442DA7B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驱动梁导向轮耐磨条磨损严重的更换。</w:t>
            </w:r>
          </w:p>
          <w:p w14:paraId="2439FEE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前驱动梁摇臂拉杆密封盒耐磨环更换</w:t>
            </w:r>
          </w:p>
          <w:p w14:paraId="26736D0D">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11. 驱动梁摇臂轴承自动加油装置各加油点检查并清通堵塞的加油孔及管路接头漏油点处理。</w:t>
            </w:r>
          </w:p>
        </w:tc>
        <w:tc>
          <w:tcPr>
            <w:tcW w:w="3339" w:type="dxa"/>
            <w:vMerge w:val="restart"/>
            <w:tcBorders>
              <w:top w:val="nil"/>
              <w:left w:val="nil"/>
              <w:bottom w:val="single" w:color="000000" w:sz="8" w:space="0"/>
              <w:right w:val="single" w:color="000000" w:sz="8" w:space="0"/>
            </w:tcBorders>
            <w:vAlign w:val="center"/>
          </w:tcPr>
          <w:p w14:paraId="1F30312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托辊轴支撑架、导向轮支撑架螺栓无松动。</w:t>
            </w:r>
          </w:p>
          <w:p w14:paraId="0056F74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进、退到位灵活，运行平稳、无卡涩现象。</w:t>
            </w:r>
          </w:p>
          <w:p w14:paraId="6519591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导向轮安装的轴线与驱动梁轴线重合，接触面部无间隙。</w:t>
            </w:r>
          </w:p>
          <w:p w14:paraId="77DDAA5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耐磨板和耐磨条与基板贴合紧密无间隙并焊接牢固可靠，打磨平整。</w:t>
            </w:r>
          </w:p>
          <w:p w14:paraId="48AAAE7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托辊轴承、导向轮轴承、拉杆导向轴承充满高温油脂。</w:t>
            </w:r>
          </w:p>
          <w:p w14:paraId="3305F89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密封盒耐磨环与驱动梁拉杆无卡涩、灵活，密封胶管完好，接头牢固。</w:t>
            </w:r>
          </w:p>
          <w:p w14:paraId="7DBF2ED0">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7. 密封盒清理干净，无杂物。</w:t>
            </w:r>
          </w:p>
        </w:tc>
        <w:tc>
          <w:tcPr>
            <w:tcW w:w="456" w:type="dxa"/>
            <w:vMerge w:val="restart"/>
            <w:tcBorders>
              <w:top w:val="nil"/>
              <w:left w:val="nil"/>
              <w:bottom w:val="single" w:color="000000" w:sz="8" w:space="0"/>
              <w:right w:val="single" w:color="000000" w:sz="8" w:space="0"/>
            </w:tcBorders>
            <w:vAlign w:val="center"/>
          </w:tcPr>
          <w:p w14:paraId="6832FB1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850F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A18BBA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0D93DA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6B0C26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C3752A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1FB636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CE1BA8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1EEA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0FCD05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B17A82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87997F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0E2530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6FC686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19B85385">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4029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079E0F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313EC1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0583EB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E30109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9EC9D8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6279540E">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8C95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1DC973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0A2F25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B8C346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410C68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0611E4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52E1E31">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3924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345ADB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A46DED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FDF906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16218F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8E925A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DD7AABC">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87A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D97F48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5148E8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9A6DB2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1F47EE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592691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1B155DE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4379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588A9C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D00100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6D2599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6B0F35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CC4B61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2871E2E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309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21176E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EB0520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D18193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DD74EF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A0B4FB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752C3638">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587B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20D58C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38DFE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4D6765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482DE3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9CAD29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148FD029">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94B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6B22C5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0B1CE0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C5700D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815C24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0DB085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4FFC4694">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1623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3C3BB3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2BF668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7F40B1D4">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落渣口</w:t>
            </w:r>
          </w:p>
        </w:tc>
        <w:tc>
          <w:tcPr>
            <w:tcW w:w="2470" w:type="dxa"/>
            <w:vMerge w:val="restart"/>
            <w:tcBorders>
              <w:top w:val="nil"/>
              <w:left w:val="nil"/>
              <w:bottom w:val="single" w:color="000000" w:sz="8" w:space="0"/>
              <w:right w:val="single" w:color="000000" w:sz="8" w:space="0"/>
            </w:tcBorders>
            <w:vAlign w:val="center"/>
          </w:tcPr>
          <w:p w14:paraId="6940CBE4">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防砸网板脱落修复。</w:t>
            </w:r>
          </w:p>
          <w:p w14:paraId="282B8586">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 清理落渣口杂物及铁丝。</w:t>
            </w:r>
          </w:p>
        </w:tc>
        <w:tc>
          <w:tcPr>
            <w:tcW w:w="3339" w:type="dxa"/>
            <w:vMerge w:val="restart"/>
            <w:tcBorders>
              <w:top w:val="nil"/>
              <w:left w:val="nil"/>
              <w:bottom w:val="single" w:color="000000" w:sz="8" w:space="0"/>
              <w:right w:val="single" w:color="000000" w:sz="8" w:space="0"/>
            </w:tcBorders>
            <w:vAlign w:val="center"/>
          </w:tcPr>
          <w:p w14:paraId="7ED1D96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敷设可塑料牢固可靠，无脱落现场。</w:t>
            </w:r>
          </w:p>
          <w:p w14:paraId="6C31F496">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 钢板焊接牢固。</w:t>
            </w:r>
          </w:p>
        </w:tc>
        <w:tc>
          <w:tcPr>
            <w:tcW w:w="456" w:type="dxa"/>
            <w:vMerge w:val="restart"/>
            <w:tcBorders>
              <w:top w:val="nil"/>
              <w:left w:val="nil"/>
              <w:bottom w:val="single" w:color="000000" w:sz="8" w:space="0"/>
              <w:right w:val="single" w:color="000000" w:sz="8" w:space="0"/>
            </w:tcBorders>
            <w:vAlign w:val="center"/>
          </w:tcPr>
          <w:p w14:paraId="5E85C46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25A5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94EBE2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B0ED30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EF34A9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921857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7E3496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1E18900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ECBF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0EF998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907A3C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52C59B33">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除渣机</w:t>
            </w:r>
          </w:p>
        </w:tc>
        <w:tc>
          <w:tcPr>
            <w:tcW w:w="2470" w:type="dxa"/>
            <w:vMerge w:val="restart"/>
            <w:tcBorders>
              <w:top w:val="nil"/>
              <w:left w:val="nil"/>
              <w:bottom w:val="single" w:color="000000" w:sz="8" w:space="0"/>
              <w:right w:val="single" w:color="000000" w:sz="8" w:space="0"/>
            </w:tcBorders>
            <w:vAlign w:val="center"/>
          </w:tcPr>
          <w:p w14:paraId="422B203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人孔门开启、封闭以及密封硅胶条更换。</w:t>
            </w:r>
          </w:p>
          <w:p w14:paraId="6205EF8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清理除渣机污垢及推头底部、主轴摇臂污泥。</w:t>
            </w:r>
          </w:p>
          <w:p w14:paraId="3D49B5F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人孔门耐磨板检查磨损超标的修复。</w:t>
            </w:r>
          </w:p>
          <w:p w14:paraId="24B2F89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护板检查磨损超标的更换。</w:t>
            </w:r>
          </w:p>
          <w:p w14:paraId="1CC1F53A">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检查门盖铰链轴，如变形或锈蚀严重影响门的开闭时，进行修复；并加注适量的润滑油脂。</w:t>
            </w:r>
          </w:p>
          <w:p w14:paraId="60EFBDE4">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除渣机自动加油装置各加油点检查并清通堵塞的加油孔及管路接头漏油点处理。</w:t>
            </w:r>
          </w:p>
        </w:tc>
        <w:tc>
          <w:tcPr>
            <w:tcW w:w="3339" w:type="dxa"/>
            <w:vMerge w:val="restart"/>
            <w:tcBorders>
              <w:top w:val="nil"/>
              <w:left w:val="nil"/>
              <w:bottom w:val="single" w:color="000000" w:sz="8" w:space="0"/>
              <w:right w:val="single" w:color="000000" w:sz="8" w:space="0"/>
            </w:tcBorders>
            <w:vAlign w:val="center"/>
          </w:tcPr>
          <w:p w14:paraId="3FA05453">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除渣机内清理干净整洁。</w:t>
            </w:r>
          </w:p>
          <w:p w14:paraId="3517C09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壳体安装护板前应涂刷干膜厚度不小于70um的沥青漆。</w:t>
            </w:r>
          </w:p>
          <w:p w14:paraId="0ACF124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3. 护板安装处的壳体打磨平整，以嵌入轴承座中心为基准。 </w:t>
            </w:r>
          </w:p>
          <w:p w14:paraId="6D362C5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检查推头体推板与护板9（40mm耐磨底板）接触后紧密间隙不得超过2mm。</w:t>
            </w:r>
          </w:p>
          <w:p w14:paraId="5AD1E89D">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下部门盖修复：通过增加调整垫片，使得下部门盖护板与推头体间隙为2‐3mm。更换护板安装螺栓及螺栓密封垫，更换门盖密封硅橡胶条，保证除渣机的密封性。</w:t>
            </w:r>
          </w:p>
          <w:p w14:paraId="18A1FA63">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保证下部门盖开闭灵活。</w:t>
            </w:r>
          </w:p>
        </w:tc>
        <w:tc>
          <w:tcPr>
            <w:tcW w:w="456" w:type="dxa"/>
            <w:vMerge w:val="restart"/>
            <w:tcBorders>
              <w:top w:val="nil"/>
              <w:left w:val="nil"/>
              <w:bottom w:val="single" w:color="000000" w:sz="8" w:space="0"/>
              <w:right w:val="single" w:color="000000" w:sz="8" w:space="0"/>
            </w:tcBorders>
            <w:vAlign w:val="center"/>
          </w:tcPr>
          <w:p w14:paraId="61C34B5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F9DE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9950EF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89BF57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0D8C28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8AE9D3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6332A1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1414EAE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B31A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C143C9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CF8F7B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DE55B6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1A47F0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3C797D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450C376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50E8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308F9A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8F1C73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7F4036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9737ED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BF4875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402049F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6A8F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D85476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C09CC0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FA0886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FD05F7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C64F86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6268A9E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C18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84B025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85AD1E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00203D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3D6B74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F43B83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16827C84">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7470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CDF264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08FA44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40BEB842">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驱动液压油缸</w:t>
            </w:r>
          </w:p>
        </w:tc>
        <w:tc>
          <w:tcPr>
            <w:tcW w:w="2470" w:type="dxa"/>
            <w:vMerge w:val="restart"/>
            <w:tcBorders>
              <w:top w:val="nil"/>
              <w:left w:val="nil"/>
              <w:bottom w:val="single" w:color="000000" w:sz="8" w:space="0"/>
              <w:right w:val="single" w:color="000000" w:sz="8" w:space="0"/>
            </w:tcBorders>
            <w:vAlign w:val="center"/>
          </w:tcPr>
          <w:p w14:paraId="55275F5A">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更换数量按个数计。</w:t>
            </w:r>
          </w:p>
          <w:p w14:paraId="17FA9E59">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 给料器油缸（3个）；炉排油缸（18个）；除渣机油缸（3个）；隔离门油缸（3个）。</w:t>
            </w:r>
          </w:p>
        </w:tc>
        <w:tc>
          <w:tcPr>
            <w:tcW w:w="3339" w:type="dxa"/>
            <w:vMerge w:val="restart"/>
            <w:tcBorders>
              <w:top w:val="nil"/>
              <w:left w:val="nil"/>
              <w:bottom w:val="single" w:color="000000" w:sz="8" w:space="0"/>
              <w:right w:val="single" w:color="000000" w:sz="8" w:space="0"/>
            </w:tcBorders>
            <w:vAlign w:val="center"/>
          </w:tcPr>
          <w:p w14:paraId="106B273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更换的油缸螺栓紧固可靠。</w:t>
            </w:r>
          </w:p>
          <w:p w14:paraId="318AFC5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油缸在更换中无损坏。</w:t>
            </w:r>
          </w:p>
          <w:p w14:paraId="7B80658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高压油管接头严密，无滴漏。</w:t>
            </w:r>
          </w:p>
          <w:p w14:paraId="728B555C">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4. 清理油缸周围积灰积油。</w:t>
            </w:r>
          </w:p>
        </w:tc>
        <w:tc>
          <w:tcPr>
            <w:tcW w:w="456" w:type="dxa"/>
            <w:vMerge w:val="restart"/>
            <w:tcBorders>
              <w:top w:val="nil"/>
              <w:left w:val="nil"/>
              <w:bottom w:val="single" w:color="000000" w:sz="8" w:space="0"/>
              <w:right w:val="single" w:color="000000" w:sz="8" w:space="0"/>
            </w:tcBorders>
            <w:vAlign w:val="top"/>
          </w:tcPr>
          <w:p w14:paraId="0554945C">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F991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D80F27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D20B07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AC709B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C93E54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2EFB33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BD7D42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7FC9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FB81ED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41A588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D1E326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162096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90CC1D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C40F9F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3482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4B0540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E5D919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5ABA2E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F28C17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C82604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B72D4E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DF8E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F06756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87DDD2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480315BF">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风室刮板机</w:t>
            </w:r>
          </w:p>
        </w:tc>
        <w:tc>
          <w:tcPr>
            <w:tcW w:w="2470" w:type="dxa"/>
            <w:vMerge w:val="restart"/>
            <w:tcBorders>
              <w:top w:val="nil"/>
              <w:left w:val="nil"/>
              <w:bottom w:val="single" w:color="000000" w:sz="8" w:space="0"/>
              <w:right w:val="single" w:color="000000" w:sz="8" w:space="0"/>
            </w:tcBorders>
            <w:vAlign w:val="center"/>
          </w:tcPr>
          <w:p w14:paraId="2103E6A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刮板链条校正，损坏严重的更换。</w:t>
            </w:r>
          </w:p>
          <w:p w14:paraId="33ECD20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刮板机耐磨条检查磨损严重的更换。</w:t>
            </w:r>
          </w:p>
          <w:p w14:paraId="621ACE4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刮板机本体漏点密封条更换。</w:t>
            </w:r>
          </w:p>
          <w:p w14:paraId="4594E8D1">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刮板机漏灰点处理。</w:t>
            </w:r>
          </w:p>
          <w:p w14:paraId="199FB11D">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传动链条检查，磨损大的更换。</w:t>
            </w:r>
          </w:p>
          <w:p w14:paraId="2EFF7709">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减速机润滑油更换。</w:t>
            </w:r>
          </w:p>
        </w:tc>
        <w:tc>
          <w:tcPr>
            <w:tcW w:w="3339" w:type="dxa"/>
            <w:vMerge w:val="restart"/>
            <w:tcBorders>
              <w:top w:val="nil"/>
              <w:left w:val="nil"/>
              <w:bottom w:val="single" w:color="000000" w:sz="8" w:space="0"/>
              <w:right w:val="single" w:color="000000" w:sz="8" w:space="0"/>
            </w:tcBorders>
            <w:vAlign w:val="center"/>
          </w:tcPr>
          <w:p w14:paraId="47A4818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机头架、机尾架、过渡槽、过桥架无开焊。机架两侧板的对中板的垂直度允差不得大于2mm。机头、机尾架上安装传动装置的定位面、孔应符合技术文件的要求。</w:t>
            </w:r>
          </w:p>
          <w:p w14:paraId="1DA92AB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机头架、机尾架与过渡槽接口处的上下错口量不得大于2mm，左右错口量不得大于3mm。</w:t>
            </w:r>
          </w:p>
          <w:p w14:paraId="1DB6269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机头轴、机尾链轮轴应转动灵活，不得有卡碰现象。</w:t>
            </w:r>
          </w:p>
          <w:p w14:paraId="6676518E">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链条组装合格，运转中刮板链条无跑偏，松紧合适，链条正、反向运行无卡阻现象。</w:t>
            </w:r>
          </w:p>
          <w:p w14:paraId="4E60DD50">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 刮板机密封严密不得有漏灰现象。</w:t>
            </w:r>
          </w:p>
        </w:tc>
        <w:tc>
          <w:tcPr>
            <w:tcW w:w="456" w:type="dxa"/>
            <w:vMerge w:val="restart"/>
            <w:tcBorders>
              <w:top w:val="nil"/>
              <w:left w:val="nil"/>
              <w:bottom w:val="single" w:color="000000" w:sz="8" w:space="0"/>
              <w:right w:val="single" w:color="000000" w:sz="8" w:space="0"/>
            </w:tcBorders>
            <w:vAlign w:val="top"/>
          </w:tcPr>
          <w:p w14:paraId="0224468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DB34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5FA3FA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5EE7DC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28D262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F1205B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BD82F7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145A0D0">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766B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81FC7A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2CF249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B5DE11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C9C9B1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C6E518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61E7DB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47BE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25BC34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F6C634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81C99E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D901EC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87595B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4143241">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5E73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654D7C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523B24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9AB79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01B5E8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934431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5148AE5">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675F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6A48E5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004799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102E08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7F49E5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8BEED9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F32A16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868E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0ECDF7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D12EAF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228756BE">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引风机，一二次风机，燃烧器冷却风机，燃烧器助燃风机</w:t>
            </w:r>
          </w:p>
        </w:tc>
        <w:tc>
          <w:tcPr>
            <w:tcW w:w="2470" w:type="dxa"/>
            <w:vMerge w:val="restart"/>
            <w:tcBorders>
              <w:top w:val="nil"/>
              <w:left w:val="nil"/>
              <w:bottom w:val="single" w:color="000000" w:sz="8" w:space="0"/>
              <w:right w:val="single" w:color="000000" w:sz="8" w:space="0"/>
            </w:tcBorders>
            <w:vAlign w:val="center"/>
          </w:tcPr>
          <w:p w14:paraId="5961CF8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叶轮积灰的检查及清理。</w:t>
            </w:r>
          </w:p>
          <w:p w14:paraId="58CEF47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叶轮根部处涂色检查裂纹情况。</w:t>
            </w:r>
          </w:p>
          <w:p w14:paraId="6A7EFB24">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轴承箱、冷却水室清洁、轴承检查并更换润滑油。</w:t>
            </w:r>
          </w:p>
          <w:p w14:paraId="7B854D99">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风机进、出口风门的检查，开关灵活及位置正确。</w:t>
            </w:r>
          </w:p>
          <w:p w14:paraId="70D0FD4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地脚螺栓紧固检查。</w:t>
            </w:r>
          </w:p>
          <w:p w14:paraId="41826CD2">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联轴器减震胶垫和柱销检查，磨损严重的更换。</w:t>
            </w:r>
          </w:p>
          <w:p w14:paraId="489DF399">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7. 靠背轮中心复查，并重新调整。</w:t>
            </w:r>
          </w:p>
        </w:tc>
        <w:tc>
          <w:tcPr>
            <w:tcW w:w="3339" w:type="dxa"/>
            <w:vMerge w:val="restart"/>
            <w:tcBorders>
              <w:top w:val="nil"/>
              <w:left w:val="nil"/>
              <w:bottom w:val="single" w:color="000000" w:sz="8" w:space="0"/>
              <w:right w:val="single" w:color="000000" w:sz="8" w:space="0"/>
            </w:tcBorders>
            <w:vAlign w:val="center"/>
          </w:tcPr>
          <w:p w14:paraId="58CE2C92">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联轴器应完整，无裂纹，无变形，表面光洁，联轴器与轴配合牢固、无松动。</w:t>
            </w:r>
          </w:p>
          <w:p w14:paraId="71E2156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连接螺栓无弯曲变形，螺纹完好，垫圈、弹簧垫、螺母齐全。</w:t>
            </w:r>
          </w:p>
          <w:p w14:paraId="7EDE081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连接螺栓的橡胶圈应无裂纹和老化变质，橡胶圈与联轴器孔之间的间隙不应大于1mm，与连接螺栓之间不应有间隙。</w:t>
            </w:r>
          </w:p>
          <w:p w14:paraId="22061DD3">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叶片及叶轮盘无裂纹及变形。叶片磨损量应小于原厚度的1/3。</w:t>
            </w:r>
          </w:p>
          <w:p w14:paraId="0873E13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轮毂与叶轮盘的连接螺栓或铆钉不允许有松动。</w:t>
            </w:r>
          </w:p>
          <w:p w14:paraId="35EC90EB">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轮毂与主轴配合应无松动，配合公差符合图纸要求；集流器不得有开裂现象。</w:t>
            </w:r>
          </w:p>
          <w:p w14:paraId="7CDA169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集流器和叶轮的配合间隙应符合装配要求；主轴无裂纹、腐蚀及磨损。</w:t>
            </w:r>
          </w:p>
          <w:p w14:paraId="4EEE230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主轴弯曲不应大于0.05mm/m，且全长弯曲不大于0.10mm；主轴轴颈圆度不大于0.02mm；主轴保护套应完好，主轴与保护套之间的径向间隙应为0.06mm—0.08mm。</w:t>
            </w:r>
          </w:p>
          <w:p w14:paraId="61A4A2C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滚动轴承的内外套、隔离圈及滚珠不应有裂纹、重皮、斑痕、腐蚀锈痕等缺陷；轴承与轴的配合符合装配要求。</w:t>
            </w:r>
          </w:p>
          <w:p w14:paraId="0F8FC0E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油位计应畅通、清楚；冷却水应畅通，水量适中，冷却水阀门应开关灵活。</w:t>
            </w:r>
          </w:p>
          <w:p w14:paraId="53D272D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11. 机壳与支撑件之间不得有开焊现象；所有焊口焊接牢固，无开裂现象；挡板的传动装置应完好，无卡涩现象。</w:t>
            </w:r>
          </w:p>
          <w:p w14:paraId="6B1549E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12. 风机试运行时间4h—8h，试运行中轴承垂直振动不大于0.03mm；轴承水平振动一般应为0.05mm，最大不超过0.10mm，轴承温度低于70℃。</w:t>
            </w:r>
          </w:p>
          <w:p w14:paraId="3005B2E8">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13. 风机运行 正常无异声；挡板开关灵活，指示正确；各处密封不漏油、风、水。</w:t>
            </w:r>
          </w:p>
        </w:tc>
        <w:tc>
          <w:tcPr>
            <w:tcW w:w="456" w:type="dxa"/>
            <w:vMerge w:val="restart"/>
            <w:tcBorders>
              <w:top w:val="nil"/>
              <w:left w:val="nil"/>
              <w:bottom w:val="single" w:color="000000" w:sz="8" w:space="0"/>
              <w:right w:val="single" w:color="000000" w:sz="8" w:space="0"/>
            </w:tcBorders>
            <w:vAlign w:val="top"/>
          </w:tcPr>
          <w:p w14:paraId="6BD499C0">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FF1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7463FB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AE4F17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D19B2D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7D6E6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F35877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80EDF6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205E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011397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292124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E50E22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E0B911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B21AD3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84FEA7B">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B251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A6F91A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26E45F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E2C0E2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DAB40C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FE1A0E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143941E">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4B2BF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63A5FA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CD1D35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4743EC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819838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093013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1B8719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4E7C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FAD291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D46F19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36B6E4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0EBB4D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A01F89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A49B5A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EE3A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CD0977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3BC3E2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9DE778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EAE8BF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F1314A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4EF621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780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9618BE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3BE707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18B8E7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493D04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9F84A3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BA5D17A">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EC0B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C126EB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C62C48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2A697B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929E4F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CE916E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931DA5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73BF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F7DC0F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2B6166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371826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4D4DE6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85D567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3899CAC">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F66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1A9703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429798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577AC5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97D88A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960219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DC19EE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9D72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393D65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5FD8FC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6EDF56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BE09BF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7F7172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86AE3F0">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4BE6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76360C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9ED77E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D55D09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BE79A9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3E0815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A46B3C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D036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0188B4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9EDB0D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53980B65">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一次风空预器及烟风道</w:t>
            </w:r>
          </w:p>
        </w:tc>
        <w:tc>
          <w:tcPr>
            <w:tcW w:w="2470" w:type="dxa"/>
            <w:vMerge w:val="restart"/>
            <w:tcBorders>
              <w:top w:val="nil"/>
              <w:left w:val="nil"/>
              <w:bottom w:val="single" w:color="000000" w:sz="8" w:space="0"/>
              <w:right w:val="single" w:color="000000" w:sz="8" w:space="0"/>
            </w:tcBorders>
            <w:vAlign w:val="center"/>
          </w:tcPr>
          <w:p w14:paraId="0C96E83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一次风进口滤网检查清洗，并更换损坏的滤网。</w:t>
            </w:r>
          </w:p>
          <w:p w14:paraId="5E4E6D3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炉排风室入口风道检查清理。</w:t>
            </w:r>
          </w:p>
          <w:p w14:paraId="4260A21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一次风空预器检查清理，试压合格，泄漏的修复。</w:t>
            </w:r>
          </w:p>
          <w:p w14:paraId="2B5CF84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各风、烟管道漏消缺处理。</w:t>
            </w:r>
          </w:p>
          <w:p w14:paraId="7D202736">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 膨胀节检查与消缺。</w:t>
            </w:r>
          </w:p>
        </w:tc>
        <w:tc>
          <w:tcPr>
            <w:tcW w:w="3339" w:type="dxa"/>
            <w:vMerge w:val="restart"/>
            <w:tcBorders>
              <w:top w:val="nil"/>
              <w:left w:val="nil"/>
              <w:bottom w:val="single" w:color="000000" w:sz="8" w:space="0"/>
              <w:right w:val="single" w:color="000000" w:sz="8" w:space="0"/>
            </w:tcBorders>
            <w:vAlign w:val="center"/>
          </w:tcPr>
          <w:p w14:paraId="5E95557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滤网干净完整，安装牢固。</w:t>
            </w:r>
          </w:p>
          <w:p w14:paraId="62D78D1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试压无泄漏现象。</w:t>
            </w:r>
          </w:p>
          <w:p w14:paraId="30AA6BC1">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烟风道杂物清理干净无杂物。</w:t>
            </w:r>
          </w:p>
          <w:p w14:paraId="4EC560DB">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4. 膨胀节无泄漏，固定牢固。</w:t>
            </w:r>
          </w:p>
        </w:tc>
        <w:tc>
          <w:tcPr>
            <w:tcW w:w="456" w:type="dxa"/>
            <w:vMerge w:val="restart"/>
            <w:tcBorders>
              <w:top w:val="nil"/>
              <w:left w:val="nil"/>
              <w:bottom w:val="single" w:color="000000" w:sz="8" w:space="0"/>
              <w:right w:val="single" w:color="000000" w:sz="8" w:space="0"/>
            </w:tcBorders>
            <w:vAlign w:val="top"/>
          </w:tcPr>
          <w:p w14:paraId="48D78B17">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06CA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EF57F6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94C3DD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6D5C02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D141FE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774E49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92EB38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BFE5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2C5E8F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C685F4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CA9F17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1DB2DE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6DEBD7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E1F45BF">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A088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59B7AA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5ED067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D48B15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1177F8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7148FE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1C30BA1">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513C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5EB3B9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9F1E68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1FC690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650198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D72829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9DEBC80">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9A19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459610EA">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三</w:t>
            </w:r>
          </w:p>
        </w:tc>
        <w:tc>
          <w:tcPr>
            <w:tcW w:w="514" w:type="dxa"/>
            <w:vMerge w:val="restart"/>
            <w:tcBorders>
              <w:top w:val="nil"/>
              <w:left w:val="nil"/>
              <w:bottom w:val="single" w:color="000000" w:sz="8" w:space="0"/>
              <w:right w:val="single" w:color="000000" w:sz="8" w:space="0"/>
            </w:tcBorders>
            <w:vAlign w:val="center"/>
          </w:tcPr>
          <w:p w14:paraId="3762D9E2">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转动设备</w:t>
            </w:r>
          </w:p>
        </w:tc>
        <w:tc>
          <w:tcPr>
            <w:tcW w:w="1342" w:type="dxa"/>
            <w:vMerge w:val="restart"/>
            <w:tcBorders>
              <w:top w:val="nil"/>
              <w:left w:val="nil"/>
              <w:bottom w:val="single" w:color="000000" w:sz="8" w:space="0"/>
              <w:right w:val="single" w:color="000000" w:sz="8" w:space="0"/>
            </w:tcBorders>
            <w:vAlign w:val="center"/>
          </w:tcPr>
          <w:p w14:paraId="3EDC7C3D">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反应塔</w:t>
            </w:r>
          </w:p>
        </w:tc>
        <w:tc>
          <w:tcPr>
            <w:tcW w:w="2470" w:type="dxa"/>
            <w:vMerge w:val="restart"/>
            <w:tcBorders>
              <w:top w:val="nil"/>
              <w:left w:val="nil"/>
              <w:bottom w:val="single" w:color="000000" w:sz="8" w:space="0"/>
              <w:right w:val="single" w:color="000000" w:sz="8" w:space="0"/>
            </w:tcBorders>
            <w:vAlign w:val="center"/>
          </w:tcPr>
          <w:p w14:paraId="4DF7D1FC">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破碎机维护消缺。</w:t>
            </w:r>
          </w:p>
          <w:p w14:paraId="1BCF7576">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星型卸灰阀维护消缺。</w:t>
            </w:r>
          </w:p>
          <w:p w14:paraId="594D28CA">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3. 反应塔下埋刮板输送机维护消缺。</w:t>
            </w:r>
          </w:p>
        </w:tc>
        <w:tc>
          <w:tcPr>
            <w:tcW w:w="3339" w:type="dxa"/>
            <w:vMerge w:val="restart"/>
            <w:tcBorders>
              <w:top w:val="nil"/>
              <w:left w:val="nil"/>
              <w:bottom w:val="single" w:color="000000" w:sz="8" w:space="0"/>
              <w:right w:val="single" w:color="000000" w:sz="8" w:space="0"/>
            </w:tcBorders>
            <w:vAlign w:val="center"/>
          </w:tcPr>
          <w:p w14:paraId="43BD4EF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破碎机整体检查合格，更换润滑油，并加润滑脂。</w:t>
            </w:r>
          </w:p>
          <w:p w14:paraId="1D22FB24">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星型卸灰阀本体清理，无积灰、杂物，整体检查合格，更换润滑油，并加润滑脂。</w:t>
            </w:r>
          </w:p>
          <w:p w14:paraId="31E1ECC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刮板机换油，油位满足要求。</w:t>
            </w:r>
          </w:p>
          <w:p w14:paraId="7FCEB01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刮板机链条松紧度符合要求。</w:t>
            </w:r>
          </w:p>
          <w:p w14:paraId="5E0B2F6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刮板机及双侧气动翻板阀加润滑脂。</w:t>
            </w:r>
          </w:p>
          <w:p w14:paraId="23C52903">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刮板机及双侧气动翻板阀密封严密，无泄漏。</w:t>
            </w:r>
          </w:p>
          <w:p w14:paraId="7CE0833F">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7. 刮板机链条与地板磨损小于3mm。                                                       </w:t>
            </w:r>
          </w:p>
          <w:p w14:paraId="13A9738D">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8. 反应塔整体清理，无积灰与杂物。                                                      </w:t>
            </w:r>
          </w:p>
          <w:p w14:paraId="4BCDB71F">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9. 保温与油漆恢复。</w:t>
            </w:r>
          </w:p>
        </w:tc>
        <w:tc>
          <w:tcPr>
            <w:tcW w:w="456" w:type="dxa"/>
            <w:vMerge w:val="restart"/>
            <w:tcBorders>
              <w:top w:val="nil"/>
              <w:left w:val="nil"/>
              <w:bottom w:val="single" w:color="000000" w:sz="8" w:space="0"/>
              <w:right w:val="single" w:color="000000" w:sz="8" w:space="0"/>
            </w:tcBorders>
            <w:vAlign w:val="top"/>
          </w:tcPr>
          <w:p w14:paraId="65374F2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10CC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851E43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20CA41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834F24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34CF39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EAB6BF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EB206D4">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158FA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A7C8CD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68F075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18CC7A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9013BB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574CCE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BC9FC9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BD38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6BEE58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69C53F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E92FF2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AEA404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8ECC105">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BDA3BD8">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2B27F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027278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B6F75D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F1291A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B6A187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327003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3F1CD44">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0BB3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B20338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9544BB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879761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DB1B2A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5B6990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3737008">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DA8B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CD6033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01FB14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15D9EE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74B329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FD669F3">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8C0E863">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5A92B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62731A0">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850353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3C2C694">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6D19A0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1CDD39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8F0EE8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72846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3FB025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C3DF21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EB7229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61556A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03B73E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1EF2F70">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1227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192832CE">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四</w:t>
            </w:r>
          </w:p>
        </w:tc>
        <w:tc>
          <w:tcPr>
            <w:tcW w:w="514" w:type="dxa"/>
            <w:vMerge w:val="restart"/>
            <w:tcBorders>
              <w:top w:val="nil"/>
              <w:left w:val="nil"/>
              <w:bottom w:val="single" w:color="000000" w:sz="8" w:space="0"/>
              <w:right w:val="single" w:color="000000" w:sz="8" w:space="0"/>
            </w:tcBorders>
            <w:vAlign w:val="center"/>
          </w:tcPr>
          <w:p w14:paraId="7AC1D269">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烟风系统</w:t>
            </w:r>
          </w:p>
        </w:tc>
        <w:tc>
          <w:tcPr>
            <w:tcW w:w="1342" w:type="dxa"/>
            <w:vMerge w:val="restart"/>
            <w:tcBorders>
              <w:top w:val="nil"/>
              <w:left w:val="nil"/>
              <w:bottom w:val="single" w:color="000000" w:sz="8" w:space="0"/>
              <w:right w:val="single" w:color="000000" w:sz="8" w:space="0"/>
            </w:tcBorders>
            <w:vAlign w:val="center"/>
          </w:tcPr>
          <w:p w14:paraId="5DEE6B9C">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布袋除尘器</w:t>
            </w:r>
          </w:p>
        </w:tc>
        <w:tc>
          <w:tcPr>
            <w:tcW w:w="2470" w:type="dxa"/>
            <w:vMerge w:val="restart"/>
            <w:tcBorders>
              <w:top w:val="nil"/>
              <w:left w:val="nil"/>
              <w:bottom w:val="single" w:color="000000" w:sz="8" w:space="0"/>
              <w:right w:val="single" w:color="000000" w:sz="8" w:space="0"/>
            </w:tcBorders>
            <w:vAlign w:val="center"/>
          </w:tcPr>
          <w:p w14:paraId="0B996E0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检查滤袋和骨架的磨损、腐蚀情况。</w:t>
            </w:r>
          </w:p>
          <w:p w14:paraId="23C0BBB9">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检查箱体、清洁室花板、喷吹管、盖板烟道腐蚀情况。</w:t>
            </w:r>
          </w:p>
          <w:p w14:paraId="1FF75158">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喷吹管补焊及螺栓紧固（如需要）。</w:t>
            </w:r>
          </w:p>
          <w:p w14:paraId="1140E2D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布袋间距调整、更换布袋或笼骨。</w:t>
            </w:r>
          </w:p>
          <w:p w14:paraId="42AC6677">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除尘器查漏（包括布袋查漏、箱体查漏）及处理。</w:t>
            </w:r>
          </w:p>
          <w:p w14:paraId="7A3A9A6E">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布袋除尘器出口密封室防腐刷涂料（采购人提供涂料）。</w:t>
            </w:r>
          </w:p>
        </w:tc>
        <w:tc>
          <w:tcPr>
            <w:tcW w:w="3339" w:type="dxa"/>
            <w:vMerge w:val="restart"/>
            <w:tcBorders>
              <w:top w:val="nil"/>
              <w:left w:val="nil"/>
              <w:bottom w:val="single" w:color="000000" w:sz="8" w:space="0"/>
              <w:right w:val="single" w:color="000000" w:sz="8" w:space="0"/>
            </w:tcBorders>
            <w:vAlign w:val="center"/>
          </w:tcPr>
          <w:p w14:paraId="3BB5EB3A">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布袋及笼骨与花板密封严密，自然垂直，布袋底部不与其他布袋或箱体相碰、摩擦；荧光粉查漏试验合格。</w:t>
            </w:r>
          </w:p>
          <w:p w14:paraId="54BA8989">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喷吹管、箱体等补焊部位焊口平滑，无焊渣焊瘤。</w:t>
            </w:r>
          </w:p>
          <w:p w14:paraId="525D21AA">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喷吹管固定符合要求，不得松动或被振动移位，喷吹口正对布袋口。</w:t>
            </w:r>
          </w:p>
          <w:p w14:paraId="04DBC095">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脉冲阀膜片自然展开平铺，无泄漏；提升阀密封严密，无泄漏。</w:t>
            </w:r>
          </w:p>
          <w:p w14:paraId="5326B1C0">
            <w:pPr>
              <w:widowControl w:val="0"/>
              <w:adjustRightInd/>
              <w:snapToGrid/>
              <w:spacing w:line="240" w:lineRule="auto"/>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星型卸灰阀运转平稳，振动、温度、电流符合要求，无异响。</w:t>
            </w:r>
          </w:p>
          <w:p w14:paraId="2DD5C84F">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刮板机密封严密，运转平稳，振动、温度、电流符合要求。</w:t>
            </w:r>
          </w:p>
        </w:tc>
        <w:tc>
          <w:tcPr>
            <w:tcW w:w="456" w:type="dxa"/>
            <w:vMerge w:val="restart"/>
            <w:tcBorders>
              <w:top w:val="nil"/>
              <w:left w:val="nil"/>
              <w:bottom w:val="single" w:color="000000" w:sz="8" w:space="0"/>
              <w:right w:val="single" w:color="000000" w:sz="8" w:space="0"/>
            </w:tcBorders>
            <w:vAlign w:val="top"/>
          </w:tcPr>
          <w:p w14:paraId="52FE6442">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1289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FE7644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84B3B4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B48187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0F0DB8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414059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1454F1C">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AEF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BCC0FC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8656B7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2536EF2">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0DE290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81DDFF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2B704E9">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6773A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8A313EC">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E5E202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A6984D1">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4408FBA">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5C642AD">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0D803B6">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7E16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5B38C8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25CCB88">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CB05F2F">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AA3942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35C3EBE">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6C77A8D">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3A79A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257911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EEA1659">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25D67B6">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CA371B7">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6ED37BB">
            <w:pPr>
              <w:widowControl w:val="0"/>
              <w:adjustRightInd/>
              <w:snapToGrid/>
              <w:spacing w:line="240" w:lineRule="auto"/>
              <w:jc w:val="both"/>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3490181">
            <w:pPr>
              <w:widowControl w:val="0"/>
              <w:adjustRightInd/>
              <w:snapToGrid/>
              <w:spacing w:line="240" w:lineRule="auto"/>
              <w:jc w:val="both"/>
              <w:rPr>
                <w:rFonts w:hint="eastAsia" w:ascii="宋体" w:hAnsi="宋体" w:eastAsia="宋体" w:cs="宋体"/>
                <w:color w:val="auto"/>
                <w:kern w:val="2"/>
                <w:sz w:val="21"/>
                <w:szCs w:val="21"/>
                <w:highlight w:val="none"/>
              </w:rPr>
            </w:pPr>
          </w:p>
        </w:tc>
      </w:tr>
      <w:tr w14:paraId="05B01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 w:hRule="atLeast"/>
          <w:jc w:val="center"/>
        </w:trPr>
        <w:tc>
          <w:tcPr>
            <w:tcW w:w="455" w:type="dxa"/>
            <w:tcBorders>
              <w:top w:val="nil"/>
              <w:left w:val="single" w:color="000000" w:sz="8" w:space="0"/>
              <w:bottom w:val="single" w:color="000000" w:sz="8" w:space="0"/>
              <w:right w:val="single" w:color="000000" w:sz="8" w:space="0"/>
            </w:tcBorders>
            <w:vAlign w:val="center"/>
          </w:tcPr>
          <w:p w14:paraId="0F3BD6D1">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五</w:t>
            </w:r>
          </w:p>
        </w:tc>
        <w:tc>
          <w:tcPr>
            <w:tcW w:w="514" w:type="dxa"/>
            <w:tcBorders>
              <w:top w:val="nil"/>
              <w:left w:val="nil"/>
              <w:bottom w:val="single" w:color="000000" w:sz="8" w:space="0"/>
              <w:right w:val="single" w:color="000000" w:sz="8" w:space="0"/>
            </w:tcBorders>
            <w:vAlign w:val="center"/>
          </w:tcPr>
          <w:p w14:paraId="0A08273E">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设备清扫</w:t>
            </w:r>
          </w:p>
        </w:tc>
        <w:tc>
          <w:tcPr>
            <w:tcW w:w="1342" w:type="dxa"/>
            <w:tcBorders>
              <w:top w:val="nil"/>
              <w:left w:val="nil"/>
              <w:bottom w:val="single" w:color="000000" w:sz="8" w:space="0"/>
              <w:right w:val="single" w:color="000000" w:sz="8" w:space="0"/>
            </w:tcBorders>
            <w:vAlign w:val="center"/>
          </w:tcPr>
          <w:p w14:paraId="78CC427E">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卫生清扫</w:t>
            </w:r>
          </w:p>
        </w:tc>
        <w:tc>
          <w:tcPr>
            <w:tcW w:w="2470" w:type="dxa"/>
            <w:tcBorders>
              <w:top w:val="nil"/>
              <w:left w:val="nil"/>
              <w:bottom w:val="single" w:color="000000" w:sz="8" w:space="0"/>
              <w:right w:val="single" w:color="000000" w:sz="8" w:space="0"/>
            </w:tcBorders>
            <w:vAlign w:val="center"/>
          </w:tcPr>
          <w:p w14:paraId="0DC638B2">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施工后清理并清扫余热锅炉、焚烧炉本体、尾气设备、管道、平台积灰与杂物。</w:t>
            </w:r>
          </w:p>
        </w:tc>
        <w:tc>
          <w:tcPr>
            <w:tcW w:w="3339" w:type="dxa"/>
            <w:tcBorders>
              <w:top w:val="nil"/>
              <w:left w:val="nil"/>
              <w:bottom w:val="single" w:color="000000" w:sz="8" w:space="0"/>
              <w:right w:val="single" w:color="000000" w:sz="8" w:space="0"/>
            </w:tcBorders>
            <w:vAlign w:val="center"/>
          </w:tcPr>
          <w:p w14:paraId="227EEA49">
            <w:pPr>
              <w:widowControl w:val="0"/>
              <w:adjustRightInd/>
              <w:snapToGrid/>
              <w:spacing w:line="240" w:lineRule="auto"/>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无杂物，无积灰。</w:t>
            </w:r>
          </w:p>
        </w:tc>
        <w:tc>
          <w:tcPr>
            <w:tcW w:w="456" w:type="dxa"/>
            <w:tcBorders>
              <w:top w:val="nil"/>
              <w:left w:val="nil"/>
              <w:bottom w:val="single" w:color="000000" w:sz="8" w:space="0"/>
              <w:right w:val="single" w:color="000000" w:sz="8" w:space="0"/>
            </w:tcBorders>
            <w:vAlign w:val="center"/>
          </w:tcPr>
          <w:p w14:paraId="267D7239">
            <w:pPr>
              <w:widowControl w:val="0"/>
              <w:adjustRightInd/>
              <w:snapToGrid/>
              <w:spacing w:line="240" w:lineRule="auto"/>
              <w:jc w:val="both"/>
              <w:rPr>
                <w:rFonts w:hint="eastAsia" w:ascii="宋体" w:hAnsi="宋体" w:eastAsia="宋体" w:cs="宋体"/>
                <w:color w:val="auto"/>
                <w:kern w:val="2"/>
                <w:sz w:val="21"/>
                <w:szCs w:val="21"/>
                <w:highlight w:val="none"/>
              </w:rPr>
            </w:pPr>
          </w:p>
        </w:tc>
      </w:tr>
    </w:tbl>
    <w:p w14:paraId="150BA9C1">
      <w:pPr>
        <w:keepNext w:val="0"/>
        <w:keepLines w:val="0"/>
        <w:pageBreakBefore w:val="0"/>
        <w:widowControl/>
        <w:numPr>
          <w:ilvl w:val="0"/>
          <w:numId w:val="0"/>
        </w:numPr>
        <w:kinsoku/>
        <w:wordWrap/>
        <w:overflowPunct/>
        <w:topLinePunct w:val="0"/>
        <w:autoSpaceDE/>
        <w:autoSpaceDN/>
        <w:bidi w:val="0"/>
        <w:adjustRightInd w:val="0"/>
        <w:snapToGrid w:val="0"/>
        <w:ind w:firstLine="422" w:firstLineChars="200"/>
        <w:textAlignment w:val="auto"/>
        <w:rPr>
          <w:rFonts w:hint="eastAsia" w:ascii="宋体" w:hAnsi="宋体" w:eastAsia="宋体" w:cs="宋体"/>
          <w:b/>
          <w:bCs/>
          <w:color w:val="auto"/>
          <w:kern w:val="44"/>
          <w:sz w:val="21"/>
          <w:szCs w:val="21"/>
          <w:highlight w:val="none"/>
          <w:lang w:val="zh-CN"/>
        </w:rPr>
      </w:pPr>
      <w:bookmarkStart w:id="29" w:name="_Toc3365"/>
      <w:bookmarkStart w:id="30" w:name="_Toc15720"/>
      <w:r>
        <w:rPr>
          <w:rFonts w:hint="eastAsia" w:ascii="宋体" w:hAnsi="宋体" w:eastAsia="宋体" w:cs="宋体"/>
          <w:b/>
          <w:bCs/>
          <w:color w:val="auto"/>
          <w:sz w:val="21"/>
          <w:szCs w:val="21"/>
          <w:highlight w:val="none"/>
          <w:lang w:val="zh-CN"/>
        </w:rPr>
        <w:t>（2）特殊项目</w:t>
      </w:r>
      <w:bookmarkEnd w:id="29"/>
      <w:bookmarkEnd w:id="30"/>
      <w:r>
        <w:rPr>
          <w:rFonts w:hint="eastAsia" w:ascii="宋体" w:hAnsi="宋体" w:cs="宋体"/>
          <w:b/>
          <w:bCs/>
          <w:color w:val="auto"/>
          <w:sz w:val="21"/>
          <w:szCs w:val="21"/>
          <w:highlight w:val="none"/>
          <w:lang w:val="zh-CN"/>
        </w:rPr>
        <w:t>（</w:t>
      </w:r>
      <w:r>
        <w:rPr>
          <w:rFonts w:hint="eastAsia" w:ascii="宋体" w:hAnsi="宋体" w:cs="宋体"/>
          <w:b/>
          <w:bCs/>
          <w:color w:val="auto"/>
          <w:szCs w:val="21"/>
          <w:highlight w:val="none"/>
        </w:rPr>
        <w:t>本项涉及</w:t>
      </w:r>
      <w:r>
        <w:rPr>
          <w:rFonts w:hint="eastAsia" w:ascii="宋体" w:hAnsi="宋体" w:cs="宋体"/>
          <w:b/>
          <w:bCs/>
          <w:color w:val="auto"/>
          <w:szCs w:val="21"/>
          <w:highlight w:val="none"/>
          <w:lang w:val="en-US" w:eastAsia="zh-CN"/>
        </w:rPr>
        <w:t>检修项目由采购人根据项目实际情况决定是否交由中标人施工</w:t>
      </w:r>
      <w:r>
        <w:rPr>
          <w:rFonts w:hint="eastAsia" w:ascii="宋体" w:hAnsi="宋体" w:cs="宋体"/>
          <w:b/>
          <w:bCs/>
          <w:color w:val="auto"/>
          <w:sz w:val="21"/>
          <w:szCs w:val="21"/>
          <w:highlight w:val="none"/>
          <w:lang w:val="zh-CN"/>
        </w:rPr>
        <w:t>）</w:t>
      </w:r>
    </w:p>
    <w:tbl>
      <w:tblPr>
        <w:tblStyle w:val="31"/>
        <w:tblW w:w="89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0"/>
        <w:gridCol w:w="660"/>
        <w:gridCol w:w="715"/>
        <w:gridCol w:w="2468"/>
        <w:gridCol w:w="3833"/>
        <w:gridCol w:w="701"/>
      </w:tblGrid>
      <w:tr w14:paraId="0003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560" w:type="dxa"/>
            <w:tcBorders>
              <w:top w:val="single" w:color="000000" w:sz="8" w:space="0"/>
              <w:left w:val="single" w:color="000000" w:sz="8" w:space="0"/>
              <w:bottom w:val="single" w:color="000000" w:sz="8" w:space="0"/>
              <w:right w:val="single" w:color="000000" w:sz="8" w:space="0"/>
            </w:tcBorders>
            <w:vAlign w:val="center"/>
          </w:tcPr>
          <w:p w14:paraId="5B5C33E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序号</w:t>
            </w:r>
          </w:p>
        </w:tc>
        <w:tc>
          <w:tcPr>
            <w:tcW w:w="660" w:type="dxa"/>
            <w:tcBorders>
              <w:top w:val="single" w:color="000000" w:sz="8" w:space="0"/>
              <w:left w:val="nil"/>
              <w:bottom w:val="single" w:color="000000" w:sz="8" w:space="0"/>
              <w:right w:val="single" w:color="000000" w:sz="8" w:space="0"/>
            </w:tcBorders>
            <w:vAlign w:val="center"/>
          </w:tcPr>
          <w:p w14:paraId="03B6F0D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系统名称</w:t>
            </w:r>
          </w:p>
        </w:tc>
        <w:tc>
          <w:tcPr>
            <w:tcW w:w="715" w:type="dxa"/>
            <w:tcBorders>
              <w:top w:val="single" w:color="000000" w:sz="8" w:space="0"/>
              <w:left w:val="nil"/>
              <w:bottom w:val="single" w:color="000000" w:sz="8" w:space="0"/>
              <w:right w:val="single" w:color="000000" w:sz="8" w:space="0"/>
            </w:tcBorders>
            <w:vAlign w:val="center"/>
          </w:tcPr>
          <w:p w14:paraId="58C22BC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设备名称</w:t>
            </w:r>
          </w:p>
        </w:tc>
        <w:tc>
          <w:tcPr>
            <w:tcW w:w="2468" w:type="dxa"/>
            <w:tcBorders>
              <w:top w:val="single" w:color="000000" w:sz="8" w:space="0"/>
              <w:left w:val="nil"/>
              <w:bottom w:val="single" w:color="000000" w:sz="8" w:space="0"/>
              <w:right w:val="single" w:color="000000" w:sz="8" w:space="0"/>
            </w:tcBorders>
            <w:vAlign w:val="center"/>
          </w:tcPr>
          <w:p w14:paraId="690B504D">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特殊检修项目</w:t>
            </w:r>
          </w:p>
        </w:tc>
        <w:tc>
          <w:tcPr>
            <w:tcW w:w="3833" w:type="dxa"/>
            <w:tcBorders>
              <w:top w:val="single" w:color="000000" w:sz="8" w:space="0"/>
              <w:left w:val="nil"/>
              <w:bottom w:val="single" w:color="000000" w:sz="8" w:space="0"/>
              <w:right w:val="single" w:color="000000" w:sz="8" w:space="0"/>
            </w:tcBorders>
            <w:vAlign w:val="center"/>
          </w:tcPr>
          <w:p w14:paraId="150CCDB9">
            <w:pPr>
              <w:widowControl/>
              <w:adjustRightInd/>
              <w:snapToGrid/>
              <w:spacing w:line="240" w:lineRule="auto"/>
              <w:ind w:firstLineChars="100"/>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技术要求</w:t>
            </w:r>
          </w:p>
        </w:tc>
        <w:tc>
          <w:tcPr>
            <w:tcW w:w="701" w:type="dxa"/>
            <w:tcBorders>
              <w:top w:val="single" w:color="000000" w:sz="8" w:space="0"/>
              <w:left w:val="nil"/>
              <w:bottom w:val="single" w:color="000000" w:sz="8" w:space="0"/>
              <w:right w:val="single" w:color="000000" w:sz="8" w:space="0"/>
            </w:tcBorders>
            <w:vAlign w:val="center"/>
          </w:tcPr>
          <w:p w14:paraId="4E1C62A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检修周期</w:t>
            </w:r>
          </w:p>
        </w:tc>
      </w:tr>
      <w:tr w14:paraId="28006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restart"/>
            <w:tcBorders>
              <w:top w:val="nil"/>
              <w:left w:val="single" w:color="000000" w:sz="8" w:space="0"/>
              <w:bottom w:val="single" w:color="000000" w:sz="8" w:space="0"/>
              <w:right w:val="single" w:color="000000" w:sz="8" w:space="0"/>
            </w:tcBorders>
            <w:vAlign w:val="center"/>
          </w:tcPr>
          <w:p w14:paraId="251E34DE">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一</w:t>
            </w:r>
          </w:p>
        </w:tc>
        <w:tc>
          <w:tcPr>
            <w:tcW w:w="660" w:type="dxa"/>
            <w:vMerge w:val="restart"/>
            <w:tcBorders>
              <w:top w:val="nil"/>
              <w:left w:val="nil"/>
              <w:bottom w:val="single" w:color="000000" w:sz="8" w:space="0"/>
              <w:right w:val="single" w:color="000000" w:sz="8" w:space="0"/>
            </w:tcBorders>
            <w:vAlign w:val="center"/>
          </w:tcPr>
          <w:p w14:paraId="6C9BEC9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余热锅炉定期检测</w:t>
            </w:r>
          </w:p>
        </w:tc>
        <w:tc>
          <w:tcPr>
            <w:tcW w:w="715" w:type="dxa"/>
            <w:vMerge w:val="restart"/>
            <w:tcBorders>
              <w:top w:val="nil"/>
              <w:left w:val="nil"/>
              <w:bottom w:val="single" w:color="000000" w:sz="8" w:space="0"/>
              <w:right w:val="single" w:color="000000" w:sz="8" w:space="0"/>
            </w:tcBorders>
            <w:vAlign w:val="center"/>
          </w:tcPr>
          <w:p w14:paraId="55DD6D1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协助内检工作</w:t>
            </w:r>
          </w:p>
        </w:tc>
        <w:tc>
          <w:tcPr>
            <w:tcW w:w="2468" w:type="dxa"/>
            <w:vMerge w:val="restart"/>
            <w:tcBorders>
              <w:top w:val="nil"/>
              <w:left w:val="nil"/>
              <w:bottom w:val="single" w:color="000000" w:sz="8" w:space="0"/>
              <w:right w:val="single" w:color="000000" w:sz="8" w:space="0"/>
            </w:tcBorders>
            <w:vAlign w:val="center"/>
          </w:tcPr>
          <w:p w14:paraId="1C8D3FEB">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检查和清理汽包内部的腐蚀和结垢。</w:t>
            </w:r>
          </w:p>
          <w:p w14:paraId="6D3D883A">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检查汽水分离器及附件的完整性、严密性和固定情况并修复处理。</w:t>
            </w:r>
          </w:p>
          <w:p w14:paraId="4EB6482F">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检查内部进水管、事故放水管、取样管、下降管、加药管、排污管等要畅通无阻。</w:t>
            </w:r>
          </w:p>
          <w:p w14:paraId="42FB21DF">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各水位计、压力表接口腐蚀，污垢，裂纹及焊口磨损情况。</w:t>
            </w:r>
          </w:p>
          <w:p w14:paraId="44BF323E">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锅筒、内置式汽水分离器；水冷壁；水冷壁上下集箱；省煤器；省煤器集箱；高温过热器；低温过热器；过热器集箱；集汽集箱；减温器；锅炉范围内管件；扩容器等按规定检查打磨。</w:t>
            </w:r>
          </w:p>
          <w:p w14:paraId="0B1D1F1E">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 集箱检查孔封头割除检查清理。（根据内检要求完成）</w:t>
            </w:r>
          </w:p>
          <w:p w14:paraId="1776D383">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7. 不包括受热面（1、2、3烟道，水平烟道）清灰工作。</w:t>
            </w:r>
          </w:p>
          <w:p w14:paraId="59522C9B">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8. 不包括受热面打磨测厚记录。</w:t>
            </w:r>
          </w:p>
          <w:p w14:paraId="3D5FCD34">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9. 拆除的保温设施和油漆按技术要求恢复。</w:t>
            </w:r>
          </w:p>
        </w:tc>
        <w:tc>
          <w:tcPr>
            <w:tcW w:w="3833" w:type="dxa"/>
            <w:vMerge w:val="restart"/>
            <w:tcBorders>
              <w:top w:val="nil"/>
              <w:left w:val="nil"/>
              <w:bottom w:val="single" w:color="000000" w:sz="8" w:space="0"/>
              <w:right w:val="single" w:color="000000" w:sz="8" w:space="0"/>
            </w:tcBorders>
            <w:vAlign w:val="center"/>
          </w:tcPr>
          <w:p w14:paraId="0EDC405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1. 人孔门螺丝应无裂缝、滑扣、拉毛、变形等缺陷。                                      </w:t>
            </w:r>
          </w:p>
          <w:p w14:paraId="6FD8C4B1">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汽包内部所有装置应无变形、无松脱、无水垢。</w:t>
            </w:r>
          </w:p>
          <w:p w14:paraId="0CCF0B61">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3. 人孔门结合面应平整光滑，径向刀痕深度超过0.3mm、宽度达0.7mm、长度为结合面的1/2时，应进行研磨；石棉垫应平整、尺寸要符合要求。                                         </w:t>
            </w:r>
          </w:p>
          <w:p w14:paraId="491E0AB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锅炉水压试验和点火升压后，人孔门应严密不漏。</w:t>
            </w:r>
          </w:p>
          <w:p w14:paraId="0E4466C3">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严禁遗留物件在汽包或掉入汽水管道内。</w:t>
            </w:r>
          </w:p>
          <w:p w14:paraId="6EE517B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 根据电站锅炉内部检验部位、项目及方法的要求拆除保温及打磨。见附页1</w:t>
            </w:r>
          </w:p>
          <w:p w14:paraId="79183D89">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7. 保温和油漆恢复按图纸要求完成。</w:t>
            </w:r>
          </w:p>
        </w:tc>
        <w:tc>
          <w:tcPr>
            <w:tcW w:w="701" w:type="dxa"/>
            <w:vMerge w:val="restart"/>
            <w:tcBorders>
              <w:top w:val="nil"/>
              <w:left w:val="nil"/>
              <w:bottom w:val="single" w:color="000000" w:sz="8" w:space="0"/>
              <w:right w:val="single" w:color="000000" w:sz="8" w:space="0"/>
            </w:tcBorders>
            <w:vAlign w:val="center"/>
          </w:tcPr>
          <w:p w14:paraId="26DE472B">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2年一次</w:t>
            </w:r>
          </w:p>
        </w:tc>
      </w:tr>
      <w:tr w14:paraId="6BEC5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39FB263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380C9B7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18D9E7A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2521BEA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57C51D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DEC2B3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52C4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DB44E6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75D5A3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1603420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170755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6D251DB7">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5CB4B4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FB0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2920920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EEF3CA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1505555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709894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2C7D720F">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62759C0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61FCA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25C3ECE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6052512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0FE03D9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42C2F8A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53CC1E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4E1BB6D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9CF9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1F4FFDD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7FE3EFA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9E4F7C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10BDEA7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5AC1849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28546B1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CCAE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7980C95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75F9E0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6209B3A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200705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F464CD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5E9E4D6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4138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3C22152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E45D44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16DBECF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179F7CF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541A900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0B5291A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74D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2D82ED3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6ADDFE6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5ADEEE9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678E908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5EA6E48A">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517204A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4CA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7B284E1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restart"/>
            <w:tcBorders>
              <w:top w:val="nil"/>
              <w:left w:val="nil"/>
              <w:bottom w:val="single" w:color="000000" w:sz="8" w:space="0"/>
              <w:right w:val="single" w:color="000000" w:sz="8" w:space="0"/>
            </w:tcBorders>
            <w:vAlign w:val="center"/>
          </w:tcPr>
          <w:p w14:paraId="458B3EA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restart"/>
            <w:tcBorders>
              <w:top w:val="nil"/>
              <w:left w:val="nil"/>
              <w:bottom w:val="single" w:color="000000" w:sz="8" w:space="0"/>
              <w:right w:val="single" w:color="000000" w:sz="8" w:space="0"/>
            </w:tcBorders>
            <w:vAlign w:val="center"/>
          </w:tcPr>
          <w:p w14:paraId="0296FEE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吹灰器</w:t>
            </w:r>
          </w:p>
        </w:tc>
        <w:tc>
          <w:tcPr>
            <w:tcW w:w="2468" w:type="dxa"/>
            <w:vMerge w:val="restart"/>
            <w:tcBorders>
              <w:top w:val="nil"/>
              <w:left w:val="nil"/>
              <w:bottom w:val="single" w:color="000000" w:sz="8" w:space="0"/>
              <w:right w:val="single" w:color="000000" w:sz="8" w:space="0"/>
            </w:tcBorders>
            <w:vAlign w:val="center"/>
          </w:tcPr>
          <w:p w14:paraId="4D3C5D4B">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1.喷吹管更换。</w:t>
            </w:r>
          </w:p>
          <w:p w14:paraId="30525807">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2.吹灰器电机、密封风机电机更换。</w:t>
            </w:r>
          </w:p>
          <w:p w14:paraId="727315EA">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3.提升阀更换，吹灰外套管和内管更换。</w:t>
            </w:r>
          </w:p>
          <w:p w14:paraId="78D3936B">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4.吹灰器行走轮检修。</w:t>
            </w:r>
          </w:p>
          <w:p w14:paraId="243D983D">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5.母管电动截止阀内漏处理。</w:t>
            </w:r>
          </w:p>
        </w:tc>
        <w:tc>
          <w:tcPr>
            <w:tcW w:w="3833" w:type="dxa"/>
            <w:vMerge w:val="restart"/>
            <w:tcBorders>
              <w:top w:val="nil"/>
              <w:left w:val="nil"/>
              <w:bottom w:val="single" w:color="000000" w:sz="8" w:space="0"/>
              <w:right w:val="single" w:color="000000" w:sz="8" w:space="0"/>
            </w:tcBorders>
            <w:vAlign w:val="center"/>
          </w:tcPr>
          <w:p w14:paraId="3E1CA5E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更换后喷吹管倾斜度、水平度符合厂家要求。</w:t>
            </w:r>
          </w:p>
          <w:p w14:paraId="25A78171">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2. 吹灰时行走轮无卡涩。    </w:t>
            </w:r>
          </w:p>
          <w:p w14:paraId="5E27DDDB">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 吹灰管道无泄漏。</w:t>
            </w:r>
          </w:p>
        </w:tc>
        <w:tc>
          <w:tcPr>
            <w:tcW w:w="701" w:type="dxa"/>
            <w:vMerge w:val="restart"/>
            <w:tcBorders>
              <w:top w:val="nil"/>
              <w:left w:val="nil"/>
              <w:bottom w:val="single" w:color="000000" w:sz="8" w:space="0"/>
              <w:right w:val="single" w:color="000000" w:sz="8" w:space="0"/>
            </w:tcBorders>
            <w:vAlign w:val="center"/>
          </w:tcPr>
          <w:p w14:paraId="2AE3100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5292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28939DA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58C2090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8B9B5C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6D702B5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51AD503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2705AD7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140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3193B11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C08EE0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74E2EE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6D68B31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777BA5E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E76770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0B7E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7FA4351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69E2CD1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552B343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980F88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028CCD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0D866C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24A2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0A6491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0E0AE85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6168930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65B2195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0717B6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5E7ED1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0C5B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74DE750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1FA535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F6F42E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452E809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36A6B6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64BC346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DE3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restart"/>
            <w:tcBorders>
              <w:top w:val="nil"/>
              <w:left w:val="single" w:color="000000" w:sz="8" w:space="0"/>
              <w:bottom w:val="single" w:color="000000" w:sz="8" w:space="0"/>
              <w:right w:val="single" w:color="000000" w:sz="8" w:space="0"/>
            </w:tcBorders>
            <w:vAlign w:val="center"/>
          </w:tcPr>
          <w:p w14:paraId="51609E99">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二</w:t>
            </w:r>
          </w:p>
        </w:tc>
        <w:tc>
          <w:tcPr>
            <w:tcW w:w="660" w:type="dxa"/>
            <w:vMerge w:val="restart"/>
            <w:tcBorders>
              <w:top w:val="nil"/>
              <w:left w:val="nil"/>
              <w:bottom w:val="single" w:color="000000" w:sz="8" w:space="0"/>
              <w:right w:val="single" w:color="000000" w:sz="8" w:space="0"/>
            </w:tcBorders>
            <w:vAlign w:val="center"/>
          </w:tcPr>
          <w:p w14:paraId="23483958">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焚</w:t>
            </w:r>
          </w:p>
          <w:p w14:paraId="5CBDC212">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烧炉</w:t>
            </w:r>
          </w:p>
        </w:tc>
        <w:tc>
          <w:tcPr>
            <w:tcW w:w="715" w:type="dxa"/>
            <w:vMerge w:val="restart"/>
            <w:tcBorders>
              <w:top w:val="nil"/>
              <w:left w:val="nil"/>
              <w:bottom w:val="single" w:color="000000" w:sz="8" w:space="0"/>
              <w:right w:val="single" w:color="000000" w:sz="8" w:space="0"/>
            </w:tcBorders>
            <w:vAlign w:val="center"/>
          </w:tcPr>
          <w:p w14:paraId="72B98441">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筑炉</w:t>
            </w:r>
          </w:p>
        </w:tc>
        <w:tc>
          <w:tcPr>
            <w:tcW w:w="2468" w:type="dxa"/>
            <w:vMerge w:val="restart"/>
            <w:tcBorders>
              <w:top w:val="nil"/>
              <w:left w:val="nil"/>
              <w:bottom w:val="single" w:color="000000" w:sz="8" w:space="0"/>
              <w:right w:val="single" w:color="000000" w:sz="8" w:space="0"/>
            </w:tcBorders>
            <w:vAlign w:val="center"/>
          </w:tcPr>
          <w:p w14:paraId="3302E0D6">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 焚烧炉、余热锅炉浇筑料脱落修复。</w:t>
            </w:r>
          </w:p>
        </w:tc>
        <w:tc>
          <w:tcPr>
            <w:tcW w:w="3833" w:type="dxa"/>
            <w:vMerge w:val="restart"/>
            <w:tcBorders>
              <w:top w:val="nil"/>
              <w:left w:val="nil"/>
              <w:bottom w:val="single" w:color="000000" w:sz="8" w:space="0"/>
              <w:right w:val="single" w:color="000000" w:sz="8" w:space="0"/>
            </w:tcBorders>
            <w:vAlign w:val="center"/>
          </w:tcPr>
          <w:p w14:paraId="5EEDC3B3">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爪钉焊接牢固。</w:t>
            </w:r>
          </w:p>
          <w:p w14:paraId="49A9EA66">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 敷设可塑料牢固可靠，无脱落现场。</w:t>
            </w:r>
          </w:p>
        </w:tc>
        <w:tc>
          <w:tcPr>
            <w:tcW w:w="701" w:type="dxa"/>
            <w:vMerge w:val="restart"/>
            <w:tcBorders>
              <w:top w:val="nil"/>
              <w:left w:val="nil"/>
              <w:bottom w:val="single" w:color="000000" w:sz="8" w:space="0"/>
              <w:right w:val="single" w:color="000000" w:sz="8" w:space="0"/>
            </w:tcBorders>
            <w:vAlign w:val="center"/>
          </w:tcPr>
          <w:p w14:paraId="4EBED0BE">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34DBD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22AA9C0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B651D9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1F20067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930634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7FC93E7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792EFE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D24B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7847FFA5">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71F6411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restart"/>
            <w:tcBorders>
              <w:top w:val="nil"/>
              <w:left w:val="nil"/>
              <w:bottom w:val="single" w:color="000000" w:sz="8" w:space="0"/>
              <w:right w:val="single" w:color="000000" w:sz="8" w:space="0"/>
            </w:tcBorders>
            <w:vAlign w:val="center"/>
          </w:tcPr>
          <w:p w14:paraId="162B5C6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除渣机</w:t>
            </w:r>
          </w:p>
        </w:tc>
        <w:tc>
          <w:tcPr>
            <w:tcW w:w="2468" w:type="dxa"/>
            <w:vMerge w:val="restart"/>
            <w:tcBorders>
              <w:top w:val="nil"/>
              <w:left w:val="nil"/>
              <w:bottom w:val="single" w:color="000000" w:sz="8" w:space="0"/>
              <w:right w:val="single" w:color="000000" w:sz="8" w:space="0"/>
            </w:tcBorders>
            <w:vAlign w:val="center"/>
          </w:tcPr>
          <w:p w14:paraId="314133B1">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推头耐磨板。</w:t>
            </w:r>
          </w:p>
          <w:p w14:paraId="04914ECD">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底部耐磨板。</w:t>
            </w:r>
          </w:p>
          <w:p w14:paraId="0B32FA38">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 人孔门耐磨板更换。</w:t>
            </w:r>
          </w:p>
        </w:tc>
        <w:tc>
          <w:tcPr>
            <w:tcW w:w="3833" w:type="dxa"/>
            <w:vMerge w:val="restart"/>
            <w:tcBorders>
              <w:top w:val="nil"/>
              <w:left w:val="nil"/>
              <w:bottom w:val="single" w:color="000000" w:sz="8" w:space="0"/>
              <w:right w:val="single" w:color="000000" w:sz="8" w:space="0"/>
            </w:tcBorders>
            <w:vAlign w:val="center"/>
          </w:tcPr>
          <w:p w14:paraId="54322EE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除渣机内清理干净整洁。</w:t>
            </w:r>
          </w:p>
          <w:p w14:paraId="7E799BEC">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壳体安装护板前应涂刷干膜厚度不小于70um的沥青漆。</w:t>
            </w:r>
          </w:p>
          <w:p w14:paraId="237B103A">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护板安装处的壳体打磨平整，以嵌入轴承座中心为基准，安装护板9（40mm耐磨底板），要求护板圆柱面母线与轴承座中心连接线平行，误差小于2mm。</w:t>
            </w:r>
          </w:p>
          <w:p w14:paraId="43191AE6">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检查推头体推板与护板9（40mm耐磨底板）接触后紧密间隙不得超过2mm。</w:t>
            </w:r>
          </w:p>
          <w:p w14:paraId="52CD8790">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下部门盖修复：通过增加调整垫片，使得下部门盖护板与推头体间隙为2‐3mm。更换护板安装螺栓及螺栓密封垫，更换门盖密封硅橡胶条，保证除渣机的密封性。</w:t>
            </w:r>
          </w:p>
          <w:p w14:paraId="46789602">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 保证下部门盖开闭灵活。</w:t>
            </w:r>
          </w:p>
        </w:tc>
        <w:tc>
          <w:tcPr>
            <w:tcW w:w="701" w:type="dxa"/>
            <w:vMerge w:val="restart"/>
            <w:tcBorders>
              <w:top w:val="nil"/>
              <w:left w:val="nil"/>
              <w:bottom w:val="single" w:color="000000" w:sz="8" w:space="0"/>
              <w:right w:val="single" w:color="000000" w:sz="8" w:space="0"/>
            </w:tcBorders>
            <w:vAlign w:val="center"/>
          </w:tcPr>
          <w:p w14:paraId="083C975B">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2～3年一次</w:t>
            </w:r>
          </w:p>
        </w:tc>
      </w:tr>
      <w:tr w14:paraId="0AD67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4E0DC855">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A5828AD">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7253C03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07AFD7A3">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DFEE4B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2ADF277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966E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762562F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3209D226">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0D40FC9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198DCEBD">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6839D9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2C7A394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7F1A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2F4D16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56B1323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10C36F3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3A4C518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FABD8D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4DD2A51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5BF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5B112CA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5A0C75E7">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56F9BEE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1A95376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6E0A0A8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69BCA9E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8122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64A25A2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704D3691">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7EC86D7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2A5AD71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499B71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9BD2D9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8257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5DA3E35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2D942A7">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restart"/>
            <w:tcBorders>
              <w:top w:val="nil"/>
              <w:left w:val="nil"/>
              <w:bottom w:val="single" w:color="000000" w:sz="8" w:space="0"/>
              <w:right w:val="single" w:color="000000" w:sz="8" w:space="0"/>
            </w:tcBorders>
            <w:vAlign w:val="center"/>
          </w:tcPr>
          <w:p w14:paraId="06D8514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风室刮板机</w:t>
            </w:r>
          </w:p>
        </w:tc>
        <w:tc>
          <w:tcPr>
            <w:tcW w:w="2468" w:type="dxa"/>
            <w:vMerge w:val="restart"/>
            <w:tcBorders>
              <w:top w:val="nil"/>
              <w:left w:val="nil"/>
              <w:bottom w:val="single" w:color="000000" w:sz="8" w:space="0"/>
              <w:right w:val="single" w:color="000000" w:sz="8" w:space="0"/>
            </w:tcBorders>
            <w:vAlign w:val="center"/>
          </w:tcPr>
          <w:p w14:paraId="0871DAFC">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刮板链条全部更换。</w:t>
            </w:r>
          </w:p>
          <w:p w14:paraId="5ACE8B6D">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刮板机耐磨条全部更换。</w:t>
            </w:r>
          </w:p>
          <w:p w14:paraId="4E5DF89D">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刮板机本体密封条更换。</w:t>
            </w:r>
          </w:p>
          <w:p w14:paraId="20518B4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刮板机头轮及轴承更换。</w:t>
            </w:r>
          </w:p>
          <w:p w14:paraId="224A72FE">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刮板机尾轮及轴承更换。</w:t>
            </w:r>
          </w:p>
          <w:p w14:paraId="1CEF9EC8">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 减速机更换。</w:t>
            </w:r>
          </w:p>
        </w:tc>
        <w:tc>
          <w:tcPr>
            <w:tcW w:w="3833" w:type="dxa"/>
            <w:vMerge w:val="restart"/>
            <w:tcBorders>
              <w:top w:val="nil"/>
              <w:left w:val="nil"/>
              <w:bottom w:val="single" w:color="000000" w:sz="8" w:space="0"/>
              <w:right w:val="single" w:color="000000" w:sz="8" w:space="0"/>
            </w:tcBorders>
            <w:vAlign w:val="center"/>
          </w:tcPr>
          <w:p w14:paraId="606A80E4">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机头架、机尾架、过渡槽、过桥架无开焊。机架两侧板的对中板的垂直度允差不得大于2mm。机头、机尾架上安装传动装置的定位面、孔应符合技术文件的要求。</w:t>
            </w:r>
          </w:p>
          <w:p w14:paraId="14A59F35">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机头架、机尾架与过渡槽接口处的上下错口量不得大于2mm，左右错口量不得大于3mm。</w:t>
            </w:r>
          </w:p>
          <w:p w14:paraId="35F2C23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机头轴、机尾链轮轴应转动灵活，不得有卡碰现象。</w:t>
            </w:r>
          </w:p>
          <w:p w14:paraId="4838DE50">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链条组装合格，运转中刮板无跑偏，松紧合适，链条正、反向运行无卡阻现象。</w:t>
            </w:r>
          </w:p>
          <w:p w14:paraId="32F5B1D2">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 刮板机密封严密不得有漏灰现象。</w:t>
            </w:r>
          </w:p>
        </w:tc>
        <w:tc>
          <w:tcPr>
            <w:tcW w:w="701" w:type="dxa"/>
            <w:vMerge w:val="restart"/>
            <w:tcBorders>
              <w:top w:val="nil"/>
              <w:left w:val="nil"/>
              <w:bottom w:val="single" w:color="000000" w:sz="8" w:space="0"/>
              <w:right w:val="single" w:color="000000" w:sz="8" w:space="0"/>
            </w:tcBorders>
            <w:vAlign w:val="center"/>
          </w:tcPr>
          <w:p w14:paraId="65478318">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2～3年一次</w:t>
            </w:r>
          </w:p>
        </w:tc>
      </w:tr>
      <w:tr w14:paraId="31FF7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2CFF6D2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069C46A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6A5A9DE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34878B3B">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68D70E6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5F188EF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FA53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4D4BD48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51F5471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00733B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984D601">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599E397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4DA6D33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17C5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62CB3D5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36F655E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03211C5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40B35D1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A2F814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29147AD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A2C1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684F62AF">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68EA2AE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04CBBF1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3427D1CB">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686022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5197F55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F0D7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481BD42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71A2BC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425F789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6C3C3E5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36FBB9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0DD77F6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8F33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restart"/>
            <w:tcBorders>
              <w:top w:val="nil"/>
              <w:left w:val="single" w:color="000000" w:sz="8" w:space="0"/>
              <w:bottom w:val="single" w:color="000000" w:sz="8" w:space="0"/>
              <w:right w:val="single" w:color="000000" w:sz="8" w:space="0"/>
            </w:tcBorders>
            <w:vAlign w:val="center"/>
          </w:tcPr>
          <w:p w14:paraId="4541C8D5">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三</w:t>
            </w:r>
          </w:p>
        </w:tc>
        <w:tc>
          <w:tcPr>
            <w:tcW w:w="660" w:type="dxa"/>
            <w:vMerge w:val="restart"/>
            <w:tcBorders>
              <w:top w:val="nil"/>
              <w:left w:val="nil"/>
              <w:bottom w:val="single" w:color="000000" w:sz="8" w:space="0"/>
              <w:right w:val="single" w:color="000000" w:sz="8" w:space="0"/>
            </w:tcBorders>
            <w:vAlign w:val="center"/>
          </w:tcPr>
          <w:p w14:paraId="6022594C">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转动设备</w:t>
            </w:r>
          </w:p>
        </w:tc>
        <w:tc>
          <w:tcPr>
            <w:tcW w:w="715" w:type="dxa"/>
            <w:vMerge w:val="restart"/>
            <w:tcBorders>
              <w:top w:val="nil"/>
              <w:left w:val="nil"/>
              <w:bottom w:val="single" w:color="000000" w:sz="8" w:space="0"/>
              <w:right w:val="single" w:color="000000" w:sz="8" w:space="0"/>
            </w:tcBorders>
            <w:vAlign w:val="center"/>
          </w:tcPr>
          <w:p w14:paraId="0F08755C">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风机</w:t>
            </w:r>
          </w:p>
        </w:tc>
        <w:tc>
          <w:tcPr>
            <w:tcW w:w="2468" w:type="dxa"/>
            <w:vMerge w:val="restart"/>
            <w:tcBorders>
              <w:top w:val="nil"/>
              <w:left w:val="nil"/>
              <w:bottom w:val="single" w:color="000000" w:sz="8" w:space="0"/>
              <w:right w:val="single" w:color="000000" w:sz="8" w:space="0"/>
            </w:tcBorders>
            <w:vAlign w:val="center"/>
          </w:tcPr>
          <w:p w14:paraId="1680BEC1">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引风机主轴承更换。</w:t>
            </w:r>
          </w:p>
          <w:p w14:paraId="17688DA5">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一次风机主轴承更换。</w:t>
            </w:r>
          </w:p>
          <w:p w14:paraId="06F3FE0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二次风机主轴承更换。</w:t>
            </w:r>
          </w:p>
          <w:p w14:paraId="09C6E0BC">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4. 辅助、启动燃烧器风机主轴承更换。</w:t>
            </w:r>
          </w:p>
        </w:tc>
        <w:tc>
          <w:tcPr>
            <w:tcW w:w="3833" w:type="dxa"/>
            <w:vMerge w:val="restart"/>
            <w:tcBorders>
              <w:top w:val="nil"/>
              <w:left w:val="nil"/>
              <w:bottom w:val="single" w:color="000000" w:sz="8" w:space="0"/>
              <w:right w:val="single" w:color="000000" w:sz="8" w:space="0"/>
            </w:tcBorders>
            <w:vAlign w:val="center"/>
          </w:tcPr>
          <w:p w14:paraId="3B9D3AE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外观检查无脱皮、磨损、锈蚀、凹坑、裂纹和过热变色缺陷。</w:t>
            </w:r>
          </w:p>
          <w:p w14:paraId="1042643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滑道与滚动体应光滑，保持架应完好无损。</w:t>
            </w:r>
          </w:p>
          <w:p w14:paraId="7D61EDA7">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轴承内圈与轴的配合紧力为0.01mm～0.02mm。</w:t>
            </w:r>
          </w:p>
          <w:p w14:paraId="7D3C693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轴承外圈与孔的配合为过渡配合。</w:t>
            </w:r>
          </w:p>
          <w:p w14:paraId="0AE19164">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轴承径向游隙小于0.05mm。</w:t>
            </w:r>
          </w:p>
          <w:p w14:paraId="1B2D188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 试运风机振幅在0.05mm以内，风压达到额定值。</w:t>
            </w:r>
          </w:p>
          <w:p w14:paraId="4273B21C">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7. 符合厂家风机检修技术规范要求。</w:t>
            </w:r>
          </w:p>
        </w:tc>
        <w:tc>
          <w:tcPr>
            <w:tcW w:w="701" w:type="dxa"/>
            <w:vMerge w:val="restart"/>
            <w:tcBorders>
              <w:top w:val="nil"/>
              <w:left w:val="nil"/>
              <w:bottom w:val="single" w:color="000000" w:sz="8" w:space="0"/>
              <w:right w:val="single" w:color="000000" w:sz="8" w:space="0"/>
            </w:tcBorders>
            <w:vAlign w:val="center"/>
          </w:tcPr>
          <w:p w14:paraId="5553871A">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3～4年一次</w:t>
            </w:r>
          </w:p>
        </w:tc>
      </w:tr>
      <w:tr w14:paraId="3911B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4A22800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A80B41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43EB673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1E4DE41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73E231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508BC9F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41D2E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1B40BD2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C9403F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6DC9312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B8EFE3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7F092C8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2B9D0FF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97E9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4B87AF1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C48EC4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210D684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CFA098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A7DA24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C8F05E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C61D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6573D04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7CDD14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B28A56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049160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6769AAC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4E0CD34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EFD5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FC5D0D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6F784CC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027931E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953EAB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6F9A80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6239E0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31E5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58401E2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61A335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6EFA5C4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0936E84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0B9131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494008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5DD8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restart"/>
            <w:tcBorders>
              <w:top w:val="nil"/>
              <w:left w:val="single" w:color="000000" w:sz="8" w:space="0"/>
              <w:bottom w:val="single" w:color="000000" w:sz="8" w:space="0"/>
              <w:right w:val="single" w:color="000000" w:sz="8" w:space="0"/>
            </w:tcBorders>
            <w:vAlign w:val="center"/>
          </w:tcPr>
          <w:p w14:paraId="1BE99EBE">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四</w:t>
            </w:r>
          </w:p>
        </w:tc>
        <w:tc>
          <w:tcPr>
            <w:tcW w:w="660" w:type="dxa"/>
            <w:vMerge w:val="restart"/>
            <w:tcBorders>
              <w:top w:val="nil"/>
              <w:left w:val="nil"/>
              <w:bottom w:val="single" w:color="000000" w:sz="8" w:space="0"/>
              <w:right w:val="single" w:color="000000" w:sz="8" w:space="0"/>
            </w:tcBorders>
            <w:vAlign w:val="center"/>
          </w:tcPr>
          <w:p w14:paraId="41CB2CB6">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烟风系统</w:t>
            </w:r>
          </w:p>
        </w:tc>
        <w:tc>
          <w:tcPr>
            <w:tcW w:w="715" w:type="dxa"/>
            <w:vMerge w:val="restart"/>
            <w:tcBorders>
              <w:top w:val="nil"/>
              <w:left w:val="nil"/>
              <w:bottom w:val="single" w:color="000000" w:sz="8" w:space="0"/>
              <w:right w:val="single" w:color="000000" w:sz="8" w:space="0"/>
            </w:tcBorders>
            <w:vAlign w:val="center"/>
          </w:tcPr>
          <w:p w14:paraId="3D99ECA5">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空预器及烟风道</w:t>
            </w:r>
          </w:p>
        </w:tc>
        <w:tc>
          <w:tcPr>
            <w:tcW w:w="2468" w:type="dxa"/>
            <w:vMerge w:val="restart"/>
            <w:tcBorders>
              <w:top w:val="nil"/>
              <w:left w:val="nil"/>
              <w:bottom w:val="single" w:color="000000" w:sz="8" w:space="0"/>
              <w:right w:val="single" w:color="000000" w:sz="8" w:space="0"/>
            </w:tcBorders>
            <w:vAlign w:val="center"/>
          </w:tcPr>
          <w:p w14:paraId="672EE370">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一次风空预器检查清理，管组子更换。</w:t>
            </w:r>
          </w:p>
          <w:p w14:paraId="3B614BB8">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 烟风道施工。</w:t>
            </w:r>
          </w:p>
        </w:tc>
        <w:tc>
          <w:tcPr>
            <w:tcW w:w="3833" w:type="dxa"/>
            <w:vMerge w:val="restart"/>
            <w:tcBorders>
              <w:top w:val="nil"/>
              <w:left w:val="nil"/>
              <w:bottom w:val="single" w:color="000000" w:sz="8" w:space="0"/>
              <w:right w:val="single" w:color="000000" w:sz="8" w:space="0"/>
            </w:tcBorders>
            <w:vAlign w:val="center"/>
          </w:tcPr>
          <w:p w14:paraId="2B66D8C9">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滤网干净完整。</w:t>
            </w:r>
          </w:p>
          <w:p w14:paraId="378B1359">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试压无泄漏现象。</w:t>
            </w:r>
          </w:p>
          <w:p w14:paraId="1440827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烟风道杂物清理干净无杂物。</w:t>
            </w:r>
          </w:p>
          <w:p w14:paraId="5E19B414">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4. 膨胀节无泄漏，固定牢固。</w:t>
            </w:r>
          </w:p>
        </w:tc>
        <w:tc>
          <w:tcPr>
            <w:tcW w:w="701" w:type="dxa"/>
            <w:vMerge w:val="restart"/>
            <w:tcBorders>
              <w:top w:val="nil"/>
              <w:left w:val="nil"/>
              <w:bottom w:val="single" w:color="000000" w:sz="8" w:space="0"/>
              <w:right w:val="single" w:color="000000" w:sz="8" w:space="0"/>
            </w:tcBorders>
            <w:vAlign w:val="center"/>
          </w:tcPr>
          <w:p w14:paraId="4FC6B57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3ADBF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88B38C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652116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76FC67F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E3368C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5FF0EBF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605AFB2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62C7A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1F2C538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0414EAD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4874430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38EF42B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EAEE1B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0138D2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F763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44C74A4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7B50F66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1DF83ED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732A3D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6E627C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6191D3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A09C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restart"/>
            <w:tcBorders>
              <w:top w:val="nil"/>
              <w:left w:val="single" w:color="000000" w:sz="8" w:space="0"/>
              <w:bottom w:val="single" w:color="000000" w:sz="8" w:space="0"/>
              <w:right w:val="single" w:color="000000" w:sz="8" w:space="0"/>
            </w:tcBorders>
            <w:vAlign w:val="center"/>
          </w:tcPr>
          <w:p w14:paraId="180D941F">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五</w:t>
            </w:r>
          </w:p>
        </w:tc>
        <w:tc>
          <w:tcPr>
            <w:tcW w:w="660" w:type="dxa"/>
            <w:vMerge w:val="restart"/>
            <w:tcBorders>
              <w:top w:val="nil"/>
              <w:left w:val="nil"/>
              <w:bottom w:val="single" w:color="000000" w:sz="8" w:space="0"/>
              <w:right w:val="single" w:color="000000" w:sz="8" w:space="0"/>
            </w:tcBorders>
            <w:vAlign w:val="center"/>
          </w:tcPr>
          <w:p w14:paraId="08DF882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烟气净化系统</w:t>
            </w:r>
          </w:p>
        </w:tc>
        <w:tc>
          <w:tcPr>
            <w:tcW w:w="715" w:type="dxa"/>
            <w:vMerge w:val="restart"/>
            <w:tcBorders>
              <w:top w:val="nil"/>
              <w:left w:val="nil"/>
              <w:bottom w:val="single" w:color="000000" w:sz="8" w:space="0"/>
              <w:right w:val="single" w:color="000000" w:sz="8" w:space="0"/>
            </w:tcBorders>
            <w:vAlign w:val="center"/>
          </w:tcPr>
          <w:p w14:paraId="4B50D5FF">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反应塔</w:t>
            </w:r>
          </w:p>
        </w:tc>
        <w:tc>
          <w:tcPr>
            <w:tcW w:w="2468" w:type="dxa"/>
            <w:vMerge w:val="restart"/>
            <w:tcBorders>
              <w:top w:val="nil"/>
              <w:left w:val="nil"/>
              <w:bottom w:val="single" w:color="000000" w:sz="8" w:space="0"/>
              <w:right w:val="single" w:color="000000" w:sz="8" w:space="0"/>
            </w:tcBorders>
            <w:vAlign w:val="center"/>
          </w:tcPr>
          <w:p w14:paraId="02006EB3">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反应塔下埋刮板输送机大修（1台）。</w:t>
            </w:r>
          </w:p>
          <w:p w14:paraId="544B4FB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反应塔内部搭架。</w:t>
            </w:r>
          </w:p>
          <w:p w14:paraId="78E30103">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 反应塔内部清灰。</w:t>
            </w:r>
          </w:p>
        </w:tc>
        <w:tc>
          <w:tcPr>
            <w:tcW w:w="3833" w:type="dxa"/>
            <w:vMerge w:val="restart"/>
            <w:tcBorders>
              <w:top w:val="nil"/>
              <w:left w:val="nil"/>
              <w:bottom w:val="single" w:color="000000" w:sz="8" w:space="0"/>
              <w:right w:val="single" w:color="000000" w:sz="8" w:space="0"/>
            </w:tcBorders>
            <w:vAlign w:val="center"/>
          </w:tcPr>
          <w:p w14:paraId="605AD2EA">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星型卸灰阀本体清理，无积灰、杂物，整体检查合格，更换润滑油，并加润滑脂。</w:t>
            </w:r>
          </w:p>
          <w:p w14:paraId="3C9D79F6">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刮板机换油，油位满足要求。</w:t>
            </w:r>
          </w:p>
          <w:p w14:paraId="5C479184">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刮板机链条松紧度符合要求。</w:t>
            </w:r>
          </w:p>
          <w:p w14:paraId="1376AEB4">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刮板机及双侧气动翻板阀加润滑脂。</w:t>
            </w:r>
          </w:p>
          <w:p w14:paraId="65EDE29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刮板机及双侧气动翻板阀密封严密，无泄漏。</w:t>
            </w:r>
          </w:p>
          <w:p w14:paraId="55DF1F5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6. 刮板机链条与地板磨损小于3mm。                                                       </w:t>
            </w:r>
          </w:p>
          <w:p w14:paraId="69B0B9AC">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7. 反应塔整体清理，无积灰与杂物。                                                      </w:t>
            </w:r>
          </w:p>
          <w:p w14:paraId="38B60113">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8. 保温与油漆恢复。</w:t>
            </w:r>
          </w:p>
          <w:p w14:paraId="065F3AE3">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9. 飞灰清理完放至指定位置，工完料尽厂清。</w:t>
            </w:r>
          </w:p>
        </w:tc>
        <w:tc>
          <w:tcPr>
            <w:tcW w:w="701" w:type="dxa"/>
            <w:vMerge w:val="restart"/>
            <w:tcBorders>
              <w:top w:val="nil"/>
              <w:left w:val="nil"/>
              <w:bottom w:val="single" w:color="000000" w:sz="8" w:space="0"/>
              <w:right w:val="single" w:color="000000" w:sz="8" w:space="0"/>
            </w:tcBorders>
            <w:vAlign w:val="center"/>
          </w:tcPr>
          <w:p w14:paraId="5BC66F2F">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14C5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15E1F6F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370CBEA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4B45EFC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450FA3F">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4A76C6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2E12CEA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6D75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7805FD8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0D807B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2BAD9A4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4EBEBE7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FC589D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B2DBE8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A6D4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5476E66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95FD23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2D5B41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2D694CD7">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B32BCB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E5D0A6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07B9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6295149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08EB3D0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3C6CA3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A4DBB3A">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25C00B1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DF42B7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774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7655686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5BA8318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EAD6EC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7148E6A">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2AC6C4A">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7BF6AAF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144D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E68CA0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15957B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2A4E11B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173D5B5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27822F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67549E9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3710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566350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70EE111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96119C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0D12F8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58D39CB">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59C23A4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6065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67183E1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2F8F76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7DAF132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02A4253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1D46D88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A2B50F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4AE9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3A1B7AD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B8C3A2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restart"/>
            <w:tcBorders>
              <w:top w:val="nil"/>
              <w:left w:val="nil"/>
              <w:bottom w:val="single" w:color="000000" w:sz="8" w:space="0"/>
              <w:right w:val="single" w:color="000000" w:sz="8" w:space="0"/>
            </w:tcBorders>
            <w:vAlign w:val="center"/>
          </w:tcPr>
          <w:p w14:paraId="6E4A3CB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布袋除尘器</w:t>
            </w:r>
          </w:p>
        </w:tc>
        <w:tc>
          <w:tcPr>
            <w:tcW w:w="2468" w:type="dxa"/>
            <w:vMerge w:val="restart"/>
            <w:tcBorders>
              <w:top w:val="nil"/>
              <w:left w:val="nil"/>
              <w:bottom w:val="single" w:color="000000" w:sz="8" w:space="0"/>
              <w:right w:val="single" w:color="000000" w:sz="8" w:space="0"/>
            </w:tcBorders>
            <w:vAlign w:val="center"/>
          </w:tcPr>
          <w:p w14:paraId="1333860E">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检查滤袋和骨架的磨损、腐蚀情况。</w:t>
            </w:r>
          </w:p>
          <w:p w14:paraId="7894CC94">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检查箱体、清洁室花板、喷吹管、盖板烟道腐蚀情况。</w:t>
            </w:r>
          </w:p>
          <w:p w14:paraId="4E6D016C">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喷吹管补焊及螺栓紧固（如需要）。</w:t>
            </w:r>
          </w:p>
          <w:p w14:paraId="5FB343F4">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布袋间距调整、更换布袋或笼骨。</w:t>
            </w:r>
          </w:p>
          <w:p w14:paraId="03ABBA2C">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除尘器查漏（包括布袋查漏、箱体查漏）及处理。</w:t>
            </w:r>
          </w:p>
          <w:p w14:paraId="2224DF3B">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 布袋除尘器出口密封室防腐刷涂料（采购人提供涂料）。</w:t>
            </w:r>
          </w:p>
          <w:p w14:paraId="0F67611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7.除尘器下埋刮板输送机维护消缺。</w:t>
            </w:r>
          </w:p>
          <w:p w14:paraId="22742095">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8.出入口挡板门检查消缺、活动性试验（开关灵活、指示正确）</w:t>
            </w:r>
          </w:p>
          <w:p w14:paraId="305ED62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9、除尘器下埋刮板输送机（2台）</w:t>
            </w:r>
          </w:p>
          <w:p w14:paraId="7A98DB59">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10、星型卸灰阀更换及维护（12台）。</w:t>
            </w:r>
          </w:p>
        </w:tc>
        <w:tc>
          <w:tcPr>
            <w:tcW w:w="3833" w:type="dxa"/>
            <w:vMerge w:val="restart"/>
            <w:tcBorders>
              <w:top w:val="nil"/>
              <w:left w:val="nil"/>
              <w:bottom w:val="single" w:color="000000" w:sz="8" w:space="0"/>
              <w:right w:val="single" w:color="000000" w:sz="8" w:space="0"/>
            </w:tcBorders>
            <w:vAlign w:val="center"/>
          </w:tcPr>
          <w:p w14:paraId="74C45DC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布袋及笼骨与花板密封严密，自然垂直，布袋底部不与其它布袋或箱体相碰、摩擦；荧光粉查漏试验合格。</w:t>
            </w:r>
          </w:p>
          <w:p w14:paraId="79494688">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喷吹管、箱体等补焊部位焊口平滑，无焊渣焊瘤。</w:t>
            </w:r>
          </w:p>
          <w:p w14:paraId="664EC19C">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喷吹管固定符合要求，不得松动或被振动移位，喷吹口正对布袋口。</w:t>
            </w:r>
          </w:p>
          <w:p w14:paraId="116A7C5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脉冲阀膜片自然展开平铺，无泄漏；提升阀密封严密，无泄漏。</w:t>
            </w:r>
          </w:p>
          <w:p w14:paraId="3DFE1E18">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星型卸灰阀运转平稳，振动、温度、电流符合要求，无异响。</w:t>
            </w:r>
          </w:p>
          <w:p w14:paraId="7205B212">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 刮板机密封严密，运转平稳，振动、温度、电流符合要求。</w:t>
            </w:r>
          </w:p>
        </w:tc>
        <w:tc>
          <w:tcPr>
            <w:tcW w:w="701" w:type="dxa"/>
            <w:vMerge w:val="restart"/>
            <w:tcBorders>
              <w:top w:val="nil"/>
              <w:left w:val="nil"/>
              <w:bottom w:val="single" w:color="000000" w:sz="8" w:space="0"/>
              <w:right w:val="single" w:color="000000" w:sz="8" w:space="0"/>
            </w:tcBorders>
            <w:vAlign w:val="center"/>
          </w:tcPr>
          <w:p w14:paraId="6CF958A8">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5673C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530C437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C31536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0286ACD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40C41AA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6C1818A6">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8D3CD6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B9C9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344EE10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9FC75C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3BF1ED1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4FE1B39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46A72A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42369C6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823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5ABE880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F7B57D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tcBorders>
              <w:top w:val="nil"/>
              <w:left w:val="nil"/>
              <w:bottom w:val="single" w:color="000000" w:sz="8" w:space="0"/>
              <w:right w:val="single" w:color="000000" w:sz="8" w:space="0"/>
            </w:tcBorders>
            <w:vAlign w:val="center"/>
          </w:tcPr>
          <w:p w14:paraId="5E691DCE">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GGH1</w:t>
            </w:r>
          </w:p>
        </w:tc>
        <w:tc>
          <w:tcPr>
            <w:tcW w:w="2468" w:type="dxa"/>
            <w:tcBorders>
              <w:top w:val="nil"/>
              <w:left w:val="nil"/>
              <w:bottom w:val="single" w:color="000000" w:sz="8" w:space="0"/>
              <w:right w:val="single" w:color="000000" w:sz="8" w:space="0"/>
            </w:tcBorders>
            <w:vAlign w:val="center"/>
          </w:tcPr>
          <w:p w14:paraId="41BE22F2">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1.查漏、破损管修复，内部清洗</w:t>
            </w:r>
          </w:p>
        </w:tc>
        <w:tc>
          <w:tcPr>
            <w:tcW w:w="3833" w:type="dxa"/>
            <w:tcBorders>
              <w:top w:val="nil"/>
              <w:left w:val="nil"/>
              <w:bottom w:val="single" w:color="000000" w:sz="8" w:space="0"/>
              <w:right w:val="single" w:color="000000" w:sz="8" w:space="0"/>
            </w:tcBorders>
            <w:vAlign w:val="center"/>
          </w:tcPr>
          <w:p w14:paraId="4660970C">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衬胶完好、设备严密无泄漏、流通面内部干净无结垢。</w:t>
            </w:r>
          </w:p>
        </w:tc>
        <w:tc>
          <w:tcPr>
            <w:tcW w:w="701" w:type="dxa"/>
            <w:tcBorders>
              <w:top w:val="nil"/>
              <w:left w:val="nil"/>
              <w:bottom w:val="single" w:color="000000" w:sz="8" w:space="0"/>
              <w:right w:val="single" w:color="000000" w:sz="8" w:space="0"/>
            </w:tcBorders>
            <w:vAlign w:val="center"/>
          </w:tcPr>
          <w:p w14:paraId="5A096FDE">
            <w:pPr>
              <w:keepNext w:val="0"/>
              <w:keepLines w:val="0"/>
              <w:widowControl/>
              <w:suppressLineNumbers w:val="0"/>
              <w:adjustRightInd/>
              <w:snapToGrid/>
              <w:spacing w:before="0" w:beforeAutospacing="0" w:after="0" w:afterAutospacing="0" w:line="240" w:lineRule="auto"/>
              <w:ind w:left="0" w:leftChars="0" w:right="0" w:rightChars="0"/>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428BC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9B6BFD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69CCD30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tcBorders>
              <w:top w:val="nil"/>
              <w:left w:val="nil"/>
              <w:bottom w:val="single" w:color="000000" w:sz="8" w:space="0"/>
              <w:right w:val="single" w:color="000000" w:sz="8" w:space="0"/>
            </w:tcBorders>
            <w:vAlign w:val="center"/>
          </w:tcPr>
          <w:p w14:paraId="286874EF">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GGH2</w:t>
            </w:r>
          </w:p>
        </w:tc>
        <w:tc>
          <w:tcPr>
            <w:tcW w:w="2468" w:type="dxa"/>
            <w:tcBorders>
              <w:top w:val="nil"/>
              <w:left w:val="nil"/>
              <w:bottom w:val="single" w:color="000000" w:sz="8" w:space="0"/>
              <w:right w:val="single" w:color="000000" w:sz="8" w:space="0"/>
            </w:tcBorders>
            <w:vAlign w:val="center"/>
          </w:tcPr>
          <w:p w14:paraId="603C3260">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查漏、破损管修复，内部清扫、做防腐。</w:t>
            </w:r>
          </w:p>
        </w:tc>
        <w:tc>
          <w:tcPr>
            <w:tcW w:w="3833" w:type="dxa"/>
            <w:tcBorders>
              <w:top w:val="nil"/>
              <w:left w:val="nil"/>
              <w:bottom w:val="single" w:color="000000" w:sz="8" w:space="0"/>
              <w:right w:val="single" w:color="000000" w:sz="8" w:space="0"/>
            </w:tcBorders>
            <w:vAlign w:val="center"/>
          </w:tcPr>
          <w:p w14:paraId="6A14A49B">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破损处修复，鳞片检查、出口刷高温油漆</w:t>
            </w:r>
          </w:p>
        </w:tc>
        <w:tc>
          <w:tcPr>
            <w:tcW w:w="701" w:type="dxa"/>
            <w:tcBorders>
              <w:top w:val="nil"/>
              <w:left w:val="nil"/>
              <w:bottom w:val="single" w:color="000000" w:sz="8" w:space="0"/>
              <w:right w:val="single" w:color="000000" w:sz="8" w:space="0"/>
            </w:tcBorders>
            <w:vAlign w:val="center"/>
          </w:tcPr>
          <w:p w14:paraId="47E3D200">
            <w:pPr>
              <w:keepNext w:val="0"/>
              <w:keepLines w:val="0"/>
              <w:widowControl/>
              <w:suppressLineNumbers w:val="0"/>
              <w:adjustRightInd/>
              <w:snapToGrid/>
              <w:spacing w:before="0" w:beforeAutospacing="0" w:after="0" w:afterAutospacing="0" w:line="240" w:lineRule="auto"/>
              <w:ind w:left="0" w:leftChars="0" w:right="0" w:rightChars="0"/>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4B238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5780BC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5DA67F3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tcBorders>
              <w:top w:val="nil"/>
              <w:left w:val="nil"/>
              <w:bottom w:val="single" w:color="000000" w:sz="8" w:space="0"/>
              <w:right w:val="single" w:color="000000" w:sz="8" w:space="0"/>
            </w:tcBorders>
            <w:vAlign w:val="center"/>
          </w:tcPr>
          <w:p w14:paraId="2A01F833">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湿法塔</w:t>
            </w:r>
          </w:p>
        </w:tc>
        <w:tc>
          <w:tcPr>
            <w:tcW w:w="2468" w:type="dxa"/>
            <w:tcBorders>
              <w:top w:val="nil"/>
              <w:left w:val="nil"/>
              <w:bottom w:val="single" w:color="000000" w:sz="8" w:space="0"/>
              <w:right w:val="single" w:color="000000" w:sz="8" w:space="0"/>
            </w:tcBorders>
            <w:vAlign w:val="center"/>
          </w:tcPr>
          <w:p w14:paraId="35E4A705">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1.内部清扫、检查鳞片及衬胶管道2.冷却液循环泵检查维护（2台）3.减湿液循环泵检查维护4.板式换热器清洗5.烧碱输送管路清洗6.进出口及旁路挡板门检查维护、消缺</w:t>
            </w:r>
          </w:p>
        </w:tc>
        <w:tc>
          <w:tcPr>
            <w:tcW w:w="3833" w:type="dxa"/>
            <w:tcBorders>
              <w:top w:val="nil"/>
              <w:left w:val="nil"/>
              <w:bottom w:val="single" w:color="000000" w:sz="8" w:space="0"/>
              <w:right w:val="single" w:color="000000" w:sz="8" w:space="0"/>
            </w:tcBorders>
            <w:vAlign w:val="center"/>
          </w:tcPr>
          <w:p w14:paraId="3148FF56">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p>
        </w:tc>
        <w:tc>
          <w:tcPr>
            <w:tcW w:w="701" w:type="dxa"/>
            <w:tcBorders>
              <w:top w:val="nil"/>
              <w:left w:val="nil"/>
              <w:bottom w:val="single" w:color="000000" w:sz="8" w:space="0"/>
              <w:right w:val="single" w:color="000000" w:sz="8" w:space="0"/>
            </w:tcBorders>
            <w:vAlign w:val="center"/>
          </w:tcPr>
          <w:p w14:paraId="06B661C7">
            <w:pPr>
              <w:keepNext w:val="0"/>
              <w:keepLines w:val="0"/>
              <w:widowControl/>
              <w:suppressLineNumbers w:val="0"/>
              <w:adjustRightInd/>
              <w:snapToGrid/>
              <w:spacing w:before="0" w:beforeAutospacing="0" w:after="0" w:afterAutospacing="0" w:line="240" w:lineRule="auto"/>
              <w:ind w:left="0" w:leftChars="0" w:right="0" w:rightChars="0"/>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4D202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1F072CB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F9FBF1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tcBorders>
              <w:top w:val="nil"/>
              <w:left w:val="nil"/>
              <w:bottom w:val="single" w:color="000000" w:sz="8" w:space="0"/>
              <w:right w:val="single" w:color="000000" w:sz="8" w:space="0"/>
            </w:tcBorders>
            <w:vAlign w:val="center"/>
          </w:tcPr>
          <w:p w14:paraId="7EB8A307">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rPr>
            </w:pPr>
            <w:r>
              <w:rPr>
                <w:rFonts w:hint="eastAsia" w:ascii="宋体" w:hAnsi="宋体" w:eastAsia="宋体" w:cs="宋体"/>
                <w:snapToGrid/>
                <w:color w:val="auto"/>
                <w:kern w:val="0"/>
                <w:sz w:val="21"/>
                <w:szCs w:val="21"/>
                <w:highlight w:val="none"/>
                <w:u w:val="none"/>
                <w:lang w:val="en-US" w:eastAsia="zh-CN" w:bidi="ar"/>
              </w:rPr>
              <w:t>SCR反应器</w:t>
            </w:r>
          </w:p>
        </w:tc>
        <w:tc>
          <w:tcPr>
            <w:tcW w:w="2468" w:type="dxa"/>
            <w:tcBorders>
              <w:top w:val="nil"/>
              <w:left w:val="nil"/>
              <w:bottom w:val="single" w:color="000000" w:sz="8" w:space="0"/>
              <w:right w:val="single" w:color="000000" w:sz="8" w:space="0"/>
            </w:tcBorders>
            <w:vAlign w:val="center"/>
          </w:tcPr>
          <w:p w14:paraId="28A6B885">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rPr>
            </w:pPr>
            <w:r>
              <w:rPr>
                <w:rFonts w:hint="eastAsia" w:ascii="宋体" w:hAnsi="宋体" w:eastAsia="宋体" w:cs="宋体"/>
                <w:snapToGrid/>
                <w:color w:val="auto"/>
                <w:kern w:val="0"/>
                <w:sz w:val="21"/>
                <w:szCs w:val="21"/>
                <w:highlight w:val="none"/>
                <w:u w:val="none"/>
                <w:lang w:val="en-US" w:eastAsia="zh-CN" w:bidi="ar"/>
              </w:rPr>
              <w:t>1.催化剂表面积灰清理2.进出口及旁路挡板门检查维护、消缺</w:t>
            </w:r>
          </w:p>
        </w:tc>
        <w:tc>
          <w:tcPr>
            <w:tcW w:w="3833" w:type="dxa"/>
            <w:tcBorders>
              <w:top w:val="nil"/>
              <w:left w:val="nil"/>
              <w:bottom w:val="single" w:color="000000" w:sz="8" w:space="0"/>
              <w:right w:val="single" w:color="000000" w:sz="8" w:space="0"/>
            </w:tcBorders>
            <w:vAlign w:val="center"/>
          </w:tcPr>
          <w:p w14:paraId="025239BF">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rPr>
            </w:pPr>
          </w:p>
        </w:tc>
        <w:tc>
          <w:tcPr>
            <w:tcW w:w="701" w:type="dxa"/>
            <w:tcBorders>
              <w:top w:val="nil"/>
              <w:left w:val="nil"/>
              <w:bottom w:val="single" w:color="000000" w:sz="8" w:space="0"/>
              <w:right w:val="single" w:color="000000" w:sz="8" w:space="0"/>
            </w:tcBorders>
            <w:vAlign w:val="center"/>
          </w:tcPr>
          <w:p w14:paraId="40D65423">
            <w:pPr>
              <w:keepNext w:val="0"/>
              <w:keepLines w:val="0"/>
              <w:widowControl/>
              <w:suppressLineNumbers w:val="0"/>
              <w:adjustRightInd/>
              <w:snapToGrid/>
              <w:spacing w:before="0" w:beforeAutospacing="0" w:after="0" w:afterAutospacing="0" w:line="240" w:lineRule="auto"/>
              <w:ind w:left="0" w:leftChars="0" w:right="0" w:rightChars="0"/>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3C118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restart"/>
            <w:tcBorders>
              <w:top w:val="nil"/>
              <w:left w:val="single" w:color="000000" w:sz="8" w:space="0"/>
              <w:bottom w:val="single" w:color="000000" w:sz="8" w:space="0"/>
              <w:right w:val="single" w:color="000000" w:sz="8" w:space="0"/>
            </w:tcBorders>
            <w:vAlign w:val="center"/>
          </w:tcPr>
          <w:p w14:paraId="2F8F32A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六</w:t>
            </w:r>
          </w:p>
        </w:tc>
        <w:tc>
          <w:tcPr>
            <w:tcW w:w="660" w:type="dxa"/>
            <w:vMerge w:val="restart"/>
            <w:tcBorders>
              <w:top w:val="nil"/>
              <w:left w:val="nil"/>
              <w:bottom w:val="single" w:color="000000" w:sz="8" w:space="0"/>
              <w:right w:val="single" w:color="000000" w:sz="8" w:space="0"/>
            </w:tcBorders>
            <w:vAlign w:val="center"/>
          </w:tcPr>
          <w:p w14:paraId="48115C21">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搭架子</w:t>
            </w:r>
          </w:p>
        </w:tc>
        <w:tc>
          <w:tcPr>
            <w:tcW w:w="715" w:type="dxa"/>
            <w:vMerge w:val="restart"/>
            <w:tcBorders>
              <w:top w:val="nil"/>
              <w:left w:val="nil"/>
              <w:bottom w:val="single" w:color="000000" w:sz="8" w:space="0"/>
              <w:right w:val="single" w:color="000000" w:sz="8" w:space="0"/>
            </w:tcBorders>
            <w:vAlign w:val="center"/>
          </w:tcPr>
          <w:p w14:paraId="7F3B7F7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搭架子检修设备</w:t>
            </w:r>
          </w:p>
        </w:tc>
        <w:tc>
          <w:tcPr>
            <w:tcW w:w="2468" w:type="dxa"/>
            <w:vMerge w:val="restart"/>
            <w:tcBorders>
              <w:top w:val="nil"/>
              <w:left w:val="nil"/>
              <w:bottom w:val="single" w:color="000000" w:sz="8" w:space="0"/>
              <w:right w:val="single" w:color="000000" w:sz="8" w:space="0"/>
            </w:tcBorders>
            <w:vAlign w:val="center"/>
          </w:tcPr>
          <w:p w14:paraId="102192CC">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第一通道搭钢管架至炉顶。</w:t>
            </w:r>
          </w:p>
          <w:p w14:paraId="1E04179B">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第二通道搭钢管架至炉顶。</w:t>
            </w:r>
          </w:p>
          <w:p w14:paraId="5D78E9D3">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第三通道搭钢管架至炉顶。</w:t>
            </w:r>
          </w:p>
          <w:p w14:paraId="58488F54">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4. 水平烟道搭钢管架至炉顶。</w:t>
            </w:r>
          </w:p>
        </w:tc>
        <w:tc>
          <w:tcPr>
            <w:tcW w:w="3833" w:type="dxa"/>
            <w:vMerge w:val="restart"/>
            <w:tcBorders>
              <w:top w:val="nil"/>
              <w:left w:val="nil"/>
              <w:bottom w:val="single" w:color="000000" w:sz="8" w:space="0"/>
              <w:right w:val="single" w:color="000000" w:sz="8" w:space="0"/>
            </w:tcBorders>
            <w:vAlign w:val="center"/>
          </w:tcPr>
          <w:p w14:paraId="56B6B3FE">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卡扣采用金属卡扣牢固可靠，严禁用铁丝、塑料带捆绑代替。</w:t>
            </w:r>
          </w:p>
          <w:p w14:paraId="3636B8D3">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符合《电业安全工作规程》（热力和机械部分）的脚手架安装和使用要求。</w:t>
            </w:r>
          </w:p>
          <w:p w14:paraId="3D90FA08">
            <w:pPr>
              <w:pStyle w:val="10"/>
              <w:spacing w:line="240" w:lineRule="auto"/>
              <w:rPr>
                <w:rFonts w:hint="eastAsia"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SA"/>
              </w:rPr>
              <w:t>3、脚手架搭设满足筑炉、打焦及受热面测厚等作业需求，并视需要使部分区域具备承重平台功能。</w:t>
            </w:r>
          </w:p>
        </w:tc>
        <w:tc>
          <w:tcPr>
            <w:tcW w:w="701" w:type="dxa"/>
            <w:vMerge w:val="restart"/>
            <w:tcBorders>
              <w:top w:val="nil"/>
              <w:left w:val="nil"/>
              <w:bottom w:val="single" w:color="000000" w:sz="8" w:space="0"/>
              <w:right w:val="single" w:color="000000" w:sz="8" w:space="0"/>
            </w:tcBorders>
            <w:vAlign w:val="center"/>
          </w:tcPr>
          <w:p w14:paraId="438D7228">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0B476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6608E8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82F034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6C24B6E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27F3042A">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734F7077">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21AFEB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368A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3AD066F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340F8A1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646639E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3AB344A7">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66E2C05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5DAC6B6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253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1A85523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719208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72E1965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68D6023F">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28729C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75A163B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469CD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restart"/>
            <w:tcBorders>
              <w:top w:val="nil"/>
              <w:left w:val="single" w:color="000000" w:sz="8" w:space="0"/>
              <w:bottom w:val="single" w:color="000000" w:sz="8" w:space="0"/>
              <w:right w:val="single" w:color="000000" w:sz="8" w:space="0"/>
            </w:tcBorders>
            <w:vAlign w:val="center"/>
          </w:tcPr>
          <w:p w14:paraId="6174F72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七</w:t>
            </w:r>
          </w:p>
        </w:tc>
        <w:tc>
          <w:tcPr>
            <w:tcW w:w="660" w:type="dxa"/>
            <w:vMerge w:val="restart"/>
            <w:tcBorders>
              <w:top w:val="nil"/>
              <w:left w:val="nil"/>
              <w:bottom w:val="single" w:color="000000" w:sz="8" w:space="0"/>
              <w:right w:val="single" w:color="000000" w:sz="8" w:space="0"/>
            </w:tcBorders>
            <w:vAlign w:val="center"/>
          </w:tcPr>
          <w:p w14:paraId="61ACB86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炉膛、烟气净化系统设备清扫</w:t>
            </w:r>
          </w:p>
        </w:tc>
        <w:tc>
          <w:tcPr>
            <w:tcW w:w="715" w:type="dxa"/>
            <w:vMerge w:val="restart"/>
            <w:tcBorders>
              <w:top w:val="nil"/>
              <w:left w:val="nil"/>
              <w:bottom w:val="single" w:color="000000" w:sz="8" w:space="0"/>
              <w:right w:val="single" w:color="000000" w:sz="8" w:space="0"/>
            </w:tcBorders>
            <w:vAlign w:val="center"/>
          </w:tcPr>
          <w:p w14:paraId="17F8DAA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打焦</w:t>
            </w:r>
          </w:p>
        </w:tc>
        <w:tc>
          <w:tcPr>
            <w:tcW w:w="2468" w:type="dxa"/>
            <w:vMerge w:val="restart"/>
            <w:tcBorders>
              <w:top w:val="nil"/>
              <w:left w:val="nil"/>
              <w:bottom w:val="single" w:color="000000" w:sz="8" w:space="0"/>
              <w:right w:val="single" w:color="000000" w:sz="8" w:space="0"/>
            </w:tcBorders>
            <w:vAlign w:val="center"/>
          </w:tcPr>
          <w:p w14:paraId="7A17EA14">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1.焚烧炉打焦。</w:t>
            </w:r>
          </w:p>
        </w:tc>
        <w:tc>
          <w:tcPr>
            <w:tcW w:w="3833" w:type="dxa"/>
            <w:vMerge w:val="restart"/>
            <w:tcBorders>
              <w:top w:val="nil"/>
              <w:left w:val="nil"/>
              <w:bottom w:val="single" w:color="000000" w:sz="8" w:space="0"/>
              <w:right w:val="single" w:color="000000" w:sz="8" w:space="0"/>
            </w:tcBorders>
            <w:vAlign w:val="center"/>
          </w:tcPr>
          <w:p w14:paraId="7707606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打焦过程不得损坏焚烧炉耐火浇筑料。</w:t>
            </w:r>
          </w:p>
          <w:p w14:paraId="33C0E909">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打焦质量严格按照锅炉打焦要求验收，烟道壁、观火孔、燃烧器等部位无明显焦块残留。</w:t>
            </w:r>
          </w:p>
          <w:p w14:paraId="589B7C3F">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炉排上应有防止大焦块砸落造成炉排片损坏的防护措施。</w:t>
            </w:r>
          </w:p>
          <w:p w14:paraId="494A0DAD">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材料进出作业现场应严格遵守现场作业要求，做好地面保护措施，施工材料堆放在指定区域，自行清理废弃材料。</w:t>
            </w:r>
          </w:p>
          <w:p w14:paraId="7F64B71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 焚烧炉前、后拱及左右两侧炉墙打焦后，剩余结焦厚度不得超过80mm。</w:t>
            </w:r>
          </w:p>
        </w:tc>
        <w:tc>
          <w:tcPr>
            <w:tcW w:w="701" w:type="dxa"/>
            <w:vMerge w:val="restart"/>
            <w:tcBorders>
              <w:top w:val="nil"/>
              <w:left w:val="nil"/>
              <w:bottom w:val="single" w:color="000000" w:sz="8" w:space="0"/>
              <w:right w:val="single" w:color="000000" w:sz="8" w:space="0"/>
            </w:tcBorders>
            <w:vAlign w:val="center"/>
          </w:tcPr>
          <w:p w14:paraId="3ABB4A84">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185DF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491CCED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B2D318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5709F7A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B84BBA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5ED665F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4E1383A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8C00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2BA3901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09DB1D4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2C138F2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211E055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350DFE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056AA8C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5658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570738A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C8B34E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27BA48C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6E6B679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043164A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F944E1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9B57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6D6E92D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674B8D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7D28A53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FCAE4F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24A88F8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CB04E3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F9B2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9CFD22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C2AE23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restart"/>
            <w:tcBorders>
              <w:top w:val="nil"/>
              <w:left w:val="nil"/>
              <w:bottom w:val="single" w:color="000000" w:sz="8" w:space="0"/>
              <w:right w:val="single" w:color="000000" w:sz="8" w:space="0"/>
            </w:tcBorders>
            <w:vAlign w:val="center"/>
          </w:tcPr>
          <w:p w14:paraId="0332EDF4">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清灰</w:t>
            </w:r>
          </w:p>
        </w:tc>
        <w:tc>
          <w:tcPr>
            <w:tcW w:w="2468" w:type="dxa"/>
            <w:vMerge w:val="restart"/>
            <w:tcBorders>
              <w:top w:val="nil"/>
              <w:left w:val="nil"/>
              <w:bottom w:val="single" w:color="000000" w:sz="8" w:space="0"/>
              <w:right w:val="single" w:color="000000" w:sz="8" w:space="0"/>
            </w:tcBorders>
            <w:vAlign w:val="center"/>
          </w:tcPr>
          <w:p w14:paraId="74A2D40D">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受热面（1、2、3烟道，水平烟道）。</w:t>
            </w:r>
          </w:p>
          <w:p w14:paraId="3193C016">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布袋除尘器灰斗清灰。</w:t>
            </w:r>
          </w:p>
          <w:p w14:paraId="2D181876">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2、3烟道灰斗清灰，水平烟道灰斗清灰。</w:t>
            </w:r>
          </w:p>
          <w:p w14:paraId="36041A21">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布袋除尘器主路进口及灰斗清灰。</w:t>
            </w:r>
          </w:p>
          <w:p w14:paraId="0E0178F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 反应塔锥斗、破碎机清灰。</w:t>
            </w:r>
          </w:p>
        </w:tc>
        <w:tc>
          <w:tcPr>
            <w:tcW w:w="3833" w:type="dxa"/>
            <w:vMerge w:val="restart"/>
            <w:tcBorders>
              <w:top w:val="nil"/>
              <w:left w:val="nil"/>
              <w:bottom w:val="single" w:color="000000" w:sz="8" w:space="0"/>
              <w:right w:val="single" w:color="000000" w:sz="8" w:space="0"/>
            </w:tcBorders>
            <w:vAlign w:val="center"/>
          </w:tcPr>
          <w:p w14:paraId="5861D1CE">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清理管子外壁、焦渣和积灰使管子表面光洁，无积灰积渣。</w:t>
            </w:r>
          </w:p>
          <w:p w14:paraId="1381543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烟道清灰时严禁使用锐器，铁器强力敲击、撞击受热面管壁。</w:t>
            </w:r>
          </w:p>
          <w:p w14:paraId="5E6D0CFD">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锅炉Ⅱ烟道内及三片屏式蒸发受热面表面无积灰，并能看见管子90%以上外壁，视为清灰合格。</w:t>
            </w:r>
          </w:p>
          <w:p w14:paraId="47DE1A4C">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主路进口、灰斗、清洁室、箱体内部清扫干净。</w:t>
            </w:r>
          </w:p>
          <w:p w14:paraId="23849BE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锥斗、破碎机本体清理干净，无积灰及杂物。</w:t>
            </w:r>
          </w:p>
          <w:p w14:paraId="6EC9B723">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 放灰到指定位置，现场清理干净。</w:t>
            </w:r>
          </w:p>
        </w:tc>
        <w:tc>
          <w:tcPr>
            <w:tcW w:w="701" w:type="dxa"/>
            <w:vMerge w:val="restart"/>
            <w:tcBorders>
              <w:top w:val="nil"/>
              <w:left w:val="nil"/>
              <w:bottom w:val="single" w:color="000000" w:sz="8" w:space="0"/>
              <w:right w:val="single" w:color="000000" w:sz="8" w:space="0"/>
            </w:tcBorders>
            <w:vAlign w:val="center"/>
          </w:tcPr>
          <w:p w14:paraId="5E90ECFA">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2E3EC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3CEEC5A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E6EAE7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5DB6D53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6F3A96D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4F24D7D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36888E36">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0735C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02940B0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68D2C86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4D535D1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7FC3EC1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EE7171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16BA147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6A5A1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17B6AAE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46A5A20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118FB88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219625D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331235A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5D67862F">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7C5A4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2CAEE5D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1F96BAA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0A7906D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548320B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2FEDF8B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72C22113">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6568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000000" w:sz="8" w:space="0"/>
              <w:right w:val="single" w:color="000000" w:sz="8" w:space="0"/>
            </w:tcBorders>
            <w:vAlign w:val="center"/>
          </w:tcPr>
          <w:p w14:paraId="6C1389D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000000" w:sz="8" w:space="0"/>
              <w:right w:val="single" w:color="000000" w:sz="8" w:space="0"/>
            </w:tcBorders>
            <w:vAlign w:val="center"/>
          </w:tcPr>
          <w:p w14:paraId="29CDC6B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000000" w:sz="8" w:space="0"/>
              <w:right w:val="single" w:color="000000" w:sz="8" w:space="0"/>
            </w:tcBorders>
            <w:vAlign w:val="center"/>
          </w:tcPr>
          <w:p w14:paraId="6689CEE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000000" w:sz="8" w:space="0"/>
              <w:right w:val="single" w:color="000000" w:sz="8" w:space="0"/>
            </w:tcBorders>
            <w:vAlign w:val="center"/>
          </w:tcPr>
          <w:p w14:paraId="26FB650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000000" w:sz="8" w:space="0"/>
              <w:right w:val="single" w:color="000000" w:sz="8" w:space="0"/>
            </w:tcBorders>
            <w:vAlign w:val="center"/>
          </w:tcPr>
          <w:p w14:paraId="2C95BE3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single" w:color="000000" w:sz="8" w:space="0"/>
              <w:right w:val="single" w:color="000000" w:sz="8" w:space="0"/>
            </w:tcBorders>
            <w:vAlign w:val="center"/>
          </w:tcPr>
          <w:p w14:paraId="0E10C3B1">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43372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vMerge w:val="continue"/>
            <w:tcBorders>
              <w:top w:val="nil"/>
              <w:left w:val="single" w:color="000000" w:sz="8" w:space="0"/>
              <w:bottom w:val="single" w:color="auto" w:sz="4" w:space="0"/>
              <w:right w:val="single" w:color="000000" w:sz="8" w:space="0"/>
            </w:tcBorders>
            <w:vAlign w:val="center"/>
          </w:tcPr>
          <w:p w14:paraId="7B8921C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660" w:type="dxa"/>
            <w:vMerge w:val="continue"/>
            <w:tcBorders>
              <w:top w:val="nil"/>
              <w:left w:val="nil"/>
              <w:bottom w:val="single" w:color="auto" w:sz="4" w:space="0"/>
              <w:right w:val="single" w:color="000000" w:sz="8" w:space="0"/>
            </w:tcBorders>
            <w:vAlign w:val="center"/>
          </w:tcPr>
          <w:p w14:paraId="1BEFEA2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715" w:type="dxa"/>
            <w:vMerge w:val="continue"/>
            <w:tcBorders>
              <w:top w:val="nil"/>
              <w:left w:val="nil"/>
              <w:bottom w:val="single" w:color="auto" w:sz="4" w:space="0"/>
              <w:right w:val="single" w:color="000000" w:sz="8" w:space="0"/>
            </w:tcBorders>
            <w:vAlign w:val="center"/>
          </w:tcPr>
          <w:p w14:paraId="242B7B9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68" w:type="dxa"/>
            <w:vMerge w:val="continue"/>
            <w:tcBorders>
              <w:top w:val="nil"/>
              <w:left w:val="nil"/>
              <w:bottom w:val="single" w:color="auto" w:sz="4" w:space="0"/>
              <w:right w:val="single" w:color="000000" w:sz="8" w:space="0"/>
            </w:tcBorders>
            <w:vAlign w:val="center"/>
          </w:tcPr>
          <w:p w14:paraId="5757355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833" w:type="dxa"/>
            <w:vMerge w:val="continue"/>
            <w:tcBorders>
              <w:top w:val="nil"/>
              <w:left w:val="nil"/>
              <w:bottom w:val="single" w:color="auto" w:sz="4" w:space="0"/>
              <w:right w:val="single" w:color="000000" w:sz="8" w:space="0"/>
            </w:tcBorders>
            <w:vAlign w:val="center"/>
          </w:tcPr>
          <w:p w14:paraId="534A42A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01" w:type="dxa"/>
            <w:vMerge w:val="continue"/>
            <w:tcBorders>
              <w:top w:val="nil"/>
              <w:left w:val="nil"/>
              <w:bottom w:val="nil"/>
              <w:right w:val="single" w:color="000000" w:sz="8" w:space="0"/>
            </w:tcBorders>
            <w:vAlign w:val="center"/>
          </w:tcPr>
          <w:p w14:paraId="0686920A">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1FB10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6497674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rPr>
              <w:t>八</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555236C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炉外脚手架搭设</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6C806E9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炉外脚手架搭设</w:t>
            </w:r>
          </w:p>
        </w:tc>
        <w:tc>
          <w:tcPr>
            <w:tcW w:w="2468" w:type="dxa"/>
            <w:tcBorders>
              <w:top w:val="single" w:color="auto" w:sz="4" w:space="0"/>
              <w:left w:val="single" w:color="auto" w:sz="4" w:space="0"/>
              <w:bottom w:val="single" w:color="auto" w:sz="4" w:space="0"/>
              <w:right w:val="single" w:color="auto" w:sz="4" w:space="0"/>
            </w:tcBorders>
            <w:shd w:val="clear" w:color="auto" w:fill="auto"/>
            <w:vAlign w:val="center"/>
          </w:tcPr>
          <w:p w14:paraId="1600FB3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炉外脚手架搭设</w:t>
            </w:r>
          </w:p>
        </w:tc>
        <w:tc>
          <w:tcPr>
            <w:tcW w:w="3833" w:type="dxa"/>
            <w:tcBorders>
              <w:top w:val="single" w:color="auto" w:sz="4" w:space="0"/>
              <w:left w:val="single" w:color="auto" w:sz="4" w:space="0"/>
              <w:bottom w:val="single" w:color="auto" w:sz="4" w:space="0"/>
              <w:right w:val="single" w:color="auto" w:sz="4" w:space="0"/>
            </w:tcBorders>
            <w:shd w:val="clear" w:color="auto" w:fill="auto"/>
            <w:vAlign w:val="center"/>
          </w:tcPr>
          <w:p w14:paraId="1BA4DED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脚手架扣件需采用牢固可靠的金属扣件，严禁用铁丝、塑料带捆绑代替。</w:t>
            </w:r>
          </w:p>
          <w:p w14:paraId="60BFDD26">
            <w:pPr>
              <w:widowControl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2. 符合《电业安全工作规程》（热力和机械部分）的脚手架安装和使用要求。</w:t>
            </w:r>
          </w:p>
        </w:tc>
        <w:tc>
          <w:tcPr>
            <w:tcW w:w="701" w:type="dxa"/>
            <w:tcBorders>
              <w:top w:val="nil"/>
              <w:left w:val="single" w:color="auto" w:sz="4" w:space="0"/>
              <w:bottom w:val="nil"/>
              <w:right w:val="single" w:color="000000" w:sz="8" w:space="0"/>
            </w:tcBorders>
            <w:vAlign w:val="center"/>
          </w:tcPr>
          <w:p w14:paraId="5EFC11C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0A595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31847B6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bidi="ar-SA"/>
              </w:rPr>
              <w:t>九</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6FA452F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大修安全文明施工措施费</w:t>
            </w:r>
          </w:p>
        </w:tc>
        <w:tc>
          <w:tcPr>
            <w:tcW w:w="715" w:type="dxa"/>
            <w:tcBorders>
              <w:top w:val="single" w:color="auto" w:sz="4" w:space="0"/>
              <w:left w:val="single" w:color="auto" w:sz="4" w:space="0"/>
              <w:bottom w:val="single" w:color="auto" w:sz="4" w:space="0"/>
              <w:right w:val="single" w:color="auto" w:sz="4" w:space="0"/>
            </w:tcBorders>
            <w:shd w:val="clear" w:color="auto" w:fill="auto"/>
            <w:vAlign w:val="center"/>
          </w:tcPr>
          <w:p w14:paraId="0D3EB37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大修安全文明施工措施费</w:t>
            </w:r>
          </w:p>
        </w:tc>
        <w:tc>
          <w:tcPr>
            <w:tcW w:w="2468" w:type="dxa"/>
            <w:tcBorders>
              <w:top w:val="single" w:color="auto" w:sz="4" w:space="0"/>
              <w:left w:val="single" w:color="auto" w:sz="4" w:space="0"/>
              <w:bottom w:val="single" w:color="auto" w:sz="4" w:space="0"/>
              <w:right w:val="single" w:color="auto" w:sz="4" w:space="0"/>
            </w:tcBorders>
            <w:shd w:val="clear" w:color="auto" w:fill="auto"/>
            <w:vAlign w:val="center"/>
          </w:tcPr>
          <w:p w14:paraId="073A9DC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大修安全文明施工措施费</w:t>
            </w:r>
          </w:p>
        </w:tc>
        <w:tc>
          <w:tcPr>
            <w:tcW w:w="3833" w:type="dxa"/>
            <w:tcBorders>
              <w:top w:val="single" w:color="auto" w:sz="4" w:space="0"/>
              <w:left w:val="single" w:color="auto" w:sz="4" w:space="0"/>
              <w:bottom w:val="single" w:color="auto" w:sz="4" w:space="0"/>
              <w:right w:val="single" w:color="auto" w:sz="4" w:space="0"/>
            </w:tcBorders>
            <w:shd w:val="clear" w:color="auto" w:fill="auto"/>
            <w:vAlign w:val="center"/>
          </w:tcPr>
          <w:p w14:paraId="78679FA9">
            <w:pPr>
              <w:widowControl w:val="0"/>
              <w:numPr>
                <w:ilvl w:val="0"/>
                <w:numId w:val="1"/>
              </w:numPr>
              <w:adjustRightInd/>
              <w:snapToGrid/>
              <w:spacing w:line="240" w:lineRule="auto"/>
              <w:jc w:val="both"/>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与邻炉之间需设置警戒隔离防止走错间隔。</w:t>
            </w:r>
          </w:p>
          <w:p w14:paraId="3D87F689">
            <w:pPr>
              <w:widowControl w:val="0"/>
              <w:numPr>
                <w:ilvl w:val="0"/>
                <w:numId w:val="1"/>
              </w:numPr>
              <w:adjustRightInd/>
              <w:snapToGrid/>
              <w:spacing w:line="240" w:lineRule="auto"/>
              <w:jc w:val="both"/>
              <w:rPr>
                <w:rFonts w:hint="eastAsia" w:ascii="宋体" w:hAnsi="宋体" w:eastAsia="宋体" w:cs="宋体"/>
                <w:i w:val="0"/>
                <w:iCs w:val="0"/>
                <w:color w:val="auto"/>
                <w:kern w:val="0"/>
                <w:sz w:val="21"/>
                <w:szCs w:val="21"/>
                <w:highlight w:val="none"/>
                <w:u w:val="none"/>
                <w:lang w:val="en-US" w:eastAsia="zh-CN" w:bidi="ar-SA"/>
              </w:rPr>
            </w:pPr>
            <w:r>
              <w:rPr>
                <w:rFonts w:hint="eastAsia" w:ascii="宋体" w:hAnsi="宋体" w:eastAsia="宋体" w:cs="宋体"/>
                <w:i w:val="0"/>
                <w:color w:val="auto"/>
                <w:kern w:val="0"/>
                <w:sz w:val="21"/>
                <w:szCs w:val="21"/>
                <w:highlight w:val="none"/>
                <w:u w:val="none"/>
                <w:lang w:val="en-US" w:eastAsia="zh-CN" w:bidi="ar"/>
              </w:rPr>
              <w:t>尾气处理车间布袋除尘器正下方及四周2米范围内均需铺设防止污染地面的防火布，尾气处理车间布袋除尘器两侧需拉设防止灰尘污染检修区域以外的防尘措施，所有防尘措施均需使用防火布，不得使用可燃的彩条布。</w:t>
            </w:r>
          </w:p>
        </w:tc>
        <w:tc>
          <w:tcPr>
            <w:tcW w:w="701" w:type="dxa"/>
            <w:tcBorders>
              <w:top w:val="nil"/>
              <w:left w:val="single" w:color="auto" w:sz="4" w:space="0"/>
              <w:bottom w:val="single" w:color="000000" w:sz="8" w:space="0"/>
              <w:right w:val="single" w:color="000000" w:sz="8" w:space="0"/>
            </w:tcBorders>
            <w:shd w:val="clear" w:color="auto" w:fill="auto"/>
            <w:vAlign w:val="center"/>
          </w:tcPr>
          <w:p w14:paraId="2841092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lang w:val="en-US" w:eastAsia="zh-CN" w:bidi="ar-SA"/>
              </w:rPr>
            </w:pPr>
          </w:p>
        </w:tc>
      </w:tr>
    </w:tbl>
    <w:p w14:paraId="47D42A45">
      <w:pPr>
        <w:bidi w:val="0"/>
        <w:rPr>
          <w:rFonts w:hint="eastAsia" w:ascii="宋体" w:hAnsi="宋体" w:eastAsia="宋体" w:cs="宋体"/>
          <w:b/>
          <w:bCs/>
          <w:color w:val="auto"/>
          <w:sz w:val="21"/>
          <w:szCs w:val="21"/>
          <w:highlight w:val="none"/>
          <w:lang w:val="zh-CN"/>
        </w:rPr>
      </w:pPr>
      <w:bookmarkStart w:id="31" w:name="_Toc29960"/>
      <w:bookmarkStart w:id="32" w:name="_Toc32104"/>
      <w:r>
        <w:rPr>
          <w:rFonts w:hint="eastAsia" w:ascii="宋体" w:hAnsi="宋体" w:eastAsia="宋体" w:cs="宋体"/>
          <w:b/>
          <w:bCs/>
          <w:color w:val="auto"/>
          <w:sz w:val="21"/>
          <w:szCs w:val="21"/>
          <w:highlight w:val="none"/>
          <w:lang w:val="zh-CN"/>
        </w:rPr>
        <w:t>五、施工项目及服务内容：</w:t>
      </w:r>
      <w:bookmarkEnd w:id="31"/>
      <w:bookmarkEnd w:id="32"/>
    </w:p>
    <w:p w14:paraId="0CB7A2D9">
      <w:pPr>
        <w:keepNext w:val="0"/>
        <w:keepLines w:val="0"/>
        <w:pageBreakBefore w:val="0"/>
        <w:widowControl/>
        <w:kinsoku/>
        <w:wordWrap/>
        <w:overflowPunct/>
        <w:topLinePunct w:val="0"/>
        <w:autoSpaceDE/>
        <w:autoSpaceDN/>
        <w:bidi w:val="0"/>
        <w:adjustRightInd w:val="0"/>
        <w:snapToGrid w:val="0"/>
        <w:ind w:firstLine="422" w:firstLineChars="200"/>
        <w:textAlignment w:val="auto"/>
        <w:rPr>
          <w:rFonts w:hint="eastAsia" w:ascii="宋体" w:hAnsi="宋体" w:eastAsia="宋体" w:cs="宋体"/>
          <w:b/>
          <w:bCs/>
          <w:color w:val="auto"/>
          <w:kern w:val="44"/>
          <w:sz w:val="21"/>
          <w:szCs w:val="21"/>
          <w:highlight w:val="none"/>
          <w:lang w:val="zh-CN"/>
        </w:rPr>
      </w:pPr>
      <w:bookmarkStart w:id="33" w:name="_Toc24145"/>
      <w:bookmarkStart w:id="34" w:name="_Toc30357"/>
      <w:bookmarkStart w:id="35" w:name="_Toc20491481"/>
      <w:r>
        <w:rPr>
          <w:rFonts w:hint="eastAsia" w:ascii="宋体" w:hAnsi="宋体" w:eastAsia="宋体" w:cs="宋体"/>
          <w:b/>
          <w:bCs/>
          <w:color w:val="auto"/>
          <w:sz w:val="21"/>
          <w:szCs w:val="21"/>
          <w:highlight w:val="none"/>
          <w:lang w:val="zh-CN"/>
        </w:rPr>
        <w:t>（1）锅炉与尾气系统常规项目固定</w:t>
      </w:r>
      <w:r>
        <w:rPr>
          <w:rFonts w:hint="eastAsia" w:ascii="宋体" w:hAnsi="宋体" w:eastAsia="宋体" w:cs="宋体"/>
          <w:b/>
          <w:bCs/>
          <w:color w:val="auto"/>
          <w:sz w:val="21"/>
          <w:szCs w:val="21"/>
          <w:highlight w:val="none"/>
          <w:lang w:val="en-US" w:eastAsia="zh-CN"/>
        </w:rPr>
        <w:t>总价综合单价清单</w:t>
      </w:r>
      <w:r>
        <w:rPr>
          <w:rFonts w:hint="eastAsia" w:ascii="宋体" w:hAnsi="宋体" w:eastAsia="宋体" w:cs="宋体"/>
          <w:b/>
          <w:bCs/>
          <w:color w:val="auto"/>
          <w:sz w:val="21"/>
          <w:szCs w:val="21"/>
          <w:highlight w:val="none"/>
          <w:lang w:val="zh-CN"/>
        </w:rPr>
        <w:t>（按</w:t>
      </w:r>
      <w:r>
        <w:rPr>
          <w:rFonts w:hint="eastAsia" w:ascii="宋体" w:hAnsi="宋体" w:eastAsia="宋体" w:cs="宋体"/>
          <w:b/>
          <w:bCs/>
          <w:color w:val="auto"/>
          <w:sz w:val="21"/>
          <w:szCs w:val="21"/>
          <w:highlight w:val="none"/>
          <w:lang w:val="en-US" w:eastAsia="zh-CN"/>
        </w:rPr>
        <w:t>总价包干</w:t>
      </w:r>
      <w:r>
        <w:rPr>
          <w:rFonts w:hint="eastAsia" w:ascii="宋体" w:hAnsi="宋体" w:eastAsia="宋体" w:cs="宋体"/>
          <w:b/>
          <w:bCs/>
          <w:color w:val="auto"/>
          <w:sz w:val="21"/>
          <w:szCs w:val="21"/>
          <w:highlight w:val="none"/>
          <w:lang w:val="zh-CN"/>
        </w:rPr>
        <w:t>结算）：</w:t>
      </w:r>
      <w:bookmarkEnd w:id="33"/>
      <w:bookmarkEnd w:id="34"/>
    </w:p>
    <w:tbl>
      <w:tblPr>
        <w:tblStyle w:val="31"/>
        <w:tblW w:w="83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6"/>
        <w:gridCol w:w="1294"/>
        <w:gridCol w:w="1254"/>
        <w:gridCol w:w="2527"/>
        <w:gridCol w:w="1102"/>
        <w:gridCol w:w="1609"/>
      </w:tblGrid>
      <w:tr w14:paraId="10C6E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0" w:hRule="atLeast"/>
          <w:jc w:val="center"/>
        </w:trPr>
        <w:tc>
          <w:tcPr>
            <w:tcW w:w="5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EB1F85">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序号</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176154">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系统名称</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1C90B5C">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部件名称</w:t>
            </w:r>
          </w:p>
        </w:tc>
        <w:tc>
          <w:tcPr>
            <w:tcW w:w="252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B41EC51">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常规项目</w:t>
            </w:r>
          </w:p>
        </w:tc>
        <w:tc>
          <w:tcPr>
            <w:tcW w:w="271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DF6D1D">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常规项目单项价格（元）</w:t>
            </w:r>
          </w:p>
        </w:tc>
      </w:tr>
      <w:tr w14:paraId="072A8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0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2E0A89">
            <w:pPr>
              <w:spacing w:line="240" w:lineRule="auto"/>
              <w:jc w:val="center"/>
              <w:rPr>
                <w:rFonts w:hint="eastAsia" w:ascii="宋体" w:hAnsi="宋体" w:eastAsia="宋体" w:cs="宋体"/>
                <w:b/>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74AA99">
            <w:pPr>
              <w:spacing w:line="240" w:lineRule="auto"/>
              <w:jc w:val="center"/>
              <w:rPr>
                <w:rFonts w:hint="eastAsia" w:ascii="宋体" w:hAnsi="宋体" w:eastAsia="宋体" w:cs="宋体"/>
                <w:b/>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58202F9">
            <w:pPr>
              <w:spacing w:line="240" w:lineRule="auto"/>
              <w:jc w:val="center"/>
              <w:rPr>
                <w:rFonts w:hint="eastAsia" w:ascii="宋体" w:hAnsi="宋体" w:eastAsia="宋体" w:cs="宋体"/>
                <w:b/>
                <w:i w:val="0"/>
                <w:color w:val="auto"/>
                <w:sz w:val="21"/>
                <w:szCs w:val="21"/>
                <w:highlight w:val="none"/>
                <w:u w:val="none"/>
              </w:rPr>
            </w:pPr>
          </w:p>
        </w:tc>
        <w:tc>
          <w:tcPr>
            <w:tcW w:w="252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C7A857E">
            <w:pPr>
              <w:spacing w:line="240" w:lineRule="auto"/>
              <w:jc w:val="center"/>
              <w:rPr>
                <w:rFonts w:hint="eastAsia" w:ascii="宋体" w:hAnsi="宋体" w:eastAsia="宋体" w:cs="宋体"/>
                <w:b/>
                <w:i w:val="0"/>
                <w:color w:val="auto"/>
                <w:sz w:val="21"/>
                <w:szCs w:val="21"/>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BD2E31">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单位</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64FD71">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综合单价</w:t>
            </w:r>
            <w:r>
              <w:rPr>
                <w:rFonts w:hint="eastAsia" w:ascii="宋体" w:hAnsi="宋体" w:cs="宋体"/>
                <w:b/>
                <w:i w:val="0"/>
                <w:color w:val="auto"/>
                <w:kern w:val="0"/>
                <w:sz w:val="21"/>
                <w:szCs w:val="21"/>
                <w:highlight w:val="none"/>
                <w:u w:val="none"/>
                <w:lang w:val="en-US" w:eastAsia="zh-CN" w:bidi="ar"/>
              </w:rPr>
              <w:t>包干</w:t>
            </w:r>
          </w:p>
        </w:tc>
      </w:tr>
      <w:tr w14:paraId="32AC8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jc w:val="center"/>
        </w:trPr>
        <w:tc>
          <w:tcPr>
            <w:tcW w:w="516" w:type="dxa"/>
            <w:vMerge w:val="restart"/>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31B4B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一、</w:t>
            </w:r>
          </w:p>
        </w:tc>
        <w:tc>
          <w:tcPr>
            <w:tcW w:w="1294" w:type="dxa"/>
            <w:vMerge w:val="restart"/>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9762E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余热锅炉本体</w:t>
            </w:r>
          </w:p>
        </w:tc>
        <w:tc>
          <w:tcPr>
            <w:tcW w:w="1254" w:type="dxa"/>
            <w:vMerge w:val="restart"/>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50BDB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水冷系统</w:t>
            </w:r>
          </w:p>
        </w:tc>
        <w:tc>
          <w:tcPr>
            <w:tcW w:w="2527" w:type="dxa"/>
            <w:tcBorders>
              <w:top w:val="nil"/>
              <w:left w:val="nil"/>
              <w:bottom w:val="nil"/>
              <w:right w:val="nil"/>
            </w:tcBorders>
            <w:shd w:val="clear" w:color="auto" w:fill="auto"/>
            <w:noWrap/>
            <w:tcMar>
              <w:top w:w="10" w:type="dxa"/>
              <w:left w:w="10" w:type="dxa"/>
              <w:right w:w="10" w:type="dxa"/>
            </w:tcMar>
            <w:vAlign w:val="center"/>
          </w:tcPr>
          <w:p w14:paraId="65C83F4C">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1.一通道炉膛内壁焦块和积灰清理，消缺及更换受热面管；（包括膨胀节联箱以上的部分结焦清理）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1BFB9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75B90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16,000.00</w:t>
            </w:r>
          </w:p>
        </w:tc>
      </w:tr>
      <w:tr w14:paraId="10096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D4D1634">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DA1FDE">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457C8E8">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6C73C8">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2.防磨瓦检查；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E80C8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7BED7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2,980.00</w:t>
            </w:r>
          </w:p>
        </w:tc>
      </w:tr>
      <w:tr w14:paraId="73CD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E420AB7">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9EA5CD">
            <w:pPr>
              <w:spacing w:line="240" w:lineRule="auto"/>
              <w:jc w:val="center"/>
              <w:rPr>
                <w:rFonts w:hint="eastAsia" w:ascii="宋体" w:hAnsi="宋体" w:eastAsia="宋体" w:cs="宋体"/>
                <w:i w:val="0"/>
                <w:color w:val="auto"/>
                <w:sz w:val="21"/>
                <w:szCs w:val="21"/>
                <w:highlight w:val="none"/>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C4AD3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省煤器系统</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B83B218">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3.a.检查管子磨损、变形、腐蚀、必要时割管检查；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FAAF2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F92F1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4,200.00</w:t>
            </w:r>
          </w:p>
        </w:tc>
      </w:tr>
      <w:tr w14:paraId="34B22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E854D0">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7F7DBA">
            <w:pPr>
              <w:spacing w:line="240" w:lineRule="auto"/>
              <w:jc w:val="center"/>
              <w:rPr>
                <w:rFonts w:hint="eastAsia" w:ascii="宋体" w:hAnsi="宋体" w:eastAsia="宋体" w:cs="宋体"/>
                <w:i w:val="0"/>
                <w:color w:val="auto"/>
                <w:sz w:val="21"/>
                <w:szCs w:val="21"/>
                <w:highlight w:val="none"/>
                <w:u w:val="none"/>
              </w:rPr>
            </w:pPr>
          </w:p>
        </w:tc>
        <w:tc>
          <w:tcPr>
            <w:tcW w:w="1254" w:type="dxa"/>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554CA02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空气预热器</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3FBCA4">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4.漏风试验，积灰清理，护板防腐，并处理各漏点；</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F8F56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680F5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3,500.00</w:t>
            </w:r>
          </w:p>
        </w:tc>
      </w:tr>
      <w:tr w14:paraId="0ADFE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900282">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52D341">
            <w:pPr>
              <w:spacing w:line="240" w:lineRule="auto"/>
              <w:jc w:val="center"/>
              <w:rPr>
                <w:rFonts w:hint="eastAsia" w:ascii="宋体" w:hAnsi="宋体" w:eastAsia="宋体" w:cs="宋体"/>
                <w:i w:val="0"/>
                <w:color w:val="auto"/>
                <w:sz w:val="21"/>
                <w:szCs w:val="21"/>
                <w:highlight w:val="none"/>
                <w:u w:val="none"/>
              </w:rPr>
            </w:pPr>
          </w:p>
        </w:tc>
        <w:tc>
          <w:tcPr>
            <w:tcW w:w="1254" w:type="dxa"/>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31705A7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钢架炉墙保温</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42FBE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5.看火门、人孔门、防爆门、伸缩节、炉墙消缺、积灰清理，各类跑冒滴漏处理；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76171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461240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2,850.00</w:t>
            </w:r>
          </w:p>
        </w:tc>
      </w:tr>
      <w:tr w14:paraId="37C87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jc w:val="center"/>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ABDD741">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011857">
            <w:pPr>
              <w:spacing w:line="240" w:lineRule="auto"/>
              <w:jc w:val="center"/>
              <w:rPr>
                <w:rFonts w:hint="eastAsia" w:ascii="宋体" w:hAnsi="宋体" w:eastAsia="宋体" w:cs="宋体"/>
                <w:i w:val="0"/>
                <w:color w:val="auto"/>
                <w:sz w:val="21"/>
                <w:szCs w:val="21"/>
                <w:highlight w:val="none"/>
                <w:u w:val="none"/>
              </w:rPr>
            </w:pP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DF658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其他</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A657F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6.锅炉整体水压试验，检查承压部件的严密性，含汽水系统消缺；</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4B21E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52373D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4,600.00</w:t>
            </w:r>
          </w:p>
        </w:tc>
      </w:tr>
      <w:tr w14:paraId="1E1A3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jc w:val="center"/>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DAD7E87">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A1BAAA">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A874A2">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74D7D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7.处理漏风试验漏点；（由于项目施工造成的由施工方负责恢复，不另外进行结算）</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B22DC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43F17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1,980.00</w:t>
            </w:r>
          </w:p>
        </w:tc>
      </w:tr>
      <w:tr w14:paraId="01848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57D60E5">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76B92B">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D30D37">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4666C0C">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8.锅炉本体中其他附属管道（如压缩空气管）漏点处理；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6F247D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915C2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1,950.00</w:t>
            </w:r>
          </w:p>
        </w:tc>
      </w:tr>
      <w:tr w14:paraId="3214F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jc w:val="center"/>
        </w:trPr>
        <w:tc>
          <w:tcPr>
            <w:tcW w:w="5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0CF43C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二、</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3E6A0A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炉排本体</w:t>
            </w:r>
          </w:p>
        </w:tc>
        <w:tc>
          <w:tcPr>
            <w:tcW w:w="1254"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31A99A7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给料系统</w:t>
            </w:r>
          </w:p>
        </w:tc>
        <w:tc>
          <w:tcPr>
            <w:tcW w:w="2527" w:type="dxa"/>
            <w:tcBorders>
              <w:top w:val="single" w:color="000000" w:sz="4" w:space="0"/>
              <w:left w:val="single" w:color="000000" w:sz="4" w:space="0"/>
              <w:bottom w:val="single" w:color="auto" w:sz="4" w:space="0"/>
              <w:right w:val="single" w:color="000000" w:sz="4" w:space="0"/>
            </w:tcBorders>
            <w:shd w:val="clear" w:color="auto" w:fill="auto"/>
            <w:noWrap/>
            <w:tcMar>
              <w:top w:w="10" w:type="dxa"/>
              <w:left w:w="10" w:type="dxa"/>
              <w:right w:w="10" w:type="dxa"/>
            </w:tcMar>
            <w:vAlign w:val="center"/>
          </w:tcPr>
          <w:p w14:paraId="629C42D5">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9.给料小车及小车导轨、加油模块、液压缸周边及渗滤液收集箱杂物清理、卫生清洁；</w:t>
            </w:r>
          </w:p>
        </w:tc>
        <w:tc>
          <w:tcPr>
            <w:tcW w:w="1102" w:type="dxa"/>
            <w:tcBorders>
              <w:top w:val="nil"/>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76E2999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auto" w:sz="4" w:space="0"/>
              <w:right w:val="single" w:color="000000" w:sz="4" w:space="0"/>
            </w:tcBorders>
            <w:shd w:val="clear" w:color="auto" w:fill="auto"/>
            <w:noWrap/>
            <w:tcMar>
              <w:top w:w="10" w:type="dxa"/>
              <w:left w:w="10" w:type="dxa"/>
              <w:right w:w="10" w:type="dxa"/>
            </w:tcMar>
            <w:vAlign w:val="center"/>
          </w:tcPr>
          <w:p w14:paraId="3DB4109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5,100.00</w:t>
            </w:r>
          </w:p>
        </w:tc>
      </w:tr>
      <w:tr w14:paraId="777AD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778996B">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FF3FFA">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auto" w:sz="4" w:space="0"/>
            </w:tcBorders>
            <w:shd w:val="clear" w:color="auto" w:fill="auto"/>
            <w:noWrap/>
            <w:tcMar>
              <w:top w:w="10" w:type="dxa"/>
              <w:left w:w="10" w:type="dxa"/>
              <w:right w:w="10" w:type="dxa"/>
            </w:tcMar>
            <w:vAlign w:val="center"/>
          </w:tcPr>
          <w:p w14:paraId="717A8515">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14:paraId="55AC3CEA">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10.驱动轮、导向轮、行走钢轨检查、加油、维护及调整处理；支点加油系统维护；</w:t>
            </w:r>
          </w:p>
        </w:tc>
        <w:tc>
          <w:tcPr>
            <w:tcW w:w="1102"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1336E8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14:paraId="7FB8A13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7,680.00</w:t>
            </w:r>
          </w:p>
        </w:tc>
      </w:tr>
      <w:tr w14:paraId="05AFE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C9B059">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DDBF51">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auto" w:sz="4" w:space="0"/>
            </w:tcBorders>
            <w:shd w:val="clear" w:color="auto" w:fill="auto"/>
            <w:noWrap/>
            <w:tcMar>
              <w:top w:w="10" w:type="dxa"/>
              <w:left w:w="10" w:type="dxa"/>
              <w:right w:w="10" w:type="dxa"/>
            </w:tcMar>
            <w:vAlign w:val="center"/>
          </w:tcPr>
          <w:p w14:paraId="55A9A76A">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FEAC1A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11.检查中间框架耐磨板及铸件检查、消缺、更换处理；</w:t>
            </w:r>
          </w:p>
        </w:tc>
        <w:tc>
          <w:tcPr>
            <w:tcW w:w="1102"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1BEEFF7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14:paraId="7F672AB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3,200.00</w:t>
            </w:r>
          </w:p>
        </w:tc>
      </w:tr>
      <w:tr w14:paraId="0457C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89553D6">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8826E0">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C1EF0B2">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1CE9E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12.检查各类铸件是否出现断裂、下沉、上翘、松动、铸件间间隙大缝隙等现象；</w:t>
            </w:r>
          </w:p>
        </w:tc>
        <w:tc>
          <w:tcPr>
            <w:tcW w:w="1102"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FFCC1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5FF955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1,920.00</w:t>
            </w:r>
          </w:p>
        </w:tc>
      </w:tr>
      <w:tr w14:paraId="5B7E6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CE0B45">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73DFC7">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6CF5FD0">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84B09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13.检查滑动平台铸件平面度、相邻铸件平面度等；</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5BF67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F3C9C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1,760.00</w:t>
            </w:r>
          </w:p>
        </w:tc>
      </w:tr>
      <w:tr w14:paraId="42159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4BB617">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498CB99">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063F8FB">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103C0B">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14.溜槽处防磨钢板磨损检查、缺陷处理；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497D1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7494A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4,100.00</w:t>
            </w:r>
          </w:p>
        </w:tc>
      </w:tr>
      <w:tr w14:paraId="5EB52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5686AF">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2417E1">
            <w:pPr>
              <w:spacing w:line="240" w:lineRule="auto"/>
              <w:jc w:val="center"/>
              <w:rPr>
                <w:rFonts w:hint="eastAsia" w:ascii="宋体" w:hAnsi="宋体" w:eastAsia="宋体" w:cs="宋体"/>
                <w:i w:val="0"/>
                <w:color w:val="auto"/>
                <w:sz w:val="21"/>
                <w:szCs w:val="21"/>
                <w:highlight w:val="none"/>
                <w:u w:val="none"/>
              </w:rPr>
            </w:pPr>
          </w:p>
        </w:tc>
        <w:tc>
          <w:tcPr>
            <w:tcW w:w="1254"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6566B59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炉排系统</w:t>
            </w: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69996AED">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15.炉排残渣清理，炉排间隙检查、测量、调整（出现生料情况，清理以外判另计）；</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BA1DF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4F22C9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5,300.00</w:t>
            </w:r>
          </w:p>
        </w:tc>
      </w:tr>
      <w:tr w14:paraId="27509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46E5FB6">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32F09A">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8308889">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5E5D84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16.炉排垫片处理或更换、连接螺栓检查，缺陷处理；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E1FA1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EFEB02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4,000.00</w:t>
            </w:r>
          </w:p>
        </w:tc>
      </w:tr>
      <w:tr w14:paraId="132F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8422B75">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D32F4F">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C9CEA66">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B7376E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17.驱动梁维护、密封盒维护；轴承、压紧轮、导向轮等磨损检查、维护。油质检查。托辊维护；</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8109E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0F6525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7,950.00</w:t>
            </w:r>
          </w:p>
        </w:tc>
      </w:tr>
      <w:tr w14:paraId="52678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B2B4BD">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C533C7A">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698CFFAF">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4FD31E23">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18.各受力部位连接件检查消缺；定位块检查；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7A6A8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4C8DD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1,600.00</w:t>
            </w:r>
          </w:p>
        </w:tc>
      </w:tr>
      <w:tr w14:paraId="6AF33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CA7DB06">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FCA8846">
            <w:pPr>
              <w:spacing w:line="240" w:lineRule="auto"/>
              <w:jc w:val="center"/>
              <w:rPr>
                <w:rFonts w:hint="eastAsia" w:ascii="宋体" w:hAnsi="宋体" w:eastAsia="宋体" w:cs="宋体"/>
                <w:i w:val="0"/>
                <w:color w:val="auto"/>
                <w:sz w:val="21"/>
                <w:szCs w:val="21"/>
                <w:highlight w:val="none"/>
                <w:u w:val="none"/>
              </w:rPr>
            </w:pPr>
          </w:p>
        </w:tc>
        <w:tc>
          <w:tcPr>
            <w:tcW w:w="1254"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D542C0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除渣机</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651185">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19.人孔门开启、封闭以及密封条更换；捞渣机清理；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68C28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D469C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6,580.00</w:t>
            </w:r>
          </w:p>
        </w:tc>
      </w:tr>
      <w:tr w14:paraId="0177A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7E9B4D8">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DABA9EC">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20A92337">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FFDCB8">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20.各受力部位连接件及定位块检查消缺；</w:t>
            </w:r>
          </w:p>
        </w:tc>
        <w:tc>
          <w:tcPr>
            <w:tcW w:w="1102" w:type="dxa"/>
            <w:tcBorders>
              <w:top w:val="nil"/>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6B67EEF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auto" w:sz="4" w:space="0"/>
              <w:right w:val="single" w:color="000000" w:sz="4" w:space="0"/>
            </w:tcBorders>
            <w:shd w:val="clear" w:color="auto" w:fill="auto"/>
            <w:noWrap/>
            <w:tcMar>
              <w:top w:w="10" w:type="dxa"/>
              <w:left w:w="10" w:type="dxa"/>
              <w:right w:w="10" w:type="dxa"/>
            </w:tcMar>
            <w:vAlign w:val="center"/>
          </w:tcPr>
          <w:p w14:paraId="6D375A7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1,593.00</w:t>
            </w:r>
          </w:p>
        </w:tc>
      </w:tr>
      <w:tr w14:paraId="583E0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ABB05DC">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7CE79E">
            <w:pPr>
              <w:spacing w:line="240" w:lineRule="auto"/>
              <w:jc w:val="center"/>
              <w:rPr>
                <w:rFonts w:hint="eastAsia" w:ascii="宋体" w:hAnsi="宋体" w:eastAsia="宋体" w:cs="宋体"/>
                <w:i w:val="0"/>
                <w:color w:val="auto"/>
                <w:sz w:val="21"/>
                <w:szCs w:val="21"/>
                <w:highlight w:val="none"/>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4215CA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刮板机</w:t>
            </w:r>
          </w:p>
        </w:tc>
        <w:tc>
          <w:tcPr>
            <w:tcW w:w="2527"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A12C93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21.输灰刮板机维护、链条调整、密封消缺；磨损检查；减速机及轴承解体检查；</w:t>
            </w:r>
          </w:p>
        </w:tc>
        <w:tc>
          <w:tcPr>
            <w:tcW w:w="1102"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7E5702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14:paraId="31D4EED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6,000.00</w:t>
            </w:r>
          </w:p>
        </w:tc>
      </w:tr>
      <w:tr w14:paraId="0AC38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jc w:val="center"/>
        </w:trPr>
        <w:tc>
          <w:tcPr>
            <w:tcW w:w="516" w:type="dxa"/>
            <w:vMerge w:val="restart"/>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554C749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四、</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420710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烟风系统</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43E02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反应塔</w:t>
            </w:r>
          </w:p>
        </w:tc>
        <w:tc>
          <w:tcPr>
            <w:tcW w:w="2527" w:type="dxa"/>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14:paraId="5B117FA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22.破碎机维护</w:t>
            </w:r>
          </w:p>
        </w:tc>
        <w:tc>
          <w:tcPr>
            <w:tcW w:w="1102"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CE91FA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14:paraId="094A7B6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108BA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1DDC833E">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F3C575">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4B1162D">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14:paraId="15B0AAA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23.星型卸灰阀维护、检修；</w:t>
            </w:r>
          </w:p>
        </w:tc>
        <w:tc>
          <w:tcPr>
            <w:tcW w:w="1102"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095C891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14:paraId="02FFF1B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438.00</w:t>
            </w:r>
          </w:p>
        </w:tc>
      </w:tr>
      <w:tr w14:paraId="7BC22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5E843EC3">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B970842">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A21EAD7">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E19520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24.反应塔下埋刮板输送机维护、链条调整、密封修补、磨损检查；</w:t>
            </w:r>
          </w:p>
        </w:tc>
        <w:tc>
          <w:tcPr>
            <w:tcW w:w="1102"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6B6CE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EB0DB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75407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74E2899C">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9BA9A78">
            <w:pPr>
              <w:spacing w:line="240" w:lineRule="auto"/>
              <w:jc w:val="center"/>
              <w:rPr>
                <w:rFonts w:hint="eastAsia" w:ascii="宋体" w:hAnsi="宋体" w:eastAsia="宋体" w:cs="宋体"/>
                <w:i w:val="0"/>
                <w:color w:val="auto"/>
                <w:sz w:val="21"/>
                <w:szCs w:val="21"/>
                <w:highlight w:val="none"/>
                <w:u w:val="none"/>
              </w:rPr>
            </w:pP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1E8EF1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布袋除尘器</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A3D365">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25.检查滤袋和骨架的磨损、腐蚀情况；</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1DD0E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B18FA6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2,350.00</w:t>
            </w:r>
          </w:p>
        </w:tc>
      </w:tr>
      <w:tr w14:paraId="46D7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11C7A85F">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7F4A70">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E6F025E">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DD289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26.检查箱体、清洁室花板、喷吹管、盖板烟道腐蚀情况；</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389B3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53FDB0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808.00</w:t>
            </w:r>
          </w:p>
        </w:tc>
      </w:tr>
      <w:tr w14:paraId="5934E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64762BF2">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3D2992">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487BC0">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55926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27.喷吹管补焊及螺栓紧固；</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60CC8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61772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4,050.00</w:t>
            </w:r>
          </w:p>
        </w:tc>
      </w:tr>
      <w:tr w14:paraId="0A401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63B7A903">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64E295">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F0FE9C">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9EDC45">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28.提升阀严密性检查；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78FEB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D574F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908.00</w:t>
            </w:r>
          </w:p>
        </w:tc>
      </w:tr>
      <w:tr w14:paraId="75AA6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1A02980B">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346897">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B93A364">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218C9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29.全部星型卸灰阀维护、检修；</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DE6B0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39161E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2,772.00</w:t>
            </w:r>
          </w:p>
        </w:tc>
      </w:tr>
      <w:tr w14:paraId="78E0B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6B91D08C">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74D22BD">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7F3AE4F">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756D0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30.除尘器下埋刮板输送机维护、链条调整、密封修补；磨损检查；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28E50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DA4DA2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2,772.00</w:t>
            </w:r>
          </w:p>
        </w:tc>
      </w:tr>
      <w:tr w14:paraId="6B3B2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40DFAD0D">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EB00366">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1C7897A">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03AF0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31.除尘器查漏（包括布袋查漏、箱体查漏）及处理；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D25F6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BA851E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1,400.00</w:t>
            </w:r>
          </w:p>
        </w:tc>
      </w:tr>
      <w:tr w14:paraId="7DC3D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0E9B7D9E">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861AE82">
            <w:pPr>
              <w:spacing w:line="240" w:lineRule="auto"/>
              <w:jc w:val="center"/>
              <w:rPr>
                <w:rFonts w:hint="eastAsia" w:ascii="宋体" w:hAnsi="宋体" w:eastAsia="宋体" w:cs="宋体"/>
                <w:i w:val="0"/>
                <w:color w:val="auto"/>
                <w:sz w:val="21"/>
                <w:szCs w:val="21"/>
                <w:highlight w:val="none"/>
                <w:u w:val="none"/>
              </w:rPr>
            </w:pP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366F12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各类风机</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D942E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32.风机内部清灰、检查叶轮磨损；</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7F8F9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1BFBC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1,593.00</w:t>
            </w:r>
          </w:p>
        </w:tc>
      </w:tr>
      <w:tr w14:paraId="725EF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52F07EBE">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0D5EDEF">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5C3ED64">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73FD0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33.修补磨损外壳、衬板、轴承保护套；</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5A27A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A8756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1,386.00</w:t>
            </w:r>
          </w:p>
        </w:tc>
      </w:tr>
      <w:tr w14:paraId="0AA79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5377B598">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2175BC">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6EC0C4">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5D7635D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34.清理及检修入口调节挡板；</w:t>
            </w:r>
          </w:p>
        </w:tc>
        <w:tc>
          <w:tcPr>
            <w:tcW w:w="1102" w:type="dxa"/>
            <w:tcBorders>
              <w:top w:val="nil"/>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596E3BD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auto" w:sz="4" w:space="0"/>
              <w:right w:val="single" w:color="000000" w:sz="4" w:space="0"/>
            </w:tcBorders>
            <w:shd w:val="clear" w:color="auto" w:fill="auto"/>
            <w:noWrap/>
            <w:tcMar>
              <w:top w:w="10" w:type="dxa"/>
              <w:left w:w="10" w:type="dxa"/>
              <w:right w:w="10" w:type="dxa"/>
            </w:tcMar>
            <w:vAlign w:val="center"/>
          </w:tcPr>
          <w:p w14:paraId="0D6F298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808.00</w:t>
            </w:r>
          </w:p>
        </w:tc>
      </w:tr>
      <w:tr w14:paraId="6266B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792631D4">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082D109">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auto" w:sz="4" w:space="0"/>
            </w:tcBorders>
            <w:shd w:val="clear" w:color="auto" w:fill="auto"/>
            <w:noWrap/>
            <w:tcMar>
              <w:top w:w="10" w:type="dxa"/>
              <w:left w:w="10" w:type="dxa"/>
              <w:right w:w="10" w:type="dxa"/>
            </w:tcMar>
            <w:vAlign w:val="center"/>
          </w:tcPr>
          <w:p w14:paraId="660DC655">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D58FD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35.轴承维护及润滑油系统，换油；</w:t>
            </w:r>
          </w:p>
        </w:tc>
        <w:tc>
          <w:tcPr>
            <w:tcW w:w="1102"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759400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14:paraId="4BD67C5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2,610.00</w:t>
            </w:r>
          </w:p>
        </w:tc>
      </w:tr>
      <w:tr w14:paraId="0046E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401EA667">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FCF454D">
            <w:pPr>
              <w:spacing w:line="240" w:lineRule="auto"/>
              <w:jc w:val="center"/>
              <w:rPr>
                <w:rFonts w:hint="eastAsia" w:ascii="宋体" w:hAnsi="宋体" w:eastAsia="宋体" w:cs="宋体"/>
                <w:i w:val="0"/>
                <w:color w:val="auto"/>
                <w:sz w:val="21"/>
                <w:szCs w:val="21"/>
                <w:highlight w:val="none"/>
                <w:u w:val="none"/>
              </w:rPr>
            </w:pPr>
          </w:p>
        </w:tc>
        <w:tc>
          <w:tcPr>
            <w:tcW w:w="1254" w:type="dxa"/>
            <w:vMerge w:val="restart"/>
            <w:tcBorders>
              <w:top w:val="single" w:color="000000" w:sz="4" w:space="0"/>
              <w:left w:val="single" w:color="000000" w:sz="4" w:space="0"/>
              <w:bottom w:val="single" w:color="000000" w:sz="4" w:space="0"/>
              <w:right w:val="single" w:color="auto" w:sz="4" w:space="0"/>
            </w:tcBorders>
            <w:shd w:val="clear" w:color="auto" w:fill="auto"/>
            <w:noWrap/>
            <w:tcMar>
              <w:top w:w="10" w:type="dxa"/>
              <w:left w:w="10" w:type="dxa"/>
              <w:right w:w="10" w:type="dxa"/>
            </w:tcMar>
            <w:vAlign w:val="center"/>
          </w:tcPr>
          <w:p w14:paraId="611EB65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烟风管路</w:t>
            </w:r>
          </w:p>
        </w:tc>
        <w:tc>
          <w:tcPr>
            <w:tcW w:w="252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18402CE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36.检查管路系统磨损、变形腐蚀、支吊架；</w:t>
            </w:r>
          </w:p>
        </w:tc>
        <w:tc>
          <w:tcPr>
            <w:tcW w:w="1102"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469EFB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14:paraId="2C672BB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1,780.00</w:t>
            </w:r>
          </w:p>
        </w:tc>
      </w:tr>
      <w:tr w14:paraId="6C9A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29DD8D97">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0E7C62">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A1B84A">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79E345">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37.管路内部清灰、破损油漆修补；</w:t>
            </w:r>
          </w:p>
        </w:tc>
        <w:tc>
          <w:tcPr>
            <w:tcW w:w="1102"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A445C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auto"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88E52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3,690.00</w:t>
            </w:r>
          </w:p>
        </w:tc>
      </w:tr>
      <w:tr w14:paraId="32898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jc w:val="center"/>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04A9B48F">
            <w:pPr>
              <w:spacing w:line="240" w:lineRule="auto"/>
              <w:jc w:val="center"/>
              <w:rPr>
                <w:rFonts w:hint="eastAsia" w:ascii="宋体" w:hAnsi="宋体" w:eastAsia="宋体" w:cs="宋体"/>
                <w:i w:val="0"/>
                <w:color w:val="auto"/>
                <w:sz w:val="21"/>
                <w:szCs w:val="21"/>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DEED94">
            <w:pPr>
              <w:spacing w:line="240" w:lineRule="auto"/>
              <w:jc w:val="center"/>
              <w:rPr>
                <w:rFonts w:hint="eastAsia" w:ascii="宋体" w:hAnsi="宋体" w:eastAsia="宋体" w:cs="宋体"/>
                <w:i w:val="0"/>
                <w:color w:val="auto"/>
                <w:sz w:val="21"/>
                <w:szCs w:val="21"/>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8E8FC2">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nil"/>
              <w:left w:val="nil"/>
              <w:bottom w:val="nil"/>
              <w:right w:val="nil"/>
            </w:tcBorders>
            <w:shd w:val="clear" w:color="auto" w:fill="auto"/>
            <w:noWrap/>
            <w:tcMar>
              <w:top w:w="10" w:type="dxa"/>
              <w:left w:w="10" w:type="dxa"/>
              <w:right w:w="10" w:type="dxa"/>
            </w:tcMar>
            <w:vAlign w:val="center"/>
          </w:tcPr>
          <w:p w14:paraId="4F7CF972">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38.膨胀节检查与修复；</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6B68E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D38E5A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2,180.00</w:t>
            </w:r>
          </w:p>
        </w:tc>
      </w:tr>
      <w:tr w14:paraId="5764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4755A4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五、</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A56AF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卫生清扫零星用工</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57731C">
            <w:pPr>
              <w:spacing w:line="240" w:lineRule="auto"/>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1652D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39.施工完成后现场卫生清理。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DFAFF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B2C58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33,100.00</w:t>
            </w:r>
          </w:p>
        </w:tc>
      </w:tr>
      <w:tr w14:paraId="5D19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jc w:val="center"/>
        </w:trPr>
        <w:tc>
          <w:tcPr>
            <w:tcW w:w="5591" w:type="dxa"/>
            <w:gridSpan w:val="4"/>
            <w:tcBorders>
              <w:top w:val="single" w:color="000000" w:sz="4" w:space="0"/>
              <w:left w:val="single" w:color="000000" w:sz="4" w:space="0"/>
              <w:bottom w:val="single" w:color="000000" w:sz="4" w:space="0"/>
              <w:right w:val="single" w:color="000000" w:sz="4" w:space="0"/>
            </w:tcBorders>
            <w:shd w:val="clear" w:color="auto" w:fill="D9E1F4"/>
            <w:noWrap/>
            <w:tcMar>
              <w:top w:w="10" w:type="dxa"/>
              <w:left w:w="10" w:type="dxa"/>
              <w:right w:w="10" w:type="dxa"/>
            </w:tcMar>
            <w:vAlign w:val="center"/>
          </w:tcPr>
          <w:p w14:paraId="63699E77">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常规项目合计</w:t>
            </w:r>
          </w:p>
        </w:tc>
        <w:tc>
          <w:tcPr>
            <w:tcW w:w="1102" w:type="dxa"/>
            <w:tcBorders>
              <w:top w:val="single" w:color="000000" w:sz="4" w:space="0"/>
              <w:left w:val="single" w:color="000000" w:sz="4" w:space="0"/>
              <w:bottom w:val="single" w:color="000000" w:sz="4" w:space="0"/>
              <w:right w:val="single" w:color="000000" w:sz="4" w:space="0"/>
            </w:tcBorders>
            <w:shd w:val="clear" w:color="auto" w:fill="D9E1F4"/>
            <w:noWrap/>
            <w:tcMar>
              <w:top w:w="10" w:type="dxa"/>
              <w:left w:w="10" w:type="dxa"/>
              <w:right w:w="10" w:type="dxa"/>
            </w:tcMar>
            <w:vAlign w:val="center"/>
          </w:tcPr>
          <w:p w14:paraId="77AB942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元/含税</w:t>
            </w:r>
          </w:p>
        </w:tc>
        <w:tc>
          <w:tcPr>
            <w:tcW w:w="1609" w:type="dxa"/>
            <w:tcBorders>
              <w:top w:val="single" w:color="000000" w:sz="4" w:space="0"/>
              <w:left w:val="single" w:color="000000" w:sz="4" w:space="0"/>
              <w:bottom w:val="single" w:color="000000" w:sz="4" w:space="0"/>
              <w:right w:val="single" w:color="000000" w:sz="4" w:space="0"/>
            </w:tcBorders>
            <w:shd w:val="clear" w:color="auto" w:fill="D9E1F4"/>
            <w:noWrap/>
            <w:tcMar>
              <w:top w:w="10" w:type="dxa"/>
              <w:left w:w="10" w:type="dxa"/>
              <w:right w:w="10" w:type="dxa"/>
            </w:tcMar>
            <w:vAlign w:val="center"/>
          </w:tcPr>
          <w:p w14:paraId="1904C1AD">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161,184.00</w:t>
            </w:r>
          </w:p>
        </w:tc>
      </w:tr>
    </w:tbl>
    <w:p w14:paraId="242C7833">
      <w:pPr>
        <w:keepNext w:val="0"/>
        <w:keepLines w:val="0"/>
        <w:snapToGrid/>
        <w:spacing w:line="240" w:lineRule="auto"/>
        <w:ind w:left="0" w:firstLine="0" w:firstLineChars="0"/>
        <w:jc w:val="left"/>
        <w:outlineLvl w:val="9"/>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1"/>
          <w:szCs w:val="21"/>
          <w:highlight w:val="none"/>
          <w:lang w:val="zh-CN"/>
        </w:rPr>
        <w:t>（2）锅炉与尾气系统特殊项目单项</w:t>
      </w:r>
      <w:r>
        <w:rPr>
          <w:rFonts w:hint="eastAsia" w:ascii="宋体" w:hAnsi="宋体" w:eastAsia="宋体" w:cs="宋体"/>
          <w:b/>
          <w:i w:val="0"/>
          <w:color w:val="auto"/>
          <w:kern w:val="0"/>
          <w:sz w:val="21"/>
          <w:szCs w:val="21"/>
          <w:highlight w:val="none"/>
          <w:u w:val="none"/>
          <w:lang w:val="en-US" w:eastAsia="zh-CN" w:bidi="ar"/>
        </w:rPr>
        <w:t>综合单价</w:t>
      </w:r>
      <w:r>
        <w:rPr>
          <w:rFonts w:hint="eastAsia" w:ascii="宋体" w:hAnsi="宋体" w:cs="宋体"/>
          <w:b/>
          <w:i w:val="0"/>
          <w:color w:val="auto"/>
          <w:kern w:val="0"/>
          <w:sz w:val="21"/>
          <w:szCs w:val="21"/>
          <w:highlight w:val="none"/>
          <w:u w:val="none"/>
          <w:lang w:val="en-US" w:eastAsia="zh-CN" w:bidi="ar"/>
        </w:rPr>
        <w:t>包干</w:t>
      </w:r>
      <w:r>
        <w:rPr>
          <w:rFonts w:hint="eastAsia" w:ascii="宋体" w:hAnsi="宋体" w:eastAsia="宋体" w:cs="宋体"/>
          <w:b/>
          <w:bCs/>
          <w:color w:val="auto"/>
          <w:sz w:val="21"/>
          <w:szCs w:val="21"/>
          <w:highlight w:val="none"/>
          <w:lang w:val="zh-CN"/>
        </w:rPr>
        <w:t>价格</w:t>
      </w:r>
      <w:r>
        <w:rPr>
          <w:rFonts w:hint="eastAsia" w:ascii="宋体" w:hAnsi="宋体" w:cs="宋体"/>
          <w:b/>
          <w:bCs/>
          <w:color w:val="auto"/>
          <w:sz w:val="21"/>
          <w:szCs w:val="21"/>
          <w:highlight w:val="none"/>
          <w:lang w:val="zh-CN"/>
        </w:rPr>
        <w:t>。</w:t>
      </w:r>
      <w:r>
        <w:rPr>
          <w:rFonts w:hint="eastAsia" w:ascii="宋体" w:hAnsi="宋体" w:cs="宋体"/>
          <w:color w:val="auto"/>
          <w:szCs w:val="21"/>
          <w:highlight w:val="none"/>
          <w:lang w:val="en-US" w:eastAsia="zh-CN"/>
        </w:rPr>
        <w:t>特殊项目</w:t>
      </w:r>
      <w:r>
        <w:rPr>
          <w:rFonts w:hint="eastAsia" w:ascii="宋体" w:hAnsi="宋体" w:cs="宋体"/>
          <w:color w:val="auto"/>
          <w:szCs w:val="21"/>
          <w:highlight w:val="none"/>
        </w:rPr>
        <w:t>由采购人根据项目实际情况决定是否交由中标人施工</w:t>
      </w:r>
      <w:r>
        <w:rPr>
          <w:rFonts w:hint="eastAsia" w:ascii="宋体" w:hAnsi="宋体" w:cs="宋体"/>
          <w:color w:val="auto"/>
          <w:szCs w:val="21"/>
          <w:highlight w:val="none"/>
          <w:lang w:eastAsia="zh-CN"/>
        </w:rPr>
        <w:t>：</w:t>
      </w:r>
    </w:p>
    <w:tbl>
      <w:tblPr>
        <w:tblStyle w:val="31"/>
        <w:tblW w:w="83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1"/>
        <w:gridCol w:w="1300"/>
        <w:gridCol w:w="1309"/>
        <w:gridCol w:w="2464"/>
        <w:gridCol w:w="1155"/>
        <w:gridCol w:w="1607"/>
      </w:tblGrid>
      <w:tr w14:paraId="6B491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55FA0A">
            <w:pPr>
              <w:keepNext w:val="0"/>
              <w:keepLines w:val="0"/>
              <w:widowControl/>
              <w:suppressLineNumbers w:val="0"/>
              <w:spacing w:line="240" w:lineRule="auto"/>
              <w:ind w:firstLine="0" w:firstLineChars="0"/>
              <w:jc w:val="left"/>
              <w:textAlignment w:val="auto"/>
              <w:rPr>
                <w:rFonts w:hint="eastAsia" w:ascii="宋体" w:hAnsi="宋体" w:eastAsia="宋体" w:cs="宋体"/>
                <w:b/>
                <w:i w:val="0"/>
                <w:color w:val="auto"/>
                <w:kern w:val="0"/>
                <w:sz w:val="21"/>
                <w:szCs w:val="21"/>
                <w:highlight w:val="none"/>
                <w:u w:val="none"/>
                <w:lang w:val="en-US" w:eastAsia="zh-CN" w:bidi="ar"/>
              </w:rPr>
            </w:pPr>
            <w:bookmarkStart w:id="36" w:name="_Toc19080"/>
            <w:bookmarkStart w:id="37" w:name="_Toc3075"/>
            <w:r>
              <w:rPr>
                <w:rFonts w:hint="eastAsia" w:ascii="宋体" w:hAnsi="宋体" w:eastAsia="宋体" w:cs="宋体"/>
                <w:b/>
                <w:i w:val="0"/>
                <w:color w:val="auto"/>
                <w:kern w:val="0"/>
                <w:sz w:val="21"/>
                <w:szCs w:val="21"/>
                <w:highlight w:val="none"/>
                <w:u w:val="none"/>
                <w:lang w:val="en-US" w:eastAsia="zh-CN" w:bidi="ar"/>
              </w:rPr>
              <w:t>序号</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4B94CE">
            <w:pPr>
              <w:keepNext w:val="0"/>
              <w:keepLines w:val="0"/>
              <w:widowControl/>
              <w:suppressLineNumbers w:val="0"/>
              <w:spacing w:line="240" w:lineRule="auto"/>
              <w:ind w:firstLine="0" w:firstLineChars="0"/>
              <w:jc w:val="center"/>
              <w:textAlignment w:val="auto"/>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系统名称</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7981287">
            <w:pPr>
              <w:keepNext w:val="0"/>
              <w:keepLines w:val="0"/>
              <w:widowControl/>
              <w:suppressLineNumbers w:val="0"/>
              <w:spacing w:line="240" w:lineRule="auto"/>
              <w:ind w:firstLine="0" w:firstLineChars="0"/>
              <w:jc w:val="center"/>
              <w:textAlignment w:val="auto"/>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部件名称</w:t>
            </w:r>
          </w:p>
        </w:tc>
        <w:tc>
          <w:tcPr>
            <w:tcW w:w="2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828C8A">
            <w:pPr>
              <w:keepNext w:val="0"/>
              <w:keepLines w:val="0"/>
              <w:widowControl/>
              <w:suppressLineNumbers w:val="0"/>
              <w:spacing w:line="240" w:lineRule="auto"/>
              <w:ind w:firstLine="0" w:firstLineChars="0"/>
              <w:jc w:val="center"/>
              <w:textAlignment w:val="auto"/>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特殊项目</w:t>
            </w:r>
          </w:p>
        </w:tc>
        <w:tc>
          <w:tcPr>
            <w:tcW w:w="27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59B54E">
            <w:pPr>
              <w:keepNext w:val="0"/>
              <w:keepLines w:val="0"/>
              <w:widowControl/>
              <w:suppressLineNumbers w:val="0"/>
              <w:spacing w:line="240" w:lineRule="auto"/>
              <w:ind w:firstLine="422" w:firstLineChars="200"/>
              <w:jc w:val="left"/>
              <w:textAlignment w:val="auto"/>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特殊项目单项报价（元）</w:t>
            </w:r>
          </w:p>
        </w:tc>
      </w:tr>
      <w:tr w14:paraId="0B5A9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C03A6F">
            <w:pPr>
              <w:keepNext w:val="0"/>
              <w:keepLines w:val="0"/>
              <w:widowControl/>
              <w:suppressLineNumbers w:val="0"/>
              <w:spacing w:line="240" w:lineRule="auto"/>
              <w:jc w:val="center"/>
              <w:textAlignment w:val="center"/>
              <w:rPr>
                <w:rFonts w:hint="eastAsia" w:ascii="宋体" w:hAnsi="宋体" w:eastAsia="宋体" w:cs="宋体"/>
                <w:b/>
                <w:i w:val="0"/>
                <w:color w:val="auto"/>
                <w:kern w:val="0"/>
                <w:sz w:val="21"/>
                <w:szCs w:val="21"/>
                <w:highlight w:val="none"/>
                <w:u w:val="none"/>
                <w:lang w:val="en-US" w:eastAsia="zh-CN" w:bidi="ar"/>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58E8A3">
            <w:pPr>
              <w:keepNext w:val="0"/>
              <w:keepLines w:val="0"/>
              <w:widowControl/>
              <w:suppressLineNumbers w:val="0"/>
              <w:spacing w:line="240" w:lineRule="auto"/>
              <w:jc w:val="center"/>
              <w:textAlignment w:val="center"/>
              <w:rPr>
                <w:rFonts w:hint="eastAsia" w:ascii="宋体" w:hAnsi="宋体" w:eastAsia="宋体" w:cs="宋体"/>
                <w:b/>
                <w:i w:val="0"/>
                <w:color w:val="auto"/>
                <w:kern w:val="0"/>
                <w:sz w:val="21"/>
                <w:szCs w:val="21"/>
                <w:highlight w:val="none"/>
                <w:u w:val="none"/>
                <w:lang w:val="en-US" w:eastAsia="zh-CN" w:bidi="ar"/>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15C606">
            <w:pPr>
              <w:keepNext w:val="0"/>
              <w:keepLines w:val="0"/>
              <w:widowControl/>
              <w:suppressLineNumbers w:val="0"/>
              <w:spacing w:line="240" w:lineRule="auto"/>
              <w:jc w:val="center"/>
              <w:textAlignment w:val="center"/>
              <w:rPr>
                <w:rFonts w:hint="eastAsia" w:ascii="宋体" w:hAnsi="宋体" w:eastAsia="宋体" w:cs="宋体"/>
                <w:b/>
                <w:i w:val="0"/>
                <w:color w:val="auto"/>
                <w:kern w:val="0"/>
                <w:sz w:val="21"/>
                <w:szCs w:val="21"/>
                <w:highlight w:val="none"/>
                <w:u w:val="none"/>
                <w:lang w:val="en-US" w:eastAsia="zh-CN" w:bidi="ar"/>
              </w:rPr>
            </w:pPr>
          </w:p>
        </w:tc>
        <w:tc>
          <w:tcPr>
            <w:tcW w:w="2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05DC16">
            <w:pPr>
              <w:keepNext w:val="0"/>
              <w:keepLines w:val="0"/>
              <w:widowControl/>
              <w:suppressLineNumbers w:val="0"/>
              <w:spacing w:line="240" w:lineRule="auto"/>
              <w:jc w:val="center"/>
              <w:textAlignment w:val="center"/>
              <w:rPr>
                <w:rFonts w:hint="eastAsia" w:ascii="宋体" w:hAnsi="宋体" w:eastAsia="宋体" w:cs="宋体"/>
                <w:b/>
                <w:i w:val="0"/>
                <w:color w:val="auto"/>
                <w:kern w:val="0"/>
                <w:sz w:val="21"/>
                <w:szCs w:val="21"/>
                <w:highlight w:val="none"/>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53D92C">
            <w:pPr>
              <w:keepNext w:val="0"/>
              <w:keepLines w:val="0"/>
              <w:widowControl/>
              <w:suppressLineNumbers w:val="0"/>
              <w:spacing w:line="240" w:lineRule="auto"/>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单位</w:t>
            </w:r>
          </w:p>
        </w:tc>
        <w:tc>
          <w:tcPr>
            <w:tcW w:w="16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B1EA5A">
            <w:pPr>
              <w:keepNext w:val="0"/>
              <w:keepLines w:val="0"/>
              <w:widowControl/>
              <w:suppressLineNumbers w:val="0"/>
              <w:spacing w:line="240" w:lineRule="auto"/>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综合单价</w:t>
            </w:r>
            <w:r>
              <w:rPr>
                <w:rFonts w:hint="eastAsia" w:ascii="宋体" w:hAnsi="宋体" w:cs="宋体"/>
                <w:b/>
                <w:i w:val="0"/>
                <w:color w:val="auto"/>
                <w:kern w:val="0"/>
                <w:sz w:val="21"/>
                <w:szCs w:val="21"/>
                <w:highlight w:val="none"/>
                <w:u w:val="none"/>
                <w:lang w:val="en-US" w:eastAsia="zh-CN" w:bidi="ar"/>
              </w:rPr>
              <w:t>包干</w:t>
            </w:r>
          </w:p>
        </w:tc>
      </w:tr>
      <w:tr w14:paraId="3343B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restart"/>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BE90D6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一、</w:t>
            </w:r>
          </w:p>
        </w:tc>
        <w:tc>
          <w:tcPr>
            <w:tcW w:w="1300" w:type="dxa"/>
            <w:vMerge w:val="restart"/>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4A7A14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余热锅炉本体</w:t>
            </w:r>
          </w:p>
        </w:tc>
        <w:tc>
          <w:tcPr>
            <w:tcW w:w="1309" w:type="dxa"/>
            <w:tcBorders>
              <w:top w:val="nil"/>
              <w:left w:val="nil"/>
              <w:bottom w:val="single" w:color="000000" w:sz="4" w:space="0"/>
              <w:right w:val="single" w:color="000000" w:sz="4" w:space="0"/>
            </w:tcBorders>
            <w:shd w:val="clear" w:color="auto" w:fill="auto"/>
            <w:tcMar>
              <w:top w:w="10" w:type="dxa"/>
              <w:left w:w="10" w:type="dxa"/>
              <w:right w:w="10" w:type="dxa"/>
            </w:tcMar>
            <w:vAlign w:val="center"/>
          </w:tcPr>
          <w:p w14:paraId="734DDF7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协助内检</w:t>
            </w:r>
          </w:p>
        </w:tc>
        <w:tc>
          <w:tcPr>
            <w:tcW w:w="2464"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BC947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1.协助内检工作，拆除保温、打磨及恢复，根据现场需要搭设脚手架；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94276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FBA42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23,000.00</w:t>
            </w:r>
          </w:p>
        </w:tc>
      </w:tr>
      <w:tr w14:paraId="5CC33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FAD0937">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717FA687">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E5AA45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汽包</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BCCA2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2.检查和清理汽包内部的腐蚀和结垢；</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DC78F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584D7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6640F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C729A3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02243898">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65E38E27">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985F2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3.检查汽水分离器及附件的完整性、严密性和固定情况；</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4CFE5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A7972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1,155.00</w:t>
            </w:r>
          </w:p>
        </w:tc>
      </w:tr>
      <w:tr w14:paraId="7D7D3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6928603">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E6813DA">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736AE03">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5C8E4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4.检查内部进水管、事故放水管、取样管、下降管、加药管、排污管、各水位计、压力表接口腐蚀，污垢，裂纹及焊口磨损并恢复；</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BBE0F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FF2F10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2,656.00</w:t>
            </w:r>
          </w:p>
        </w:tc>
      </w:tr>
      <w:tr w14:paraId="13422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71B86C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6B6646D">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A71A98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水冷系统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26DE0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5.打开联箱手孔或割下封头、检查清理腐蚀、结垢；</w:t>
            </w:r>
          </w:p>
        </w:tc>
        <w:tc>
          <w:tcPr>
            <w:tcW w:w="1155" w:type="dxa"/>
            <w:tcBorders>
              <w:top w:val="nil"/>
              <w:left w:val="nil"/>
              <w:bottom w:val="nil"/>
              <w:right w:val="nil"/>
            </w:tcBorders>
            <w:shd w:val="clear" w:color="auto" w:fill="auto"/>
            <w:noWrap/>
            <w:tcMar>
              <w:top w:w="10" w:type="dxa"/>
              <w:left w:w="10" w:type="dxa"/>
              <w:right w:w="10" w:type="dxa"/>
            </w:tcMar>
            <w:vAlign w:val="center"/>
          </w:tcPr>
          <w:p w14:paraId="2AD8092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5D997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29E8D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22384E5">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9197AA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92C7249">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C7584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6.更换管子，每根管子长度6米以内，含检查管子外壁磨损、胀粗，变形和损伤，割管检查水冷壁管内部状况；（每根超过6米的按比例结算）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CDF34B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E45DD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2,200.00</w:t>
            </w:r>
          </w:p>
        </w:tc>
      </w:tr>
      <w:tr w14:paraId="077B9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CB2891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DEC8115">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019A53D1">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4D96D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7.防磨瓦更换（按实际更换比例结算）；</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CE381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BCCE39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9,000.00</w:t>
            </w:r>
          </w:p>
        </w:tc>
      </w:tr>
      <w:tr w14:paraId="53E59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A851AB0">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D62654A">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1C0EC29">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E7A41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8.蒸发器整组更换（含拆除、包括施工需要搭设各类的架子及平台）；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42533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3F096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4,500.00</w:t>
            </w:r>
          </w:p>
        </w:tc>
      </w:tr>
      <w:tr w14:paraId="6653B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16D7C44">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0BE0221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41BD2760">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3871E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9.第一通道搭钢管架至炉顶（不含前拱、后拱工作面）；</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CBECD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E63D85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50,000.00</w:t>
            </w:r>
          </w:p>
        </w:tc>
      </w:tr>
      <w:tr w14:paraId="63A02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D16EEE1">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FEAE617">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3B492B5">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0A99A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10.第二通道搭钢管架至炉顶；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51C29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0C07B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45,000.00</w:t>
            </w:r>
          </w:p>
        </w:tc>
      </w:tr>
      <w:tr w14:paraId="5E10C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0D34630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1921B0E">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082139C">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DFC5E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11.第三烟道搭钢管架至炉顶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0FD46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1C310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45,000.00</w:t>
            </w:r>
          </w:p>
        </w:tc>
      </w:tr>
      <w:tr w14:paraId="352D7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A1A397D">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B8035BB">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B2218A7">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EFBF28">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12.水平烟道搭钢管架至炉顶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CCE3C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D23BDC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45,000.00</w:t>
            </w:r>
          </w:p>
        </w:tc>
      </w:tr>
      <w:tr w14:paraId="19F26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8298A43">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A26AFD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6A5E2A2">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54CB27B">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13.管子检查测厚</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6F6DD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45D6DE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6,000.00</w:t>
            </w:r>
          </w:p>
        </w:tc>
      </w:tr>
      <w:tr w14:paraId="0EFA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761C72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355B8C9C">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3E86C0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过热器系统</w:t>
            </w: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B57FA6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14.打开联箱手孔或割下封头，检查并清理内部；</w:t>
            </w:r>
          </w:p>
        </w:tc>
        <w:tc>
          <w:tcPr>
            <w:tcW w:w="1155" w:type="dxa"/>
            <w:tcBorders>
              <w:top w:val="nil"/>
              <w:left w:val="nil"/>
              <w:bottom w:val="nil"/>
              <w:right w:val="nil"/>
            </w:tcBorders>
            <w:shd w:val="clear" w:color="auto" w:fill="auto"/>
            <w:noWrap/>
            <w:tcMar>
              <w:top w:w="10" w:type="dxa"/>
              <w:left w:w="10" w:type="dxa"/>
              <w:right w:w="10" w:type="dxa"/>
            </w:tcMar>
            <w:vAlign w:val="center"/>
          </w:tcPr>
          <w:p w14:paraId="7197F45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43D88B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6B91B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C543204">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33FCC585">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3FB041CA">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nil"/>
              <w:left w:val="nil"/>
              <w:bottom w:val="nil"/>
              <w:right w:val="nil"/>
            </w:tcBorders>
            <w:shd w:val="clear" w:color="auto" w:fill="auto"/>
            <w:noWrap/>
            <w:tcMar>
              <w:top w:w="10" w:type="dxa"/>
              <w:left w:w="10" w:type="dxa"/>
              <w:right w:w="10" w:type="dxa"/>
            </w:tcMar>
            <w:vAlign w:val="center"/>
          </w:tcPr>
          <w:p w14:paraId="5DB41E67">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15.更换管子，每根管子长度6米以内；（每根超过6米的按比例结算）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B2C32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7381A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2,200.00</w:t>
            </w:r>
          </w:p>
        </w:tc>
      </w:tr>
      <w:tr w14:paraId="274A9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D8A3788">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F2F5A29">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D1E9163">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48C490F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16.整组更换过热器（含拆除、包括施工需要搭设各类的架子及平台）；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CADA6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4E2E27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3,927.00</w:t>
            </w:r>
          </w:p>
        </w:tc>
      </w:tr>
      <w:tr w14:paraId="47930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28C7BDE">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9292F42">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A4CCF0D">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FE2B653">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17.整排更换过热器支座或管卡；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3140E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元/排</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84E26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5CF27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59CE52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79BDC3E">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5F703D53">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FC786D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18.防磨瓦更换（按实际更换比例结算）；</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D9811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780F40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9,000.00</w:t>
            </w:r>
          </w:p>
        </w:tc>
      </w:tr>
      <w:tr w14:paraId="4FFC6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F954CA8">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A5087BC">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6314D44">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7571F5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19.割管检查；</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58AB74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77A2DC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2,000.00</w:t>
            </w:r>
          </w:p>
        </w:tc>
      </w:tr>
      <w:tr w14:paraId="44E0F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F0417C2">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92E0A0C">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6388FFC3">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60E091E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20.检查管子磨损、胀粗、弯曲情况；</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1F695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CA946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2,000.00</w:t>
            </w:r>
          </w:p>
        </w:tc>
      </w:tr>
      <w:tr w14:paraId="54E3F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187F8697">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2CC5CFE">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68539256">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B7888D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21.管子检查测厚</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242D0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D813F0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3,000.00</w:t>
            </w:r>
          </w:p>
        </w:tc>
      </w:tr>
      <w:tr w14:paraId="53A46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0135C69">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C09273E">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6D873E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省煤器及联箱</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32F275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22.打开联箱手孔或割下封头，检查腐蚀结垢，清理内部；</w:t>
            </w:r>
          </w:p>
        </w:tc>
        <w:tc>
          <w:tcPr>
            <w:tcW w:w="1155" w:type="dxa"/>
            <w:tcBorders>
              <w:top w:val="nil"/>
              <w:left w:val="nil"/>
              <w:bottom w:val="nil"/>
              <w:right w:val="nil"/>
            </w:tcBorders>
            <w:shd w:val="clear" w:color="auto" w:fill="auto"/>
            <w:noWrap/>
            <w:tcMar>
              <w:top w:w="10" w:type="dxa"/>
              <w:left w:w="10" w:type="dxa"/>
              <w:right w:w="10" w:type="dxa"/>
            </w:tcMar>
            <w:vAlign w:val="center"/>
          </w:tcPr>
          <w:p w14:paraId="1C3F9F6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DED07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615A9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E9DC1F6">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BDB5DE4">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394100D">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6C6EB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23.更换管子，每根管子长度6米以内；（每根超过6米的按比例结算）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8EE32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40CCE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2,180.00</w:t>
            </w:r>
          </w:p>
        </w:tc>
      </w:tr>
      <w:tr w14:paraId="475F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59AE3F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702C868">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6F0CB531">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nil"/>
              <w:left w:val="nil"/>
              <w:bottom w:val="nil"/>
              <w:right w:val="nil"/>
            </w:tcBorders>
            <w:shd w:val="clear" w:color="auto" w:fill="auto"/>
            <w:noWrap/>
            <w:tcMar>
              <w:top w:w="10" w:type="dxa"/>
              <w:left w:w="10" w:type="dxa"/>
              <w:right w:w="10" w:type="dxa"/>
            </w:tcMar>
            <w:vAlign w:val="center"/>
          </w:tcPr>
          <w:p w14:paraId="332B7546">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24.整组更换省煤器（含拆除、包括施工需要搭设各类的架子及平台）；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4C4EFE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99D06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4,500.00</w:t>
            </w:r>
          </w:p>
        </w:tc>
      </w:tr>
      <w:tr w14:paraId="449C3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82D573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3F0C9EA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70C64A0">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2A15482">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25.整排更换省煤器支座或管卡；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7A3D31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元/排</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364395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0F037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03A1B66">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0AA42F2">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A42440D">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nil"/>
              <w:left w:val="nil"/>
              <w:bottom w:val="nil"/>
              <w:right w:val="nil"/>
            </w:tcBorders>
            <w:shd w:val="clear" w:color="auto" w:fill="auto"/>
            <w:noWrap/>
            <w:tcMar>
              <w:top w:w="10" w:type="dxa"/>
              <w:left w:w="10" w:type="dxa"/>
              <w:right w:w="10" w:type="dxa"/>
            </w:tcMar>
            <w:vAlign w:val="center"/>
          </w:tcPr>
          <w:p w14:paraId="0E0EB0CB">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26.防磨瓦更换（按实际更换比例结算）；</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05303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242D94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9,000.00</w:t>
            </w:r>
          </w:p>
        </w:tc>
      </w:tr>
      <w:tr w14:paraId="5EA08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70F41F4">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2017A77">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374D629">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F10D80">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27.管子检查测厚；</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C8635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4E4EE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3,000.00</w:t>
            </w:r>
          </w:p>
        </w:tc>
      </w:tr>
      <w:tr w14:paraId="6CF82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7298ECE">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23C11D8">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24454E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汽水系统</w:t>
            </w: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309DE0D">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28.更换阀门或阀门更换垫子；（因更换阀门而更换垫片的不计垫片数）</w:t>
            </w:r>
          </w:p>
        </w:tc>
        <w:tc>
          <w:tcPr>
            <w:tcW w:w="1155" w:type="dxa"/>
            <w:tcBorders>
              <w:top w:val="nil"/>
              <w:left w:val="nil"/>
              <w:bottom w:val="nil"/>
              <w:right w:val="nil"/>
            </w:tcBorders>
            <w:shd w:val="clear" w:color="auto" w:fill="auto"/>
            <w:noWrap/>
            <w:tcMar>
              <w:top w:w="10" w:type="dxa"/>
              <w:left w:w="10" w:type="dxa"/>
              <w:right w:w="10" w:type="dxa"/>
            </w:tcMar>
            <w:vAlign w:val="center"/>
          </w:tcPr>
          <w:p w14:paraId="6D6ED08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27B5A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531.00</w:t>
            </w:r>
          </w:p>
        </w:tc>
      </w:tr>
      <w:tr w14:paraId="581E6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12328B2">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5A0EE0E">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CA8CF64">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nil"/>
              <w:left w:val="nil"/>
              <w:bottom w:val="nil"/>
              <w:right w:val="nil"/>
            </w:tcBorders>
            <w:shd w:val="clear" w:color="auto" w:fill="auto"/>
            <w:noWrap/>
            <w:tcMar>
              <w:top w:w="10" w:type="dxa"/>
              <w:left w:w="10" w:type="dxa"/>
              <w:right w:w="10" w:type="dxa"/>
            </w:tcMar>
            <w:vAlign w:val="center"/>
          </w:tcPr>
          <w:p w14:paraId="3005D22F">
            <w:pPr>
              <w:keepNext w:val="0"/>
              <w:keepLines w:val="0"/>
              <w:widowControl/>
              <w:suppressLineNumbers w:val="0"/>
              <w:spacing w:line="240" w:lineRule="auto"/>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29.消除系统中的漏点；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428E4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6E97DA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500.00</w:t>
            </w:r>
          </w:p>
        </w:tc>
      </w:tr>
      <w:tr w14:paraId="483F9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F5CE81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308474A8">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EF30596">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5FDEE5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30.阀门添加或更换填料；</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AEF1F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67E4CC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260.00</w:t>
            </w:r>
          </w:p>
        </w:tc>
      </w:tr>
      <w:tr w14:paraId="4B3A9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A312E0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027A7E3A">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2AF17B4">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2775748">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31.过热器省煤器蛇形管支撑架调整</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9E63A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BCBC7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231.00</w:t>
            </w:r>
          </w:p>
        </w:tc>
      </w:tr>
      <w:tr w14:paraId="289C8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A48A185">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0D4CA655">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6F9A66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空气预热器</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E597D1">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32.打开联箱手孔或割下封头，检查腐蚀结垢，清理内部；</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E32174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C4E3D9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45B77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188C8FE">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7820975">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69A3B751">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A862D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33.更换管子，每根管子长度6米以内；（每根超过6米的按比例结算）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4384A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8B137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1,500.00</w:t>
            </w:r>
          </w:p>
        </w:tc>
      </w:tr>
      <w:tr w14:paraId="7C0EB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2C86792">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7AAB6C94">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4E14A17">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9F86C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34.整组更换蛇形管（含拆除、包括施工需要搭设各类的架子及平台）；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29150F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6C481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4,500.00</w:t>
            </w:r>
          </w:p>
        </w:tc>
      </w:tr>
      <w:tr w14:paraId="4451F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1880EA16">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3648618">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nil"/>
              <w:right w:val="single" w:color="000000" w:sz="4" w:space="0"/>
            </w:tcBorders>
            <w:shd w:val="clear" w:color="auto" w:fill="auto"/>
            <w:tcMar>
              <w:top w:w="10" w:type="dxa"/>
              <w:left w:w="10" w:type="dxa"/>
              <w:right w:w="10" w:type="dxa"/>
            </w:tcMar>
            <w:vAlign w:val="center"/>
          </w:tcPr>
          <w:p w14:paraId="566434F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吹灰器</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00681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35.提升阀更换；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E552A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1E404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750.00</w:t>
            </w:r>
          </w:p>
        </w:tc>
      </w:tr>
      <w:tr w14:paraId="5585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627C6A3">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1EEA9ED">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nil"/>
              <w:right w:val="single" w:color="000000" w:sz="4" w:space="0"/>
            </w:tcBorders>
            <w:shd w:val="clear" w:color="auto" w:fill="auto"/>
            <w:tcMar>
              <w:top w:w="10" w:type="dxa"/>
              <w:left w:w="10" w:type="dxa"/>
              <w:right w:w="10" w:type="dxa"/>
            </w:tcMar>
            <w:vAlign w:val="center"/>
          </w:tcPr>
          <w:p w14:paraId="58C9C9FE">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3EE57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36.长伸缩吹灰器更换外套管；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CAB22D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6D74E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1,800.00</w:t>
            </w:r>
          </w:p>
        </w:tc>
      </w:tr>
      <w:tr w14:paraId="0F733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AA4B442">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07CAACE">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nil"/>
              <w:right w:val="single" w:color="000000" w:sz="4" w:space="0"/>
            </w:tcBorders>
            <w:shd w:val="clear" w:color="auto" w:fill="auto"/>
            <w:tcMar>
              <w:top w:w="10" w:type="dxa"/>
              <w:left w:w="10" w:type="dxa"/>
              <w:right w:w="10" w:type="dxa"/>
            </w:tcMar>
            <w:vAlign w:val="center"/>
          </w:tcPr>
          <w:p w14:paraId="38757F1A">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C28CF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37.半伸缩吹灰器更换外套管；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5D4EC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D34F24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1,200.00</w:t>
            </w:r>
          </w:p>
        </w:tc>
      </w:tr>
      <w:tr w14:paraId="6857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10B8DFE">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DA89E67">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nil"/>
              <w:right w:val="single" w:color="000000" w:sz="4" w:space="0"/>
            </w:tcBorders>
            <w:shd w:val="clear" w:color="auto" w:fill="auto"/>
            <w:tcMar>
              <w:top w:w="10" w:type="dxa"/>
              <w:left w:w="10" w:type="dxa"/>
              <w:right w:w="10" w:type="dxa"/>
            </w:tcMar>
            <w:vAlign w:val="center"/>
          </w:tcPr>
          <w:p w14:paraId="5AC59968">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48EDB">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38.更换吹灰器电机或密封风机减速电机；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9EBE71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B7D6E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1,580.00</w:t>
            </w:r>
          </w:p>
        </w:tc>
      </w:tr>
      <w:tr w14:paraId="416D2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019290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二、</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78C55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焚烧炉</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B7A84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给料系统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B3767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39.落料口防磨钢板更换（含措施费、作业平台）；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2C4BBE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1CF43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1,200.00</w:t>
            </w:r>
          </w:p>
        </w:tc>
      </w:tr>
      <w:tr w14:paraId="2EFFF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FB97088">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0BC983">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4FD790">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D5758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40.给料小车铸件或耐磨铁更换（按需更换；若因更换需要拆除其他铸件，其他铸件不再另行计费）；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F3652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DCC3C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415.00</w:t>
            </w:r>
          </w:p>
        </w:tc>
      </w:tr>
      <w:tr w14:paraId="5023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84F00DE">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BB1340">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022037">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93FDD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41.给料小车滑座更换；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3EFBD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051BB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500.00</w:t>
            </w:r>
          </w:p>
        </w:tc>
      </w:tr>
      <w:tr w14:paraId="2377D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224046">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D5EFF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D2706F">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19432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42.给料小车底部铜滑板更换；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9A1FD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F1B68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420.00</w:t>
            </w:r>
          </w:p>
        </w:tc>
      </w:tr>
      <w:tr w14:paraId="43872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7C95AE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E5488B">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7CC108">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8C60F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43.整台炉前拱保护附件更换</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75A7D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FB17F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4,800.00</w:t>
            </w:r>
          </w:p>
        </w:tc>
      </w:tr>
      <w:tr w14:paraId="0BC61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F94BC6">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CD2A16">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8E6BE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驱动液压缸更换</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39AAF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44.液压缸本体密封油封更换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F13CB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618367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1,980.00</w:t>
            </w:r>
          </w:p>
        </w:tc>
      </w:tr>
      <w:tr w14:paraId="17E60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8A1C53">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16B606">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67953D">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95609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45.液压缸整体更换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6EE87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B8A0CB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7E94E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3586DD">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C1C3E4">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5E13A4">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0405C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46.摇臂连接驱动梁的销轴拆除或驱动梁拉杆支撑轴承更换；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5DEC9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B5AEC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1,680.00</w:t>
            </w:r>
          </w:p>
        </w:tc>
      </w:tr>
      <w:tr w14:paraId="71348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848BD8">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9DC22D">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1F49D0">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77B7E2">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47.液压缸油管更换；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557309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397701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173.00</w:t>
            </w:r>
          </w:p>
        </w:tc>
      </w:tr>
      <w:tr w14:paraId="3CEC1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7E9F8A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CF920B">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E31D6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炉排系统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5AE3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48.拉杆导向轮更换（单个驱动轮底座为一组）；</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448190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F4732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346.00</w:t>
            </w:r>
          </w:p>
        </w:tc>
      </w:tr>
      <w:tr w14:paraId="546FB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BBB0AB1">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357B77">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81ADAF">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97246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49.密封盒铜块更换；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87977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1F9B2F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462.00</w:t>
            </w:r>
          </w:p>
        </w:tc>
      </w:tr>
      <w:tr w14:paraId="49943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F611989">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A97880">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EA0B59">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5DBAC3">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50.炉排片或铸件更换；（按需更换；若因更换需要拆除其他铸件或炉排，其他铸件或炉排不再另行计费）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7907B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35E1C5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231.00</w:t>
            </w:r>
          </w:p>
        </w:tc>
      </w:tr>
      <w:tr w14:paraId="5C8B1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465C50D">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A188AC">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1B5C0C">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18873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51.托辊更换；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35FD8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53020E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462.00</w:t>
            </w:r>
          </w:p>
        </w:tc>
      </w:tr>
      <w:tr w14:paraId="129F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D70A74">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B1CFF0">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4E81B6">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AF883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52.导向轮更换；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197091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A9FF1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346.00</w:t>
            </w:r>
          </w:p>
        </w:tc>
      </w:tr>
      <w:tr w14:paraId="79A3B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65D638">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3D2040">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1D3FC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风室刮板机/水平烟道输灰刮板机</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9B5F1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53.刮板机链条更换；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28720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70AAA0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1,963.00</w:t>
            </w:r>
          </w:p>
        </w:tc>
      </w:tr>
      <w:tr w14:paraId="73D8A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F2E10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11CA44">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C6BDC0">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771D03">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54.刮板机上、下耐磨条更换；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4B1711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7A53FE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2,079.00</w:t>
            </w:r>
          </w:p>
        </w:tc>
      </w:tr>
      <w:tr w14:paraId="4A71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E3692C">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BFC245">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5DF854">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247CD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55.刮板机头轮及轴承更换（仅换轴承按50%计）；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D472E6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3683C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7680A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D2919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B59E70">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B262E5">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5B2BAB">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56.刮板机尾轮及轴承更换（仅换轴承按50%计）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5E9CB6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C8B02F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18377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3FE064A">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422425">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93AB83">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50084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57.减速机更换；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FFB1C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1578B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0582C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73CE84">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1B7144">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04B6A0">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C4196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58.刮板机下料溜管更换；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44AE91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166F8F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2,772.00</w:t>
            </w:r>
          </w:p>
        </w:tc>
      </w:tr>
      <w:tr w14:paraId="7E2A8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DF596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C33368">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099948">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110E1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59.气动翻板阀轴承消缺、更换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06F61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3666B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346.00</w:t>
            </w:r>
          </w:p>
        </w:tc>
      </w:tr>
      <w:tr w14:paraId="4686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FA010CC">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CC95BC">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2B4AB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除渣机</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2453C2">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60.除渣机更换耐磨侧板</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A5F1C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0329D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404.00</w:t>
            </w:r>
          </w:p>
        </w:tc>
      </w:tr>
      <w:tr w14:paraId="6BB0D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1C22110">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7D58FB">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061962">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8599E3">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61.除渣机更换耐磨底板</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8879A9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3B18D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404.00</w:t>
            </w:r>
          </w:p>
        </w:tc>
      </w:tr>
      <w:tr w14:paraId="3637B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60FC33">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9465E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9B287C">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D973C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62. 除渣机更换大轴、大轴承及推头轴承更换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CDA1C3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元/轴</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4821F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18,500.00</w:t>
            </w:r>
          </w:p>
        </w:tc>
      </w:tr>
      <w:tr w14:paraId="75DD8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8D511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三、</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0AC67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尾气系统</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97199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反应塔</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0A4BA5">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63.内部重做防腐（按防腐面积比例结算）；</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3AA4F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6D184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26,000.00</w:t>
            </w:r>
          </w:p>
        </w:tc>
      </w:tr>
      <w:tr w14:paraId="60F19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E285EC">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EB17AB">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BDA7A5">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522BB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64.反应塔内筒清灰；</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CB36B8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1B6731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15,000.00</w:t>
            </w:r>
          </w:p>
        </w:tc>
      </w:tr>
      <w:tr w14:paraId="20652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158EAA1">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3F13DB">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59079D">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33F051">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65.反应塔内部搭钢管架；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F81BE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4E097D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52,000.00</w:t>
            </w:r>
          </w:p>
        </w:tc>
      </w:tr>
      <w:tr w14:paraId="2B28F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30E701E">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504ACE">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784E07">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A9FE2D">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66.雾化盘更换；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E57EE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558D7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3,465.00</w:t>
            </w:r>
          </w:p>
        </w:tc>
      </w:tr>
      <w:tr w14:paraId="4A366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A10272">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F03A1E">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2D36D3">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E757F8">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67.刮板机链条更换；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09FF69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4F2BC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2,079.00</w:t>
            </w:r>
          </w:p>
        </w:tc>
      </w:tr>
      <w:tr w14:paraId="08F43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B17E9A9">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7F582C">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9B7AAD">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13FD0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68.刮板机耐磨条更换；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887D3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4A8C3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2,079.00</w:t>
            </w:r>
          </w:p>
        </w:tc>
      </w:tr>
      <w:tr w14:paraId="2EF68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0089C0">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5BE5DE9">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45C635">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41A89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69.刮板机头轮及轴承更换（仅换轴承按50%计）；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30E594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FE4D15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1F889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3632AF9">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572C8D">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C2FFA6">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73F6C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70.刮板机尾轮及轴承更换（仅换轴承按50%计）；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D9C21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A5600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79F9F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969ED9">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F1BF80">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5A4395">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B0415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71.卸灰阀整体更换；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8F94E3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8560E5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0A696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8348D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77670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1809CE">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A0920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72.破碎机整体更换；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0AA5D2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27876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3,696.00</w:t>
            </w:r>
          </w:p>
        </w:tc>
      </w:tr>
      <w:tr w14:paraId="4324A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37E7BA6">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5D1788">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D8251">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DE0375">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73.破碎机轴承更换；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664CE7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E0C763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250F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A005865">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512587">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1B84BA">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00E7A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74.减速机更换；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C06AA0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05163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01090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87F6177">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92F984">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5FE9A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布袋除尘器</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00562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75.更换布袋笼骨（含布袋间距调整）；</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300189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9B445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69.00</w:t>
            </w:r>
          </w:p>
        </w:tc>
      </w:tr>
      <w:tr w14:paraId="58F81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1D3E5B">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9B7014">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F6B28A">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B15A1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76.清洁室重做防腐；（按防腐面积比例结算）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B3F7C1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84F34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92.00</w:t>
            </w:r>
          </w:p>
        </w:tc>
      </w:tr>
      <w:tr w14:paraId="5995F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FAD1B81">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002DC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1BB80B">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499AB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77.烟道内部重做防腐；（按防腐面积比例结算）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CBEAB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FD696C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92.00</w:t>
            </w:r>
          </w:p>
        </w:tc>
      </w:tr>
      <w:tr w14:paraId="78AB7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531835">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EAD633">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38754C">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1CEFD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78.脉冲阀膜片更换；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787B7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FE296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115.00</w:t>
            </w:r>
          </w:p>
        </w:tc>
      </w:tr>
      <w:tr w14:paraId="3BBDD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3887FB">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B24E6B">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3EE9A9">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652381">
            <w:pPr>
              <w:keepNext w:val="0"/>
              <w:keepLines w:val="0"/>
              <w:widowControl/>
              <w:suppressLineNumbers w:val="0"/>
              <w:spacing w:line="24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79、密封板下保温棉更换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B0BC34">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元/仓</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75754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1,500.00</w:t>
            </w:r>
          </w:p>
        </w:tc>
      </w:tr>
      <w:tr w14:paraId="50456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56BE3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639D68">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B776A9">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084A0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80.气动阀更换；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138AC7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7A0A97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346.00</w:t>
            </w:r>
          </w:p>
        </w:tc>
      </w:tr>
      <w:tr w14:paraId="13F71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E815E3">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40D539">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A5E682">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21BBC5">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81.卸灰阀整体更换；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1E92E1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69FA5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924.00</w:t>
            </w:r>
          </w:p>
        </w:tc>
      </w:tr>
      <w:tr w14:paraId="2D93F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5901D38">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0B029F">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955E89">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C5D9E1">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82.提升阀及清洁仓盖板密封垫更换；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336FD2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49E1D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231.00</w:t>
            </w:r>
          </w:p>
        </w:tc>
      </w:tr>
      <w:tr w14:paraId="7CED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17AE38">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536E0E">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3AE57B">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2B55B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83.刮板机链条更换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5AD7C4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06FC77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2,079.00</w:t>
            </w:r>
          </w:p>
        </w:tc>
      </w:tr>
      <w:tr w14:paraId="75369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708FFFC">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A9E43D">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DB8C41">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FC10BA">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84.刮板机耐磨条更换；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71E287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7F25F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2,079.00</w:t>
            </w:r>
          </w:p>
        </w:tc>
      </w:tr>
      <w:tr w14:paraId="6DC2C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432AB6">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573FC3">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27482C">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AAEA1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85.刮板机头轮及轴承更换（仅换轴承按50%计）；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AF22B2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D63F8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4763A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79A5575">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34E18C">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BB99A8">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D1705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86.刮板机尾轮及轴承更换（仅换轴承按50%计）；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D83D30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971E2A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76AF0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D8BA2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BA7C12">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151D48">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54A68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87.减速机更换；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53693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66DD2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1,848.00</w:t>
            </w:r>
          </w:p>
        </w:tc>
      </w:tr>
      <w:tr w14:paraId="0C2D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A115400">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DB2680">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6E87D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湿法系统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6CDC0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88.开内部检查、管道检查、喷嘴</w:t>
            </w:r>
            <w:r>
              <w:rPr>
                <w:rFonts w:hint="eastAsia" w:ascii="宋体" w:hAnsi="宋体" w:cs="宋体"/>
                <w:i w:val="0"/>
                <w:color w:val="auto"/>
                <w:kern w:val="0"/>
                <w:sz w:val="21"/>
                <w:szCs w:val="21"/>
                <w:highlight w:val="none"/>
                <w:u w:val="none"/>
                <w:lang w:val="en-US" w:eastAsia="zh-CN" w:bidi="ar"/>
              </w:rPr>
              <w:t>修复</w:t>
            </w:r>
            <w:r>
              <w:rPr>
                <w:rFonts w:hint="eastAsia" w:ascii="宋体" w:hAnsi="宋体" w:eastAsia="宋体" w:cs="宋体"/>
                <w:i w:val="0"/>
                <w:color w:val="auto"/>
                <w:kern w:val="0"/>
                <w:sz w:val="21"/>
                <w:szCs w:val="21"/>
                <w:highlight w:val="none"/>
                <w:u w:val="none"/>
                <w:lang w:val="en-US" w:eastAsia="zh-CN" w:bidi="ar"/>
              </w:rPr>
              <w:t>；</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E3BBE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0FE31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3,480.00</w:t>
            </w:r>
          </w:p>
        </w:tc>
      </w:tr>
      <w:tr w14:paraId="329FC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E44B2F">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826291">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C54F80">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631E4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89.板式换热器清洗；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D118B7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EE9899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3,780.00</w:t>
            </w:r>
          </w:p>
        </w:tc>
      </w:tr>
      <w:tr w14:paraId="6CCDA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8CD3BF3">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AA58B4">
            <w:pPr>
              <w:spacing w:line="240" w:lineRule="auto"/>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4E172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GGH1/GGH2</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5F66B5D">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90.开</w:t>
            </w:r>
            <w:r>
              <w:rPr>
                <w:rFonts w:hint="eastAsia" w:ascii="宋体" w:hAnsi="宋体" w:cs="宋体"/>
                <w:i w:val="0"/>
                <w:color w:val="auto"/>
                <w:kern w:val="0"/>
                <w:sz w:val="21"/>
                <w:szCs w:val="21"/>
                <w:highlight w:val="none"/>
                <w:u w:val="none"/>
                <w:lang w:val="en-US" w:eastAsia="zh-CN" w:bidi="ar"/>
              </w:rPr>
              <w:t>入</w:t>
            </w:r>
            <w:r>
              <w:rPr>
                <w:rFonts w:hint="eastAsia" w:ascii="宋体" w:hAnsi="宋体" w:eastAsia="宋体" w:cs="宋体"/>
                <w:i w:val="0"/>
                <w:color w:val="auto"/>
                <w:kern w:val="0"/>
                <w:sz w:val="21"/>
                <w:szCs w:val="21"/>
                <w:highlight w:val="none"/>
                <w:u w:val="none"/>
                <w:lang w:val="en-US" w:eastAsia="zh-CN" w:bidi="ar"/>
              </w:rPr>
              <w:t>孔内部检查、清理积灰；</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0DB33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96441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3,960.00</w:t>
            </w:r>
          </w:p>
        </w:tc>
      </w:tr>
      <w:tr w14:paraId="359A1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49016A4">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E74A2D">
            <w:pPr>
              <w:spacing w:line="240" w:lineRule="auto"/>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E87EA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SCR系统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6B107D">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91.SCR设备系统开人孔检查、清理积灰检查。密封风机加热器检查维护、保养。</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62152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6C802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3,480.00</w:t>
            </w:r>
          </w:p>
        </w:tc>
      </w:tr>
      <w:tr w14:paraId="17A70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1CCB3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四、</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C6318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烟风系统</w:t>
            </w: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54A95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其他</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36EE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92.烟风系统中所有跑冒滴漏处理；</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017CB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EC9ADB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1,100.00</w:t>
            </w:r>
          </w:p>
        </w:tc>
      </w:tr>
      <w:tr w14:paraId="0039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8992F05">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20FC4E">
            <w:pPr>
              <w:spacing w:line="240" w:lineRule="auto"/>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852F5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各类风机</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B2BDF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93.靠背轮中心复查并重新调整；</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EDFFD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E8EDA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1,386.00</w:t>
            </w:r>
          </w:p>
        </w:tc>
      </w:tr>
      <w:tr w14:paraId="2D16C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F627B9">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247725">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E9952C">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3277B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94.各类风机更换主轴承（引风机除外）；</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1D76B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A0FCD5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3,465.00</w:t>
            </w:r>
          </w:p>
        </w:tc>
      </w:tr>
      <w:tr w14:paraId="360B1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245FE6D">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FBC539">
            <w:pPr>
              <w:spacing w:line="240" w:lineRule="auto"/>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A93AEB">
            <w:pPr>
              <w:spacing w:line="240" w:lineRule="auto"/>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CC950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95.引风机更换主轴承；</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3229CD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A7DD50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13,860.00</w:t>
            </w:r>
          </w:p>
        </w:tc>
      </w:tr>
      <w:tr w14:paraId="724A0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D9F80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五、</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05329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保温防腐</w:t>
            </w: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C13250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修补保温</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A8F04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96.修补保温；</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99ABE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5D9F75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66.00</w:t>
            </w:r>
          </w:p>
        </w:tc>
      </w:tr>
      <w:tr w14:paraId="0529E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965D30">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7B1A70">
            <w:pPr>
              <w:spacing w:line="240" w:lineRule="auto"/>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FFF2A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补刷残缺油漆</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B46B0B">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97.补刷残缺油漆；</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2E9BE6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C385F2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55.00</w:t>
            </w:r>
          </w:p>
        </w:tc>
      </w:tr>
      <w:tr w14:paraId="1E5A2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56A7ED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六、</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0D4AC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检查门</w:t>
            </w: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8EEE6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腐蚀严重的门类更换或修复，按实际发生结算</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67BF63">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98.腐蚀严重的门类更换或修复，按实际发生结算；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4F00ED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元/扇门</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4F9E4F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462.00</w:t>
            </w:r>
          </w:p>
        </w:tc>
      </w:tr>
      <w:tr w14:paraId="4ACF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restart"/>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19D1F08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七、</w:t>
            </w:r>
          </w:p>
        </w:tc>
        <w:tc>
          <w:tcPr>
            <w:tcW w:w="1300" w:type="dxa"/>
            <w:vMerge w:val="restart"/>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0FA4AE8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清灰及放灰</w:t>
            </w: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B126A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受热面清灰</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76911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lang w:val="en-US"/>
              </w:rPr>
            </w:pPr>
            <w:r>
              <w:rPr>
                <w:rFonts w:hint="eastAsia" w:ascii="宋体" w:hAnsi="宋体" w:eastAsia="宋体" w:cs="宋体"/>
                <w:i w:val="0"/>
                <w:color w:val="auto"/>
                <w:kern w:val="0"/>
                <w:sz w:val="21"/>
                <w:szCs w:val="21"/>
                <w:highlight w:val="none"/>
                <w:u w:val="none"/>
                <w:lang w:val="en-US" w:eastAsia="zh-CN" w:bidi="ar"/>
              </w:rPr>
              <w:t>99.受热面（1、2、3烟道，水平烟道、空预器）清灰及放灰；一通道具备机械清焦作业设备及能力</w:t>
            </w:r>
            <w:r>
              <w:rPr>
                <w:rFonts w:hint="eastAsia" w:ascii="宋体" w:hAnsi="宋体" w:cs="宋体"/>
                <w:i w:val="0"/>
                <w:color w:val="auto"/>
                <w:kern w:val="0"/>
                <w:sz w:val="21"/>
                <w:szCs w:val="21"/>
                <w:highlight w:val="none"/>
                <w:u w:val="none"/>
                <w:lang w:val="en-US" w:eastAsia="zh-CN" w:bidi="ar"/>
              </w:rPr>
              <w:t>（按采购人指令选择清焦方式）</w:t>
            </w:r>
            <w:r>
              <w:rPr>
                <w:rFonts w:hint="eastAsia" w:ascii="宋体" w:hAnsi="宋体" w:eastAsia="宋体" w:cs="宋体"/>
                <w:i w:val="0"/>
                <w:color w:val="auto"/>
                <w:kern w:val="0"/>
                <w:sz w:val="21"/>
                <w:szCs w:val="21"/>
                <w:highlight w:val="none"/>
                <w:u w:val="none"/>
                <w:lang w:val="en-US" w:eastAsia="zh-CN" w:bidi="ar"/>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D2812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元/烟道</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DF2FA8">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机械清焦：</w:t>
            </w:r>
            <w:r>
              <w:rPr>
                <w:rFonts w:hint="eastAsia" w:ascii="宋体" w:hAnsi="宋体" w:eastAsia="宋体" w:cs="宋体"/>
                <w:i w:val="0"/>
                <w:iCs w:val="0"/>
                <w:color w:val="auto"/>
                <w:kern w:val="0"/>
                <w:sz w:val="22"/>
                <w:szCs w:val="22"/>
                <w:highlight w:val="none"/>
                <w:u w:val="none"/>
                <w:lang w:val="en-US" w:eastAsia="zh-CN" w:bidi="ar"/>
              </w:rPr>
              <w:t>16,000.00</w:t>
            </w:r>
          </w:p>
          <w:p w14:paraId="2F413536">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人工清焦：7804.48</w:t>
            </w:r>
          </w:p>
        </w:tc>
      </w:tr>
      <w:tr w14:paraId="1AD88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5895248D">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62EE7F56">
            <w:pPr>
              <w:spacing w:line="240" w:lineRule="auto"/>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B70AF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受热面喷砂</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67115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100.受热面（1、2、3烟道，水平烟道、空预器）喷砂；</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9CE02F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元/烟道</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0B99C8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8,000.00</w:t>
            </w:r>
          </w:p>
        </w:tc>
      </w:tr>
      <w:tr w14:paraId="5D827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3130E4E8">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4253747D">
            <w:pPr>
              <w:spacing w:line="240" w:lineRule="auto"/>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ED9B8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反应塔锥斗、破碎机清灰及放灰</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3F7FE1">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101.反应塔锥斗、破碎机清灰及放灰；</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E2B56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FA2B2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10,000.00</w:t>
            </w:r>
          </w:p>
        </w:tc>
      </w:tr>
      <w:tr w14:paraId="4C668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51A27AF2">
            <w:pPr>
              <w:spacing w:line="240" w:lineRule="auto"/>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3D7A5059">
            <w:pPr>
              <w:spacing w:line="240" w:lineRule="auto"/>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1C15D9B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布袋除尘器主路进口及灰斗清灰放灰</w:t>
            </w:r>
          </w:p>
        </w:tc>
        <w:tc>
          <w:tcPr>
            <w:tcW w:w="2464"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291A5A10">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102.布袋除尘器主路进口及灰斗清灰放灰。</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417BB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71635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10,000.00</w:t>
            </w:r>
          </w:p>
        </w:tc>
      </w:tr>
      <w:tr w14:paraId="3804D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1FABD11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八、</w:t>
            </w:r>
          </w:p>
        </w:tc>
        <w:tc>
          <w:tcPr>
            <w:tcW w:w="1300"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22E7C27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炉外脚手架</w:t>
            </w:r>
          </w:p>
        </w:tc>
        <w:tc>
          <w:tcPr>
            <w:tcW w:w="1309"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553F51F3">
            <w:pPr>
              <w:keepNext w:val="0"/>
              <w:keepLines w:val="0"/>
              <w:widowControl/>
              <w:suppressLineNumbers w:val="0"/>
              <w:spacing w:line="24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炉外脚手架搭设（含溜槽竖井及灰斗）</w:t>
            </w:r>
          </w:p>
        </w:tc>
        <w:tc>
          <w:tcPr>
            <w:tcW w:w="2464"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5365A93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103. 卡扣采用金属卡扣牢固可靠，严禁用铁丝、塑料带捆绑代替。</w:t>
            </w:r>
          </w:p>
          <w:p w14:paraId="52956EA3">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rPr>
              <w:t>2. 符合《电业安全工作规程》（热力和机械部分）的脚手架安装和使用要求。</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1D4242">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元/立方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54AB1D2">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70.00</w:t>
            </w:r>
          </w:p>
        </w:tc>
      </w:tr>
      <w:tr w14:paraId="09EEF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5E0443B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九、</w:t>
            </w:r>
          </w:p>
        </w:tc>
        <w:tc>
          <w:tcPr>
            <w:tcW w:w="1300"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704E1DF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大修安全文明施工措施费</w:t>
            </w:r>
          </w:p>
        </w:tc>
        <w:tc>
          <w:tcPr>
            <w:tcW w:w="1309"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4BF2820E">
            <w:pPr>
              <w:keepNext w:val="0"/>
              <w:keepLines w:val="0"/>
              <w:widowControl/>
              <w:suppressLineNumbers w:val="0"/>
              <w:spacing w:line="240" w:lineRule="auto"/>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大修安全文明施工措施费</w:t>
            </w:r>
          </w:p>
        </w:tc>
        <w:tc>
          <w:tcPr>
            <w:tcW w:w="2464"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66D69D68">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104、包括但不限于设置施工围挡及警示标识，材料定置堆放，废料及时清运，采取降尘降噪措施，炉间防护及防尘措施要求使用防火毯，每日工完场清（不符合要求按比例扣除或进行考核）</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38F061">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C61FC2">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35,000.00</w:t>
            </w:r>
          </w:p>
        </w:tc>
      </w:tr>
      <w:tr w14:paraId="479E5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564" w:type="dxa"/>
            <w:gridSpan w:val="4"/>
            <w:tcBorders>
              <w:top w:val="single" w:color="000000" w:sz="4" w:space="0"/>
              <w:left w:val="single" w:color="000000" w:sz="4" w:space="0"/>
              <w:bottom w:val="nil"/>
              <w:right w:val="single" w:color="000000" w:sz="4" w:space="0"/>
            </w:tcBorders>
            <w:shd w:val="clear" w:color="auto" w:fill="D9E1F4"/>
            <w:noWrap/>
            <w:tcMar>
              <w:top w:w="10" w:type="dxa"/>
              <w:left w:w="10" w:type="dxa"/>
              <w:right w:w="10" w:type="dxa"/>
            </w:tcMar>
            <w:vAlign w:val="center"/>
          </w:tcPr>
          <w:p w14:paraId="4C6A7AFF">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特殊项目合计</w:t>
            </w:r>
          </w:p>
        </w:tc>
        <w:tc>
          <w:tcPr>
            <w:tcW w:w="1155" w:type="dxa"/>
            <w:tcBorders>
              <w:top w:val="single" w:color="000000" w:sz="4" w:space="0"/>
              <w:left w:val="single" w:color="000000" w:sz="4" w:space="0"/>
              <w:bottom w:val="nil"/>
              <w:right w:val="single" w:color="000000" w:sz="4" w:space="0"/>
            </w:tcBorders>
            <w:shd w:val="clear" w:color="auto" w:fill="D9E1F4"/>
            <w:noWrap/>
            <w:tcMar>
              <w:top w:w="10" w:type="dxa"/>
              <w:left w:w="10" w:type="dxa"/>
              <w:right w:w="10" w:type="dxa"/>
            </w:tcMar>
            <w:vAlign w:val="center"/>
          </w:tcPr>
          <w:p w14:paraId="67172C6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元/含税</w:t>
            </w:r>
          </w:p>
        </w:tc>
        <w:tc>
          <w:tcPr>
            <w:tcW w:w="1607" w:type="dxa"/>
            <w:tcBorders>
              <w:top w:val="single" w:color="000000" w:sz="4" w:space="0"/>
              <w:left w:val="single" w:color="000000" w:sz="4" w:space="0"/>
              <w:bottom w:val="single" w:color="000000" w:sz="4" w:space="0"/>
              <w:right w:val="single" w:color="000000" w:sz="4" w:space="0"/>
            </w:tcBorders>
            <w:shd w:val="clear" w:color="auto" w:fill="D9E1F4"/>
            <w:noWrap/>
            <w:tcMar>
              <w:top w:w="10" w:type="dxa"/>
              <w:left w:w="10" w:type="dxa"/>
              <w:right w:w="10" w:type="dxa"/>
            </w:tcMar>
            <w:vAlign w:val="center"/>
          </w:tcPr>
          <w:p w14:paraId="4E61F225">
            <w:pPr>
              <w:keepNext w:val="0"/>
              <w:keepLines w:val="0"/>
              <w:widowControl/>
              <w:suppressLineNumbers w:val="0"/>
              <w:spacing w:line="240" w:lineRule="auto"/>
              <w:jc w:val="center"/>
              <w:textAlignment w:val="center"/>
              <w:rPr>
                <w:rFonts w:hint="default" w:ascii="宋体" w:hAnsi="宋体" w:eastAsia="宋体" w:cs="宋体"/>
                <w:b/>
                <w:i w:val="0"/>
                <w:color w:val="auto"/>
                <w:sz w:val="21"/>
                <w:szCs w:val="21"/>
                <w:highlight w:val="none"/>
                <w:u w:val="none"/>
                <w:lang w:val="en-US" w:eastAsia="zh-CN"/>
              </w:rPr>
            </w:pPr>
            <w:r>
              <w:rPr>
                <w:rFonts w:hint="eastAsia" w:ascii="宋体" w:hAnsi="宋体" w:eastAsia="宋体" w:cs="宋体"/>
                <w:b/>
                <w:i w:val="0"/>
                <w:color w:val="auto"/>
                <w:sz w:val="21"/>
                <w:szCs w:val="21"/>
                <w:highlight w:val="none"/>
                <w:u w:val="none"/>
                <w:lang w:val="en-US" w:eastAsia="zh-CN"/>
              </w:rPr>
              <w:t>580,383.00</w:t>
            </w:r>
          </w:p>
        </w:tc>
      </w:tr>
      <w:tr w14:paraId="4E3C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8326" w:type="dxa"/>
            <w:gridSpan w:val="6"/>
            <w:tcBorders>
              <w:top w:val="single" w:color="000000" w:sz="4" w:space="0"/>
              <w:left w:val="single" w:color="000000" w:sz="4" w:space="0"/>
              <w:bottom w:val="single" w:color="000000" w:sz="4" w:space="0"/>
              <w:right w:val="single" w:color="000000" w:sz="4" w:space="0"/>
            </w:tcBorders>
            <w:shd w:val="clear" w:color="auto" w:fill="D9E1F4"/>
            <w:tcMar>
              <w:top w:w="10" w:type="dxa"/>
              <w:left w:w="10" w:type="dxa"/>
              <w:right w:w="10" w:type="dxa"/>
            </w:tcMar>
            <w:vAlign w:val="center"/>
          </w:tcPr>
          <w:p w14:paraId="62C304F1">
            <w:pPr>
              <w:keepNext w:val="0"/>
              <w:keepLines w:val="0"/>
              <w:widowControl/>
              <w:suppressLineNumbers w:val="0"/>
              <w:spacing w:line="240" w:lineRule="auto"/>
              <w:jc w:val="left"/>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注：因施工需要但表格中没有罗列出来的项目参照技改工程或相近单项综合单价进行结算。</w:t>
            </w:r>
          </w:p>
        </w:tc>
      </w:tr>
    </w:tbl>
    <w:p w14:paraId="5654FFD3">
      <w:pPr>
        <w:keepNext w:val="0"/>
        <w:keepLines w:val="0"/>
        <w:pageBreakBefore w:val="0"/>
        <w:widowControl/>
        <w:kinsoku/>
        <w:wordWrap/>
        <w:overflowPunct/>
        <w:topLinePunct w:val="0"/>
        <w:autoSpaceDE/>
        <w:autoSpaceDN/>
        <w:bidi w:val="0"/>
        <w:adjustRightInd w:val="0"/>
        <w:snapToGrid w:val="0"/>
        <w:ind w:firstLine="422"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b/>
          <w:bCs/>
          <w:color w:val="auto"/>
          <w:sz w:val="21"/>
          <w:szCs w:val="21"/>
          <w:highlight w:val="none"/>
          <w:lang w:val="zh-CN"/>
        </w:rPr>
        <w:t>（3）日常配合项目及</w:t>
      </w:r>
      <w:r>
        <w:rPr>
          <w:rFonts w:hint="eastAsia" w:ascii="宋体" w:hAnsi="宋体" w:eastAsia="宋体" w:cs="宋体"/>
          <w:b/>
          <w:i w:val="0"/>
          <w:color w:val="auto"/>
          <w:kern w:val="0"/>
          <w:sz w:val="21"/>
          <w:szCs w:val="21"/>
          <w:highlight w:val="none"/>
          <w:u w:val="none"/>
          <w:lang w:val="en-US" w:eastAsia="zh-CN" w:bidi="ar"/>
        </w:rPr>
        <w:t>综合单价</w:t>
      </w:r>
      <w:r>
        <w:rPr>
          <w:rFonts w:hint="eastAsia" w:ascii="宋体" w:hAnsi="宋体" w:cs="宋体"/>
          <w:b/>
          <w:i w:val="0"/>
          <w:color w:val="auto"/>
          <w:kern w:val="0"/>
          <w:sz w:val="21"/>
          <w:szCs w:val="21"/>
          <w:highlight w:val="none"/>
          <w:u w:val="none"/>
          <w:lang w:val="en-US" w:eastAsia="zh-CN" w:bidi="ar"/>
        </w:rPr>
        <w:t>包干</w:t>
      </w:r>
      <w:r>
        <w:rPr>
          <w:rFonts w:hint="eastAsia" w:ascii="宋体" w:hAnsi="宋体" w:eastAsia="宋体" w:cs="宋体"/>
          <w:b/>
          <w:bCs/>
          <w:color w:val="auto"/>
          <w:sz w:val="21"/>
          <w:szCs w:val="21"/>
          <w:highlight w:val="none"/>
          <w:lang w:val="zh-CN"/>
        </w:rPr>
        <w:t>价格：</w:t>
      </w:r>
      <w:bookmarkEnd w:id="36"/>
      <w:bookmarkEnd w:id="37"/>
    </w:p>
    <w:tbl>
      <w:tblPr>
        <w:tblStyle w:val="31"/>
        <w:tblW w:w="82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62"/>
        <w:gridCol w:w="1384"/>
        <w:gridCol w:w="3308"/>
        <w:gridCol w:w="1124"/>
        <w:gridCol w:w="1614"/>
      </w:tblGrid>
      <w:tr w14:paraId="44393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258A2C">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bookmarkStart w:id="38" w:name="_Toc16206"/>
            <w:bookmarkStart w:id="39" w:name="_Toc15974"/>
            <w:r>
              <w:rPr>
                <w:rFonts w:hint="eastAsia" w:ascii="宋体" w:hAnsi="宋体" w:eastAsia="宋体" w:cs="宋体"/>
                <w:b/>
                <w:i w:val="0"/>
                <w:color w:val="auto"/>
                <w:kern w:val="0"/>
                <w:sz w:val="21"/>
                <w:szCs w:val="21"/>
                <w:highlight w:val="none"/>
                <w:u w:val="none"/>
                <w:lang w:val="en-US" w:eastAsia="zh-CN" w:bidi="ar"/>
              </w:rPr>
              <w:t>序号</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590D1B">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系统名称</w:t>
            </w:r>
          </w:p>
        </w:tc>
        <w:tc>
          <w:tcPr>
            <w:tcW w:w="3308"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D3A6E7">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内容</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C44BE2">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单位</w:t>
            </w:r>
          </w:p>
        </w:tc>
        <w:tc>
          <w:tcPr>
            <w:tcW w:w="1614"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1FFD1E86">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日常配合项目单项价格（元）</w:t>
            </w:r>
          </w:p>
        </w:tc>
      </w:tr>
      <w:tr w14:paraId="6AAC0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1A564C">
            <w:pPr>
              <w:spacing w:line="240" w:lineRule="auto"/>
              <w:jc w:val="center"/>
              <w:rPr>
                <w:rFonts w:hint="eastAsia" w:ascii="宋体" w:hAnsi="宋体" w:eastAsia="宋体" w:cs="宋体"/>
                <w:b/>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C6FB82">
            <w:pPr>
              <w:spacing w:line="240" w:lineRule="auto"/>
              <w:jc w:val="center"/>
              <w:rPr>
                <w:rFonts w:hint="eastAsia" w:ascii="宋体" w:hAnsi="宋体" w:eastAsia="宋体" w:cs="宋体"/>
                <w:b/>
                <w:i w:val="0"/>
                <w:color w:val="auto"/>
                <w:sz w:val="21"/>
                <w:szCs w:val="21"/>
                <w:highlight w:val="none"/>
                <w:u w:val="none"/>
              </w:rPr>
            </w:pPr>
          </w:p>
        </w:tc>
        <w:tc>
          <w:tcPr>
            <w:tcW w:w="33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0D2A68">
            <w:pPr>
              <w:spacing w:line="240" w:lineRule="auto"/>
              <w:jc w:val="center"/>
              <w:rPr>
                <w:rFonts w:hint="eastAsia" w:ascii="宋体" w:hAnsi="宋体" w:eastAsia="宋体" w:cs="宋体"/>
                <w:b/>
                <w:i w:val="0"/>
                <w:color w:val="auto"/>
                <w:sz w:val="21"/>
                <w:szCs w:val="21"/>
                <w:highlight w:val="none"/>
                <w:u w:val="none"/>
              </w:rPr>
            </w:pP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F72B10">
            <w:pPr>
              <w:spacing w:line="240" w:lineRule="auto"/>
              <w:jc w:val="center"/>
              <w:rPr>
                <w:rFonts w:hint="eastAsia" w:ascii="宋体" w:hAnsi="宋体" w:eastAsia="宋体" w:cs="宋体"/>
                <w:b/>
                <w:i w:val="0"/>
                <w:color w:val="auto"/>
                <w:sz w:val="21"/>
                <w:szCs w:val="21"/>
                <w:highlight w:val="none"/>
                <w:u w:val="none"/>
              </w:rPr>
            </w:pPr>
          </w:p>
        </w:tc>
        <w:tc>
          <w:tcPr>
            <w:tcW w:w="1614" w:type="dxa"/>
            <w:vMerge w:val="restart"/>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14:paraId="67BED64A">
            <w:pPr>
              <w:keepNext w:val="0"/>
              <w:keepLines w:val="0"/>
              <w:widowControl/>
              <w:suppressLineNumbers w:val="0"/>
              <w:spacing w:line="240" w:lineRule="auto"/>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综合单价</w:t>
            </w:r>
            <w:r>
              <w:rPr>
                <w:rFonts w:hint="eastAsia" w:ascii="宋体" w:hAnsi="宋体" w:cs="宋体"/>
                <w:b/>
                <w:i w:val="0"/>
                <w:color w:val="auto"/>
                <w:kern w:val="0"/>
                <w:sz w:val="21"/>
                <w:szCs w:val="21"/>
                <w:highlight w:val="none"/>
                <w:u w:val="none"/>
                <w:lang w:val="en-US" w:eastAsia="zh-CN" w:bidi="ar"/>
              </w:rPr>
              <w:t>包干</w:t>
            </w:r>
          </w:p>
        </w:tc>
      </w:tr>
      <w:tr w14:paraId="57139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B5261F">
            <w:pPr>
              <w:spacing w:line="240" w:lineRule="auto"/>
              <w:jc w:val="center"/>
              <w:rPr>
                <w:rFonts w:hint="eastAsia" w:ascii="宋体" w:hAnsi="宋体" w:eastAsia="宋体" w:cs="宋体"/>
                <w:b/>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E0B3B5">
            <w:pPr>
              <w:spacing w:line="240" w:lineRule="auto"/>
              <w:jc w:val="center"/>
              <w:rPr>
                <w:rFonts w:hint="eastAsia" w:ascii="宋体" w:hAnsi="宋体" w:eastAsia="宋体" w:cs="宋体"/>
                <w:b/>
                <w:i w:val="0"/>
                <w:color w:val="auto"/>
                <w:sz w:val="21"/>
                <w:szCs w:val="21"/>
                <w:highlight w:val="none"/>
                <w:u w:val="none"/>
              </w:rPr>
            </w:pPr>
          </w:p>
        </w:tc>
        <w:tc>
          <w:tcPr>
            <w:tcW w:w="33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0C1262">
            <w:pPr>
              <w:spacing w:line="240" w:lineRule="auto"/>
              <w:jc w:val="center"/>
              <w:rPr>
                <w:rFonts w:hint="eastAsia" w:ascii="宋体" w:hAnsi="宋体" w:eastAsia="宋体" w:cs="宋体"/>
                <w:b/>
                <w:i w:val="0"/>
                <w:color w:val="auto"/>
                <w:sz w:val="21"/>
                <w:szCs w:val="21"/>
                <w:highlight w:val="none"/>
                <w:u w:val="none"/>
              </w:rPr>
            </w:pP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7792D">
            <w:pPr>
              <w:spacing w:line="240" w:lineRule="auto"/>
              <w:jc w:val="center"/>
              <w:rPr>
                <w:rFonts w:hint="eastAsia" w:ascii="宋体" w:hAnsi="宋体" w:eastAsia="宋体" w:cs="宋体"/>
                <w:b/>
                <w:i w:val="0"/>
                <w:color w:val="auto"/>
                <w:sz w:val="21"/>
                <w:szCs w:val="21"/>
                <w:highlight w:val="none"/>
                <w:u w:val="none"/>
              </w:rPr>
            </w:pPr>
          </w:p>
        </w:tc>
        <w:tc>
          <w:tcPr>
            <w:tcW w:w="1614" w:type="dxa"/>
            <w:vMerge w:val="continue"/>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14:paraId="4CD1E99F">
            <w:pPr>
              <w:spacing w:line="240" w:lineRule="auto"/>
              <w:jc w:val="center"/>
              <w:rPr>
                <w:rFonts w:hint="eastAsia" w:ascii="宋体" w:hAnsi="宋体" w:eastAsia="宋体" w:cs="宋体"/>
                <w:b/>
                <w:i w:val="0"/>
                <w:color w:val="auto"/>
                <w:sz w:val="21"/>
                <w:szCs w:val="21"/>
                <w:highlight w:val="none"/>
                <w:u w:val="none"/>
              </w:rPr>
            </w:pPr>
          </w:p>
        </w:tc>
      </w:tr>
      <w:tr w14:paraId="22A2E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D6927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D99C1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空气预热器</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FA0FD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内部清理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809F7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0242E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2,700.00</w:t>
            </w:r>
          </w:p>
        </w:tc>
      </w:tr>
      <w:tr w14:paraId="68E96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610F80">
            <w:pPr>
              <w:spacing w:line="240" w:lineRule="auto"/>
              <w:jc w:val="center"/>
              <w:rPr>
                <w:rFonts w:hint="eastAsia" w:ascii="宋体" w:hAnsi="宋体" w:eastAsia="宋体" w:cs="宋体"/>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6874A5">
            <w:pPr>
              <w:spacing w:line="240" w:lineRule="auto"/>
              <w:jc w:val="center"/>
              <w:rPr>
                <w:rFonts w:hint="eastAsia" w:ascii="宋体" w:hAnsi="宋体" w:eastAsia="宋体" w:cs="宋体"/>
                <w:i w:val="0"/>
                <w:color w:val="auto"/>
                <w:sz w:val="21"/>
                <w:szCs w:val="21"/>
                <w:highlight w:val="none"/>
                <w:u w:val="none"/>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406821">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漏点处理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755B0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4366C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675.00</w:t>
            </w:r>
          </w:p>
        </w:tc>
      </w:tr>
      <w:tr w14:paraId="1983D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6781F7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9645AF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出渣机</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48F4A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出渣机出口斜板清理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253DF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D1125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w:t>
            </w:r>
          </w:p>
        </w:tc>
      </w:tr>
      <w:tr w14:paraId="66E0C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65B24B">
            <w:pPr>
              <w:spacing w:line="240" w:lineRule="auto"/>
              <w:jc w:val="center"/>
              <w:rPr>
                <w:rFonts w:hint="eastAsia" w:ascii="宋体" w:hAnsi="宋体" w:eastAsia="宋体" w:cs="宋体"/>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F3CC12">
            <w:pPr>
              <w:spacing w:line="240" w:lineRule="auto"/>
              <w:jc w:val="center"/>
              <w:rPr>
                <w:rFonts w:hint="eastAsia" w:ascii="宋体" w:hAnsi="宋体" w:eastAsia="宋体" w:cs="宋体"/>
                <w:i w:val="0"/>
                <w:color w:val="auto"/>
                <w:sz w:val="21"/>
                <w:szCs w:val="21"/>
                <w:highlight w:val="none"/>
                <w:u w:val="none"/>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1AD361B">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渣库侧斜板挖机清理（需使用挖掘机）</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18BB1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55406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1,724.89</w:t>
            </w:r>
          </w:p>
        </w:tc>
      </w:tr>
      <w:tr w14:paraId="5790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08E80D5">
            <w:pPr>
              <w:spacing w:line="240" w:lineRule="auto"/>
              <w:jc w:val="center"/>
              <w:rPr>
                <w:rFonts w:hint="eastAsia" w:ascii="宋体" w:hAnsi="宋体" w:eastAsia="宋体" w:cs="宋体"/>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D229768">
            <w:pPr>
              <w:spacing w:line="240" w:lineRule="auto"/>
              <w:jc w:val="center"/>
              <w:rPr>
                <w:rFonts w:hint="eastAsia" w:ascii="宋体" w:hAnsi="宋体" w:eastAsia="宋体" w:cs="宋体"/>
                <w:i w:val="0"/>
                <w:color w:val="auto"/>
                <w:sz w:val="21"/>
                <w:szCs w:val="21"/>
                <w:highlight w:val="none"/>
                <w:u w:val="none"/>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0FA51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出渣机堵塞开人孔疏通清理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36716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FC473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w:t>
            </w:r>
          </w:p>
        </w:tc>
      </w:tr>
      <w:tr w14:paraId="06D58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06E8E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A75E91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风室</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3B5DE0B">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风室灰斗板结清理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699D0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个</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A3B3A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1,350.00</w:t>
            </w:r>
          </w:p>
        </w:tc>
      </w:tr>
      <w:tr w14:paraId="5DEDE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0E3C94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w:t>
            </w:r>
          </w:p>
        </w:tc>
        <w:tc>
          <w:tcPr>
            <w:tcW w:w="138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D7CB6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锅炉水平烟道灰斗</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7D352F">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水平烟道灰斗堵塞清理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8B4D8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个</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F0936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1,350.00</w:t>
            </w:r>
          </w:p>
        </w:tc>
      </w:tr>
      <w:tr w14:paraId="7DC8C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66F4E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F2589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一次风系统</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DAA3D0C">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一次风机消音器滤网清理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83054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D49E96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w:t>
            </w:r>
          </w:p>
        </w:tc>
      </w:tr>
      <w:tr w14:paraId="51271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58D3BB">
            <w:pPr>
              <w:spacing w:line="240" w:lineRule="auto"/>
              <w:jc w:val="center"/>
              <w:rPr>
                <w:rFonts w:hint="eastAsia" w:ascii="宋体" w:hAnsi="宋体" w:eastAsia="宋体" w:cs="宋体"/>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47EF94">
            <w:pPr>
              <w:spacing w:line="240" w:lineRule="auto"/>
              <w:jc w:val="center"/>
              <w:rPr>
                <w:rFonts w:hint="eastAsia" w:ascii="宋体" w:hAnsi="宋体" w:eastAsia="宋体" w:cs="宋体"/>
                <w:i w:val="0"/>
                <w:color w:val="auto"/>
                <w:sz w:val="21"/>
                <w:szCs w:val="21"/>
                <w:highlight w:val="none"/>
                <w:u w:val="none"/>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F651D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垃圾内一次风滤网清理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D9DAE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C7F04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w:t>
            </w:r>
          </w:p>
        </w:tc>
      </w:tr>
      <w:tr w14:paraId="253F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F8F74A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BADE4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余热锅炉</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D8314D">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水平烟道灰斗下灰管堵塞疏通</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7AFE3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D3B88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w:t>
            </w:r>
          </w:p>
        </w:tc>
      </w:tr>
      <w:tr w14:paraId="7E0CF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89DF6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68A2A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焚烧炉</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F8088D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风室灰斗下灰管堵塞疏通</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F89B2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27A73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w:t>
            </w:r>
          </w:p>
        </w:tc>
      </w:tr>
      <w:tr w14:paraId="4D388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1FA1D4">
            <w:pPr>
              <w:spacing w:line="240" w:lineRule="auto"/>
              <w:jc w:val="center"/>
              <w:rPr>
                <w:rFonts w:hint="eastAsia" w:ascii="宋体" w:hAnsi="宋体" w:eastAsia="宋体" w:cs="宋体"/>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BC09ABA">
            <w:pPr>
              <w:spacing w:line="240" w:lineRule="auto"/>
              <w:jc w:val="center"/>
              <w:rPr>
                <w:rFonts w:hint="eastAsia" w:ascii="宋体" w:hAnsi="宋体" w:eastAsia="宋体" w:cs="宋体"/>
                <w:i w:val="0"/>
                <w:color w:val="auto"/>
                <w:sz w:val="21"/>
                <w:szCs w:val="21"/>
                <w:highlight w:val="none"/>
                <w:u w:val="none"/>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43F7C01">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推料器下渗滤液母管疏通</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48FD8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8B709C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w:t>
            </w:r>
          </w:p>
        </w:tc>
      </w:tr>
      <w:tr w14:paraId="7AB3B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0CFAF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16BA9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 xml:space="preserve"> 石灰浆制备</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09FC3B3">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制备罐内沉积物清理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FC79C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3EA974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2,250.00</w:t>
            </w:r>
          </w:p>
        </w:tc>
      </w:tr>
      <w:tr w14:paraId="14E9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9B0830A">
            <w:pPr>
              <w:spacing w:line="240" w:lineRule="auto"/>
              <w:jc w:val="center"/>
              <w:rPr>
                <w:rFonts w:hint="eastAsia" w:ascii="宋体" w:hAnsi="宋体" w:eastAsia="宋体" w:cs="宋体"/>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20A97D">
            <w:pPr>
              <w:spacing w:line="240" w:lineRule="auto"/>
              <w:jc w:val="center"/>
              <w:rPr>
                <w:rFonts w:hint="eastAsia" w:ascii="宋体" w:hAnsi="宋体" w:eastAsia="宋体" w:cs="宋体"/>
                <w:i w:val="0"/>
                <w:color w:val="auto"/>
                <w:sz w:val="21"/>
                <w:szCs w:val="21"/>
                <w:highlight w:val="none"/>
                <w:u w:val="none"/>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0697B6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储存罐内沉积物清理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413A5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6B1767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2,700.00</w:t>
            </w:r>
          </w:p>
        </w:tc>
      </w:tr>
      <w:tr w14:paraId="0DA54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3E1B7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D0F66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除尘器灰斗</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5C50179">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除尘器灰斗堵灰处理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12AD5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个</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ACD813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w:t>
            </w:r>
          </w:p>
        </w:tc>
      </w:tr>
      <w:tr w14:paraId="296FA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B9EBB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882CAD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石灰浆系统</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C885547">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反应塔顶进石灰浆雾化器支路管道堵塞清理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65CF3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946E15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w:t>
            </w:r>
          </w:p>
        </w:tc>
      </w:tr>
      <w:tr w14:paraId="2AA5F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864FF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11</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570FE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卸料平台</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87DCB18">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配合工业垃圾卸料（约30吨/车）</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ECBD8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车</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A2A2B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w:t>
            </w:r>
          </w:p>
        </w:tc>
      </w:tr>
      <w:tr w14:paraId="12BF4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F5A160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12</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BA0FD4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渗滤液</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09C181">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超滤膜污堵，人工通膜</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AB0C6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1283E9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w:t>
            </w:r>
          </w:p>
        </w:tc>
      </w:tr>
      <w:tr w14:paraId="53B04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954E1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13</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9B33A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垃圾库27.5米平台</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54F83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污泥及垃圾清理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6A63C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次</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BED45D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1,800.00</w:t>
            </w:r>
          </w:p>
        </w:tc>
      </w:tr>
      <w:tr w14:paraId="0576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E4C045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14</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0524D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锅炉、汽水取样间</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03C271">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取样管、加药管查漏、焊接、包保温</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49FAB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次</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C91A5E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w:t>
            </w:r>
          </w:p>
        </w:tc>
      </w:tr>
      <w:tr w14:paraId="42C71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DC8E36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15</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AB676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垃圾吊、渣吊</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AFC81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更换抓斗电缆</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B25B1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D68826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450.00</w:t>
            </w:r>
          </w:p>
        </w:tc>
      </w:tr>
      <w:tr w14:paraId="69BF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E33DEA">
            <w:pPr>
              <w:spacing w:line="240" w:lineRule="auto"/>
              <w:jc w:val="center"/>
              <w:rPr>
                <w:rFonts w:hint="eastAsia" w:ascii="宋体" w:hAnsi="宋体" w:eastAsia="宋体" w:cs="宋体"/>
                <w:i w:val="0"/>
                <w:color w:val="auto"/>
                <w:sz w:val="21"/>
                <w:szCs w:val="21"/>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0F8CF83">
            <w:pPr>
              <w:spacing w:line="240" w:lineRule="auto"/>
              <w:jc w:val="center"/>
              <w:rPr>
                <w:rFonts w:hint="eastAsia" w:ascii="宋体" w:hAnsi="宋体" w:eastAsia="宋体" w:cs="宋体"/>
                <w:i w:val="0"/>
                <w:color w:val="auto"/>
                <w:sz w:val="21"/>
                <w:szCs w:val="21"/>
                <w:highlight w:val="none"/>
                <w:u w:val="none"/>
              </w:rPr>
            </w:pP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8434C1D">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更换电缆滑车轮</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2149F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470C09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900.00</w:t>
            </w:r>
          </w:p>
        </w:tc>
      </w:tr>
      <w:tr w14:paraId="4B59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C43585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16</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36F9C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烟气</w:t>
            </w:r>
          </w:p>
        </w:tc>
        <w:tc>
          <w:tcPr>
            <w:tcW w:w="330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D89FD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刮板机电加热器更换（含保温恢复）</w:t>
            </w:r>
          </w:p>
        </w:tc>
        <w:tc>
          <w:tcPr>
            <w:tcW w:w="1124"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A1C6F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台</w:t>
            </w:r>
          </w:p>
        </w:tc>
        <w:tc>
          <w:tcPr>
            <w:tcW w:w="1614" w:type="dxa"/>
            <w:tcBorders>
              <w:top w:val="single" w:color="000000" w:sz="4" w:space="0"/>
              <w:left w:val="single" w:color="auto" w:sz="4" w:space="0"/>
              <w:bottom w:val="single" w:color="000000" w:sz="4" w:space="0"/>
              <w:right w:val="single" w:color="000000" w:sz="4" w:space="0"/>
            </w:tcBorders>
            <w:shd w:val="clear" w:color="auto" w:fill="auto"/>
            <w:noWrap/>
            <w:tcMar>
              <w:top w:w="10" w:type="dxa"/>
              <w:left w:w="10" w:type="dxa"/>
              <w:right w:w="10" w:type="dxa"/>
            </w:tcMar>
            <w:vAlign w:val="center"/>
          </w:tcPr>
          <w:p w14:paraId="290A9EE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iCs w:val="0"/>
                <w:color w:val="auto"/>
                <w:kern w:val="0"/>
                <w:sz w:val="22"/>
                <w:szCs w:val="22"/>
                <w:highlight w:val="none"/>
                <w:u w:val="none"/>
                <w:lang w:val="en-US" w:eastAsia="zh-CN" w:bidi="ar"/>
              </w:rPr>
              <w:t>2,700.00</w:t>
            </w:r>
          </w:p>
        </w:tc>
      </w:tr>
      <w:tr w14:paraId="77842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555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9922DA">
            <w:pPr>
              <w:spacing w:line="240" w:lineRule="auto"/>
              <w:jc w:val="center"/>
              <w:rPr>
                <w:rFonts w:hint="eastAsia" w:ascii="宋体" w:hAnsi="宋体" w:eastAsia="宋体" w:cs="宋体"/>
                <w:i w:val="0"/>
                <w:color w:val="auto"/>
                <w:sz w:val="21"/>
                <w:szCs w:val="21"/>
                <w:highlight w:val="none"/>
                <w:u w:val="none"/>
              </w:rPr>
            </w:pPr>
          </w:p>
        </w:tc>
        <w:tc>
          <w:tcPr>
            <w:tcW w:w="1124" w:type="dxa"/>
            <w:tcBorders>
              <w:top w:val="single" w:color="000000" w:sz="4" w:space="0"/>
              <w:left w:val="single" w:color="000000" w:sz="4" w:space="0"/>
              <w:bottom w:val="single" w:color="000000" w:sz="4" w:space="0"/>
              <w:right w:val="single" w:color="auto" w:sz="4" w:space="0"/>
            </w:tcBorders>
            <w:shd w:val="clear" w:color="auto" w:fill="auto"/>
            <w:noWrap/>
            <w:tcMar>
              <w:top w:w="10" w:type="dxa"/>
              <w:left w:w="10" w:type="dxa"/>
              <w:right w:w="10" w:type="dxa"/>
            </w:tcMar>
            <w:vAlign w:val="center"/>
          </w:tcPr>
          <w:p w14:paraId="089617E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单价合计</w:t>
            </w:r>
          </w:p>
        </w:tc>
        <w:tc>
          <w:tcPr>
            <w:tcW w:w="1614" w:type="dxa"/>
            <w:tcBorders>
              <w:top w:val="single" w:color="000000" w:sz="4" w:space="0"/>
              <w:left w:val="single" w:color="auto" w:sz="4" w:space="0"/>
              <w:bottom w:val="single" w:color="000000" w:sz="4" w:space="0"/>
              <w:right w:val="single" w:color="000000" w:sz="4" w:space="0"/>
            </w:tcBorders>
            <w:shd w:val="clear" w:color="auto" w:fill="auto"/>
            <w:noWrap/>
            <w:tcMar>
              <w:top w:w="10" w:type="dxa"/>
              <w:left w:w="10" w:type="dxa"/>
              <w:right w:w="10" w:type="dxa"/>
            </w:tcMar>
            <w:vAlign w:val="center"/>
          </w:tcPr>
          <w:p w14:paraId="6BC175B5">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26,699.89</w:t>
            </w:r>
          </w:p>
        </w:tc>
      </w:tr>
    </w:tbl>
    <w:p w14:paraId="076AABB8">
      <w:pPr>
        <w:rPr>
          <w:rFonts w:hint="eastAsia" w:ascii="宋体" w:hAnsi="宋体" w:eastAsia="宋体" w:cs="宋体"/>
          <w:b/>
          <w:bCs/>
          <w:color w:val="auto"/>
          <w:kern w:val="44"/>
          <w:sz w:val="21"/>
          <w:szCs w:val="21"/>
          <w:highlight w:val="none"/>
          <w:lang w:val="zh-CN"/>
        </w:rPr>
      </w:pPr>
    </w:p>
    <w:p w14:paraId="4EB5BB93">
      <w:pPr>
        <w:bidi w:val="0"/>
        <w:rPr>
          <w:rFonts w:hint="eastAsia" w:ascii="宋体" w:hAnsi="宋体" w:eastAsia="宋体" w:cs="宋体"/>
          <w:b/>
          <w:bCs/>
          <w:color w:val="auto"/>
          <w:kern w:val="44"/>
          <w:sz w:val="21"/>
          <w:szCs w:val="21"/>
          <w:highlight w:val="none"/>
          <w:lang w:val="zh-CN"/>
        </w:rPr>
      </w:pPr>
      <w:r>
        <w:rPr>
          <w:rFonts w:hint="eastAsia" w:ascii="宋体" w:hAnsi="宋体" w:eastAsia="宋体" w:cs="宋体"/>
          <w:b/>
          <w:bCs/>
          <w:color w:val="auto"/>
          <w:kern w:val="44"/>
          <w:sz w:val="21"/>
          <w:szCs w:val="21"/>
          <w:highlight w:val="none"/>
          <w:lang w:val="zh-CN"/>
        </w:rPr>
        <w:t>（4）小型技改工作分类（</w:t>
      </w:r>
      <w:r>
        <w:rPr>
          <w:rFonts w:hint="eastAsia" w:ascii="宋体" w:hAnsi="宋体" w:eastAsia="宋体" w:cs="宋体"/>
          <w:b/>
          <w:bCs/>
          <w:color w:val="auto"/>
          <w:kern w:val="44"/>
          <w:sz w:val="21"/>
          <w:szCs w:val="21"/>
          <w:highlight w:val="none"/>
          <w:lang w:val="en-US" w:eastAsia="zh-CN"/>
        </w:rPr>
        <w:t>外判</w:t>
      </w:r>
      <w:r>
        <w:rPr>
          <w:rFonts w:hint="eastAsia" w:ascii="宋体" w:hAnsi="宋体" w:eastAsia="宋体" w:cs="宋体"/>
          <w:b/>
          <w:bCs/>
          <w:color w:val="auto"/>
          <w:kern w:val="44"/>
          <w:sz w:val="21"/>
          <w:szCs w:val="21"/>
          <w:highlight w:val="none"/>
          <w:lang w:val="zh-CN"/>
        </w:rPr>
        <w:t>）及综合单价（</w:t>
      </w:r>
      <w:r>
        <w:rPr>
          <w:rFonts w:hint="eastAsia" w:ascii="宋体" w:hAnsi="宋体" w:eastAsia="宋体" w:cs="宋体"/>
          <w:b/>
          <w:bCs/>
          <w:color w:val="auto"/>
          <w:kern w:val="44"/>
          <w:sz w:val="21"/>
          <w:szCs w:val="21"/>
          <w:highlight w:val="none"/>
          <w:lang w:val="en-US" w:eastAsia="zh-CN"/>
        </w:rPr>
        <w:t>按实际发生量结算</w:t>
      </w:r>
      <w:r>
        <w:rPr>
          <w:rFonts w:hint="eastAsia" w:ascii="宋体" w:hAnsi="宋体" w:eastAsia="宋体" w:cs="宋体"/>
          <w:b/>
          <w:bCs/>
          <w:color w:val="auto"/>
          <w:kern w:val="44"/>
          <w:sz w:val="21"/>
          <w:szCs w:val="21"/>
          <w:highlight w:val="none"/>
          <w:lang w:val="zh-CN"/>
        </w:rPr>
        <w:t>）</w:t>
      </w:r>
      <w:bookmarkEnd w:id="38"/>
      <w:bookmarkEnd w:id="39"/>
    </w:p>
    <w:tbl>
      <w:tblPr>
        <w:tblStyle w:val="31"/>
        <w:tblW w:w="8334" w:type="dxa"/>
        <w:tblInd w:w="0" w:type="dxa"/>
        <w:tblLayout w:type="fixed"/>
        <w:tblCellMar>
          <w:top w:w="15" w:type="dxa"/>
          <w:left w:w="15" w:type="dxa"/>
          <w:bottom w:w="15" w:type="dxa"/>
          <w:right w:w="15" w:type="dxa"/>
        </w:tblCellMar>
      </w:tblPr>
      <w:tblGrid>
        <w:gridCol w:w="3116"/>
        <w:gridCol w:w="5218"/>
      </w:tblGrid>
      <w:tr w14:paraId="636738AB">
        <w:trPr>
          <w:trHeight w:val="2142" w:hRule="atLeast"/>
        </w:trPr>
        <w:tc>
          <w:tcPr>
            <w:tcW w:w="3116" w:type="dxa"/>
            <w:tcBorders>
              <w:top w:val="single" w:color="auto" w:sz="4" w:space="0"/>
              <w:left w:val="single" w:color="auto" w:sz="4" w:space="0"/>
              <w:bottom w:val="single" w:color="auto" w:sz="4" w:space="0"/>
              <w:right w:val="single" w:color="auto" w:sz="4" w:space="0"/>
            </w:tcBorders>
            <w:noWrap w:val="0"/>
            <w:vAlign w:val="center"/>
          </w:tcPr>
          <w:p w14:paraId="6493ABA3">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Ⅰ类： 一般作业用工（</w:t>
            </w:r>
            <w:r>
              <w:rPr>
                <w:rFonts w:hint="eastAsia" w:ascii="宋体" w:hAnsi="宋体" w:cs="宋体"/>
                <w:color w:val="auto"/>
                <w:kern w:val="0"/>
                <w:sz w:val="21"/>
                <w:szCs w:val="21"/>
                <w:highlight w:val="none"/>
                <w:lang w:val="en-US" w:eastAsia="zh-CN" w:bidi="ar"/>
              </w:rPr>
              <w:t>450</w:t>
            </w:r>
            <w:r>
              <w:rPr>
                <w:rFonts w:hint="eastAsia" w:ascii="宋体" w:hAnsi="宋体" w:eastAsia="宋体" w:cs="宋体"/>
                <w:color w:val="auto"/>
                <w:kern w:val="0"/>
                <w:sz w:val="21"/>
                <w:szCs w:val="21"/>
                <w:highlight w:val="none"/>
                <w:lang w:bidi="ar"/>
              </w:rPr>
              <w:t>元/工日）</w:t>
            </w:r>
          </w:p>
        </w:tc>
        <w:tc>
          <w:tcPr>
            <w:tcW w:w="5218" w:type="dxa"/>
            <w:tcBorders>
              <w:top w:val="single" w:color="auto" w:sz="4" w:space="0"/>
              <w:left w:val="single" w:color="auto" w:sz="4" w:space="0"/>
              <w:bottom w:val="single" w:color="auto" w:sz="4" w:space="0"/>
              <w:right w:val="single" w:color="auto" w:sz="4" w:space="0"/>
            </w:tcBorders>
            <w:noWrap w:val="0"/>
            <w:vAlign w:val="center"/>
          </w:tcPr>
          <w:p w14:paraId="048C73CD">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包含且不限于非标器件的预制（包含下料，拼装，焊接），检修现场大件检修物料清理转运（含受限空间），设备检修工作中不在常规/特殊项范畴内的辅助用工；受热面压力管道及附属仪表接口、法兰焊接另以高压焊接作业用工单价核算。</w:t>
            </w:r>
          </w:p>
        </w:tc>
      </w:tr>
      <w:tr w14:paraId="287DC91D">
        <w:tblPrEx>
          <w:tblCellMar>
            <w:top w:w="15" w:type="dxa"/>
            <w:left w:w="15" w:type="dxa"/>
            <w:bottom w:w="15" w:type="dxa"/>
            <w:right w:w="15" w:type="dxa"/>
          </w:tblCellMar>
        </w:tblPrEx>
        <w:trPr>
          <w:trHeight w:val="1206" w:hRule="atLeast"/>
        </w:trPr>
        <w:tc>
          <w:tcPr>
            <w:tcW w:w="3116" w:type="dxa"/>
            <w:tcBorders>
              <w:top w:val="single" w:color="auto" w:sz="4" w:space="0"/>
              <w:left w:val="single" w:color="auto" w:sz="4" w:space="0"/>
              <w:bottom w:val="single" w:color="auto" w:sz="4" w:space="0"/>
              <w:right w:val="single" w:color="auto" w:sz="4" w:space="0"/>
            </w:tcBorders>
            <w:noWrap w:val="0"/>
            <w:vAlign w:val="center"/>
          </w:tcPr>
          <w:p w14:paraId="6E235010">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Ⅱ类：高压焊接及蜘蛛人高空作业用工（</w:t>
            </w:r>
            <w:r>
              <w:rPr>
                <w:rFonts w:hint="eastAsia" w:ascii="宋体" w:hAnsi="宋体" w:cs="宋体"/>
                <w:color w:val="auto"/>
                <w:kern w:val="0"/>
                <w:sz w:val="21"/>
                <w:szCs w:val="21"/>
                <w:highlight w:val="none"/>
                <w:lang w:val="en-US" w:eastAsia="zh-CN" w:bidi="ar"/>
              </w:rPr>
              <w:t>850</w:t>
            </w:r>
            <w:r>
              <w:rPr>
                <w:rFonts w:hint="eastAsia" w:ascii="宋体" w:hAnsi="宋体" w:eastAsia="宋体" w:cs="宋体"/>
                <w:color w:val="auto"/>
                <w:kern w:val="0"/>
                <w:sz w:val="21"/>
                <w:szCs w:val="21"/>
                <w:highlight w:val="none"/>
                <w:lang w:bidi="ar"/>
              </w:rPr>
              <w:t>元/工日）</w:t>
            </w:r>
          </w:p>
        </w:tc>
        <w:tc>
          <w:tcPr>
            <w:tcW w:w="5218" w:type="dxa"/>
            <w:tcBorders>
              <w:top w:val="single" w:color="auto" w:sz="4" w:space="0"/>
              <w:left w:val="single" w:color="auto" w:sz="4" w:space="0"/>
              <w:bottom w:val="single" w:color="auto" w:sz="4" w:space="0"/>
              <w:right w:val="single" w:color="auto" w:sz="4" w:space="0"/>
            </w:tcBorders>
            <w:noWrap w:val="0"/>
            <w:vAlign w:val="center"/>
          </w:tcPr>
          <w:p w14:paraId="63E0B9F7">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除常规/特殊项目检修工作以外的锅炉受热面管道容器管口、封头，附属仪表接口、法兰的焊接、蜘蛛人高空                                                                                                                                                                                                                                                                                                                                                                                                                                                                                                                                                                                                                                                                                                                                   作业用工，焊接工序过程中的其他人工以一般作业用工核算</w:t>
            </w:r>
            <w:r>
              <w:rPr>
                <w:rFonts w:hint="eastAsia" w:ascii="宋体" w:hAnsi="宋体" w:eastAsia="宋体" w:cs="宋体"/>
                <w:color w:val="auto"/>
                <w:kern w:val="0"/>
                <w:sz w:val="21"/>
                <w:szCs w:val="21"/>
                <w:highlight w:val="none"/>
                <w:lang w:eastAsia="zh-CN" w:bidi="ar"/>
              </w:rPr>
              <w:t>。</w:t>
            </w:r>
          </w:p>
        </w:tc>
      </w:tr>
    </w:tbl>
    <w:p w14:paraId="48C2E4C7">
      <w:pPr>
        <w:bidi w:val="0"/>
        <w:rPr>
          <w:rFonts w:hint="eastAsia" w:ascii="宋体" w:hAnsi="宋体" w:eastAsia="宋体" w:cs="宋体"/>
          <w:b/>
          <w:bCs/>
          <w:color w:val="auto"/>
          <w:kern w:val="44"/>
          <w:sz w:val="21"/>
          <w:szCs w:val="21"/>
          <w:highlight w:val="none"/>
          <w:lang w:val="zh-CN"/>
        </w:rPr>
      </w:pPr>
      <w:bookmarkStart w:id="40" w:name="_Toc2493"/>
      <w:bookmarkStart w:id="41" w:name="_Toc26409"/>
      <w:r>
        <w:rPr>
          <w:rFonts w:hint="eastAsia" w:ascii="宋体" w:hAnsi="宋体" w:eastAsia="宋体" w:cs="宋体"/>
          <w:b/>
          <w:bCs/>
          <w:color w:val="auto"/>
          <w:kern w:val="44"/>
          <w:sz w:val="21"/>
          <w:szCs w:val="21"/>
          <w:highlight w:val="none"/>
          <w:lang w:val="zh-CN"/>
        </w:rPr>
        <w:t>（5）</w:t>
      </w:r>
      <w:r>
        <w:rPr>
          <w:rFonts w:hint="eastAsia" w:ascii="宋体" w:hAnsi="宋体" w:eastAsia="宋体" w:cs="宋体"/>
          <w:b/>
          <w:bCs/>
          <w:color w:val="auto"/>
          <w:kern w:val="44"/>
          <w:sz w:val="21"/>
          <w:szCs w:val="21"/>
          <w:highlight w:val="none"/>
          <w:lang w:val="en-US" w:eastAsia="zh-CN"/>
        </w:rPr>
        <w:t>各系统配套电气热工仪表类施工（外判）综合单价</w:t>
      </w:r>
      <w:r>
        <w:rPr>
          <w:rFonts w:hint="eastAsia" w:ascii="宋体" w:hAnsi="宋体" w:eastAsia="宋体" w:cs="宋体"/>
          <w:b/>
          <w:bCs/>
          <w:color w:val="auto"/>
          <w:kern w:val="44"/>
          <w:sz w:val="21"/>
          <w:szCs w:val="21"/>
          <w:highlight w:val="none"/>
          <w:lang w:val="zh-CN"/>
        </w:rPr>
        <w:t>（</w:t>
      </w:r>
      <w:r>
        <w:rPr>
          <w:rFonts w:hint="eastAsia" w:ascii="宋体" w:hAnsi="宋体" w:eastAsia="宋体" w:cs="宋体"/>
          <w:b/>
          <w:bCs/>
          <w:color w:val="auto"/>
          <w:kern w:val="44"/>
          <w:sz w:val="21"/>
          <w:szCs w:val="21"/>
          <w:highlight w:val="none"/>
          <w:lang w:val="en-US" w:eastAsia="zh-CN"/>
        </w:rPr>
        <w:t>按实际发生量结算</w:t>
      </w:r>
      <w:r>
        <w:rPr>
          <w:rFonts w:hint="eastAsia" w:ascii="宋体" w:hAnsi="宋体" w:eastAsia="宋体" w:cs="宋体"/>
          <w:b/>
          <w:bCs/>
          <w:color w:val="auto"/>
          <w:kern w:val="44"/>
          <w:sz w:val="21"/>
          <w:szCs w:val="21"/>
          <w:highlight w:val="none"/>
          <w:lang w:val="zh-CN"/>
        </w:rPr>
        <w:t>）</w:t>
      </w:r>
      <w:bookmarkEnd w:id="40"/>
      <w:bookmarkEnd w:id="41"/>
    </w:p>
    <w:tbl>
      <w:tblPr>
        <w:tblStyle w:val="31"/>
        <w:tblW w:w="8334" w:type="dxa"/>
        <w:tblInd w:w="0" w:type="dxa"/>
        <w:tblLayout w:type="fixed"/>
        <w:tblCellMar>
          <w:top w:w="15" w:type="dxa"/>
          <w:left w:w="15" w:type="dxa"/>
          <w:bottom w:w="15" w:type="dxa"/>
          <w:right w:w="15" w:type="dxa"/>
        </w:tblCellMar>
      </w:tblPr>
      <w:tblGrid>
        <w:gridCol w:w="3116"/>
        <w:gridCol w:w="5218"/>
      </w:tblGrid>
      <w:tr w14:paraId="6EFCF4BD">
        <w:tblPrEx>
          <w:tblCellMar>
            <w:top w:w="15" w:type="dxa"/>
            <w:left w:w="15" w:type="dxa"/>
            <w:bottom w:w="15" w:type="dxa"/>
            <w:right w:w="15" w:type="dxa"/>
          </w:tblCellMar>
        </w:tblPrEx>
        <w:trPr>
          <w:trHeight w:val="1714" w:hRule="atLeast"/>
        </w:trPr>
        <w:tc>
          <w:tcPr>
            <w:tcW w:w="3116" w:type="dxa"/>
            <w:tcBorders>
              <w:top w:val="single" w:color="auto" w:sz="4" w:space="0"/>
              <w:left w:val="single" w:color="auto" w:sz="4" w:space="0"/>
              <w:bottom w:val="single" w:color="auto" w:sz="4" w:space="0"/>
              <w:right w:val="single" w:color="auto" w:sz="4" w:space="0"/>
            </w:tcBorders>
            <w:noWrap w:val="0"/>
            <w:vAlign w:val="center"/>
          </w:tcPr>
          <w:p w14:paraId="25B2014B">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Ⅲ</w:t>
            </w:r>
            <w:r>
              <w:rPr>
                <w:rFonts w:hint="eastAsia" w:ascii="宋体" w:hAnsi="宋体" w:eastAsia="宋体" w:cs="宋体"/>
                <w:color w:val="auto"/>
                <w:kern w:val="0"/>
                <w:sz w:val="21"/>
                <w:szCs w:val="21"/>
                <w:highlight w:val="none"/>
                <w:lang w:bidi="ar"/>
              </w:rPr>
              <w:t>类：</w:t>
            </w:r>
            <w:r>
              <w:rPr>
                <w:rFonts w:hint="eastAsia" w:ascii="宋体" w:hAnsi="宋体" w:eastAsia="宋体" w:cs="宋体"/>
                <w:color w:val="auto"/>
                <w:kern w:val="0"/>
                <w:sz w:val="21"/>
                <w:szCs w:val="21"/>
                <w:highlight w:val="none"/>
                <w:lang w:val="en-US" w:eastAsia="zh-CN" w:bidi="ar"/>
              </w:rPr>
              <w:t>持证电工</w:t>
            </w:r>
            <w:r>
              <w:rPr>
                <w:rFonts w:hint="eastAsia" w:ascii="宋体" w:hAnsi="宋体" w:eastAsia="宋体" w:cs="宋体"/>
                <w:color w:val="auto"/>
                <w:kern w:val="0"/>
                <w:sz w:val="21"/>
                <w:szCs w:val="21"/>
                <w:highlight w:val="none"/>
                <w:lang w:bidi="ar"/>
              </w:rPr>
              <w:t>（</w:t>
            </w:r>
            <w:r>
              <w:rPr>
                <w:rFonts w:hint="eastAsia" w:ascii="宋体" w:hAnsi="宋体" w:cs="宋体"/>
                <w:color w:val="auto"/>
                <w:kern w:val="0"/>
                <w:sz w:val="21"/>
                <w:szCs w:val="21"/>
                <w:highlight w:val="none"/>
                <w:lang w:val="en-US" w:eastAsia="zh-CN" w:bidi="ar"/>
              </w:rPr>
              <w:t>477.58</w:t>
            </w:r>
            <w:r>
              <w:rPr>
                <w:rFonts w:hint="eastAsia" w:ascii="宋体" w:hAnsi="宋体" w:eastAsia="宋体" w:cs="宋体"/>
                <w:color w:val="auto"/>
                <w:kern w:val="0"/>
                <w:sz w:val="21"/>
                <w:szCs w:val="21"/>
                <w:highlight w:val="none"/>
                <w:lang w:bidi="ar"/>
              </w:rPr>
              <w:t>元/工日）</w:t>
            </w:r>
          </w:p>
        </w:tc>
        <w:tc>
          <w:tcPr>
            <w:tcW w:w="5218" w:type="dxa"/>
            <w:tcBorders>
              <w:top w:val="single" w:color="auto" w:sz="4" w:space="0"/>
              <w:left w:val="single" w:color="auto" w:sz="4" w:space="0"/>
              <w:bottom w:val="single" w:color="auto" w:sz="4" w:space="0"/>
              <w:right w:val="single" w:color="auto" w:sz="4" w:space="0"/>
            </w:tcBorders>
            <w:noWrap w:val="0"/>
            <w:vAlign w:val="center"/>
          </w:tcPr>
          <w:p w14:paraId="314C2DD4">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包含且不限于</w:t>
            </w:r>
            <w:r>
              <w:rPr>
                <w:rFonts w:hint="eastAsia" w:ascii="宋体" w:hAnsi="宋体" w:eastAsia="宋体" w:cs="宋体"/>
                <w:color w:val="auto"/>
                <w:kern w:val="0"/>
                <w:sz w:val="21"/>
                <w:szCs w:val="21"/>
                <w:highlight w:val="none"/>
                <w:lang w:val="en-US" w:eastAsia="zh-CN" w:bidi="ar"/>
              </w:rPr>
              <w:t>锅炉系统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尾气系统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汽轮发电机系统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水处理系统及公用辅机系统中电气和热工仪表专业的施工作业范畴（如电缆敷设</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电仪设备搬运</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电仪设备及线路拆装</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设备清洁等），包</w:t>
            </w:r>
            <w:r>
              <w:rPr>
                <w:rFonts w:hint="eastAsia" w:ascii="宋体" w:hAnsi="宋体" w:eastAsia="宋体" w:cs="宋体"/>
                <w:color w:val="auto"/>
                <w:kern w:val="0"/>
                <w:sz w:val="21"/>
                <w:szCs w:val="21"/>
                <w:highlight w:val="none"/>
                <w:lang w:bidi="ar"/>
              </w:rPr>
              <w:t>含受限空间、</w:t>
            </w:r>
            <w:r>
              <w:rPr>
                <w:rFonts w:hint="eastAsia" w:ascii="宋体" w:hAnsi="宋体" w:eastAsia="宋体" w:cs="宋体"/>
                <w:color w:val="auto"/>
                <w:kern w:val="0"/>
                <w:sz w:val="21"/>
                <w:szCs w:val="21"/>
                <w:highlight w:val="none"/>
                <w:lang w:val="en-US" w:eastAsia="zh-CN" w:bidi="ar"/>
              </w:rPr>
              <w:t>高空等区域作业等</w:t>
            </w:r>
            <w:r>
              <w:rPr>
                <w:rFonts w:hint="eastAsia" w:ascii="宋体" w:hAnsi="宋体" w:eastAsia="宋体" w:cs="宋体"/>
                <w:color w:val="auto"/>
                <w:kern w:val="0"/>
                <w:sz w:val="21"/>
                <w:szCs w:val="21"/>
                <w:highlight w:val="none"/>
                <w:lang w:bidi="ar"/>
              </w:rPr>
              <w:t>。</w:t>
            </w:r>
          </w:p>
        </w:tc>
      </w:tr>
    </w:tbl>
    <w:p w14:paraId="24623090">
      <w:pPr>
        <w:bidi w:val="0"/>
        <w:rPr>
          <w:rFonts w:hint="eastAsia" w:ascii="宋体" w:hAnsi="宋体" w:eastAsia="宋体" w:cs="宋体"/>
          <w:b/>
          <w:bCs/>
          <w:color w:val="auto"/>
          <w:kern w:val="44"/>
          <w:sz w:val="21"/>
          <w:szCs w:val="21"/>
          <w:highlight w:val="none"/>
          <w:lang w:val="zh-CN"/>
        </w:rPr>
      </w:pPr>
      <w:bookmarkStart w:id="42" w:name="_Toc17695"/>
      <w:bookmarkStart w:id="43" w:name="_Toc27850"/>
      <w:r>
        <w:rPr>
          <w:rFonts w:hint="eastAsia" w:ascii="宋体" w:hAnsi="宋体" w:eastAsia="宋体" w:cs="宋体"/>
          <w:b/>
          <w:bCs/>
          <w:color w:val="auto"/>
          <w:kern w:val="44"/>
          <w:sz w:val="21"/>
          <w:szCs w:val="21"/>
          <w:highlight w:val="none"/>
          <w:lang w:val="zh-CN"/>
        </w:rPr>
        <w:t>（</w:t>
      </w:r>
      <w:r>
        <w:rPr>
          <w:rFonts w:hint="eastAsia" w:ascii="宋体" w:hAnsi="宋体" w:eastAsia="宋体" w:cs="宋体"/>
          <w:b/>
          <w:bCs/>
          <w:color w:val="auto"/>
          <w:kern w:val="44"/>
          <w:sz w:val="21"/>
          <w:szCs w:val="21"/>
          <w:highlight w:val="none"/>
          <w:lang w:val="en-US" w:eastAsia="zh-CN"/>
        </w:rPr>
        <w:t>6</w:t>
      </w:r>
      <w:r>
        <w:rPr>
          <w:rFonts w:hint="eastAsia" w:ascii="宋体" w:hAnsi="宋体" w:eastAsia="宋体" w:cs="宋体"/>
          <w:b/>
          <w:bCs/>
          <w:color w:val="auto"/>
          <w:kern w:val="44"/>
          <w:sz w:val="21"/>
          <w:szCs w:val="21"/>
          <w:highlight w:val="none"/>
          <w:lang w:val="zh-CN"/>
        </w:rPr>
        <w:t>）</w:t>
      </w:r>
      <w:r>
        <w:rPr>
          <w:rFonts w:hint="eastAsia" w:ascii="宋体" w:hAnsi="宋体" w:eastAsia="宋体" w:cs="宋体"/>
          <w:b/>
          <w:bCs/>
          <w:color w:val="auto"/>
          <w:kern w:val="44"/>
          <w:sz w:val="21"/>
          <w:szCs w:val="21"/>
          <w:highlight w:val="none"/>
          <w:lang w:val="en-US" w:eastAsia="zh-CN"/>
        </w:rPr>
        <w:t>除上述Ⅰ、Ⅱ、Ⅲ类以外的其他施工（外判）综合单价</w:t>
      </w:r>
      <w:r>
        <w:rPr>
          <w:rFonts w:hint="eastAsia" w:ascii="宋体" w:hAnsi="宋体" w:eastAsia="宋体" w:cs="宋体"/>
          <w:b/>
          <w:bCs/>
          <w:color w:val="auto"/>
          <w:kern w:val="44"/>
          <w:sz w:val="21"/>
          <w:szCs w:val="21"/>
          <w:highlight w:val="none"/>
          <w:lang w:val="zh-CN"/>
        </w:rPr>
        <w:t>（</w:t>
      </w:r>
      <w:r>
        <w:rPr>
          <w:rFonts w:hint="eastAsia" w:ascii="宋体" w:hAnsi="宋体" w:eastAsia="宋体" w:cs="宋体"/>
          <w:b/>
          <w:bCs/>
          <w:color w:val="auto"/>
          <w:kern w:val="44"/>
          <w:sz w:val="21"/>
          <w:szCs w:val="21"/>
          <w:highlight w:val="none"/>
          <w:lang w:val="en-US" w:eastAsia="zh-CN"/>
        </w:rPr>
        <w:t>按实际发生量结算</w:t>
      </w:r>
      <w:r>
        <w:rPr>
          <w:rFonts w:hint="eastAsia" w:ascii="宋体" w:hAnsi="宋体" w:eastAsia="宋体" w:cs="宋体"/>
          <w:b/>
          <w:bCs/>
          <w:color w:val="auto"/>
          <w:kern w:val="44"/>
          <w:sz w:val="21"/>
          <w:szCs w:val="21"/>
          <w:highlight w:val="none"/>
          <w:lang w:val="zh-CN"/>
        </w:rPr>
        <w:t>）</w:t>
      </w:r>
      <w:bookmarkEnd w:id="42"/>
      <w:bookmarkEnd w:id="43"/>
    </w:p>
    <w:tbl>
      <w:tblPr>
        <w:tblStyle w:val="31"/>
        <w:tblW w:w="8334" w:type="dxa"/>
        <w:tblInd w:w="0" w:type="dxa"/>
        <w:tblLayout w:type="fixed"/>
        <w:tblCellMar>
          <w:top w:w="15" w:type="dxa"/>
          <w:left w:w="15" w:type="dxa"/>
          <w:bottom w:w="15" w:type="dxa"/>
          <w:right w:w="15" w:type="dxa"/>
        </w:tblCellMar>
      </w:tblPr>
      <w:tblGrid>
        <w:gridCol w:w="3116"/>
        <w:gridCol w:w="5218"/>
      </w:tblGrid>
      <w:tr w14:paraId="79CB31CE">
        <w:tblPrEx>
          <w:tblCellMar>
            <w:top w:w="15" w:type="dxa"/>
            <w:left w:w="15" w:type="dxa"/>
            <w:bottom w:w="15" w:type="dxa"/>
            <w:right w:w="15" w:type="dxa"/>
          </w:tblCellMar>
        </w:tblPrEx>
        <w:trPr>
          <w:trHeight w:val="1326" w:hRule="atLeast"/>
        </w:trPr>
        <w:tc>
          <w:tcPr>
            <w:tcW w:w="3116" w:type="dxa"/>
            <w:tcBorders>
              <w:top w:val="single" w:color="auto" w:sz="4" w:space="0"/>
              <w:left w:val="single" w:color="auto" w:sz="4" w:space="0"/>
              <w:bottom w:val="single" w:color="auto" w:sz="4" w:space="0"/>
              <w:right w:val="single" w:color="auto" w:sz="4" w:space="0"/>
            </w:tcBorders>
            <w:noWrap w:val="0"/>
            <w:vAlign w:val="center"/>
          </w:tcPr>
          <w:p w14:paraId="5ECBD85E">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Ⅳ</w:t>
            </w:r>
            <w:r>
              <w:rPr>
                <w:rFonts w:hint="eastAsia" w:ascii="宋体" w:hAnsi="宋体" w:eastAsia="宋体" w:cs="宋体"/>
                <w:color w:val="auto"/>
                <w:kern w:val="0"/>
                <w:sz w:val="21"/>
                <w:szCs w:val="21"/>
                <w:highlight w:val="none"/>
                <w:lang w:bidi="ar"/>
              </w:rPr>
              <w:t>类：</w:t>
            </w:r>
            <w:r>
              <w:rPr>
                <w:rFonts w:hint="eastAsia" w:ascii="宋体" w:hAnsi="宋体" w:eastAsia="宋体" w:cs="宋体"/>
                <w:color w:val="auto"/>
                <w:kern w:val="0"/>
                <w:sz w:val="21"/>
                <w:szCs w:val="21"/>
                <w:highlight w:val="none"/>
                <w:lang w:val="en-US" w:eastAsia="zh-CN" w:bidi="ar"/>
              </w:rPr>
              <w:t>普工</w:t>
            </w:r>
            <w:r>
              <w:rPr>
                <w:rFonts w:hint="eastAsia" w:ascii="宋体" w:hAnsi="宋体" w:eastAsia="宋体" w:cs="宋体"/>
                <w:color w:val="auto"/>
                <w:kern w:val="0"/>
                <w:sz w:val="21"/>
                <w:szCs w:val="21"/>
                <w:highlight w:val="none"/>
                <w:lang w:bidi="ar"/>
              </w:rPr>
              <w:t>（</w:t>
            </w:r>
            <w:r>
              <w:rPr>
                <w:rFonts w:hint="eastAsia" w:ascii="宋体" w:hAnsi="宋体" w:cs="宋体"/>
                <w:color w:val="auto"/>
                <w:kern w:val="0"/>
                <w:sz w:val="21"/>
                <w:szCs w:val="21"/>
                <w:highlight w:val="none"/>
                <w:lang w:val="en-US" w:eastAsia="zh-CN" w:bidi="ar"/>
              </w:rPr>
              <w:t>347.37</w:t>
            </w:r>
            <w:r>
              <w:rPr>
                <w:rFonts w:hint="eastAsia" w:ascii="宋体" w:hAnsi="宋体" w:eastAsia="宋体" w:cs="宋体"/>
                <w:color w:val="auto"/>
                <w:kern w:val="0"/>
                <w:sz w:val="21"/>
                <w:szCs w:val="21"/>
                <w:highlight w:val="none"/>
                <w:lang w:bidi="ar"/>
              </w:rPr>
              <w:t>元/工日）</w:t>
            </w:r>
          </w:p>
        </w:tc>
        <w:tc>
          <w:tcPr>
            <w:tcW w:w="5218" w:type="dxa"/>
            <w:tcBorders>
              <w:top w:val="single" w:color="auto" w:sz="4" w:space="0"/>
              <w:left w:val="single" w:color="auto" w:sz="4" w:space="0"/>
              <w:bottom w:val="single" w:color="auto" w:sz="4" w:space="0"/>
              <w:right w:val="single" w:color="auto" w:sz="4" w:space="0"/>
            </w:tcBorders>
            <w:noWrap w:val="0"/>
            <w:vAlign w:val="center"/>
          </w:tcPr>
          <w:p w14:paraId="3BE6EEF6">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包含且不限于材料搬运、卫生及环境清理，安装或检修配套的工作，如埋地管道的挖土、回填、电缆敷设等辅助类工作。</w:t>
            </w:r>
          </w:p>
        </w:tc>
      </w:tr>
    </w:tbl>
    <w:p w14:paraId="4D0A0ADB">
      <w:pPr>
        <w:bidi w:val="0"/>
        <w:rPr>
          <w:rFonts w:hint="eastAsia" w:ascii="宋体" w:hAnsi="宋体" w:eastAsia="宋体" w:cs="宋体"/>
          <w:color w:val="auto"/>
          <w:kern w:val="2"/>
          <w:sz w:val="21"/>
          <w:szCs w:val="21"/>
          <w:highlight w:val="none"/>
        </w:rPr>
      </w:pPr>
      <w:bookmarkStart w:id="44" w:name="_Toc17437"/>
      <w:bookmarkStart w:id="45" w:name="_Toc23830"/>
      <w:r>
        <w:rPr>
          <w:rFonts w:hint="eastAsia" w:ascii="宋体" w:hAnsi="宋体" w:eastAsia="宋体" w:cs="宋体"/>
          <w:b/>
          <w:bCs/>
          <w:color w:val="auto"/>
          <w:kern w:val="44"/>
          <w:sz w:val="21"/>
          <w:szCs w:val="21"/>
          <w:highlight w:val="none"/>
          <w:lang w:val="zh-CN"/>
        </w:rPr>
        <w:t>（</w:t>
      </w:r>
      <w:r>
        <w:rPr>
          <w:rFonts w:hint="eastAsia" w:ascii="宋体" w:hAnsi="宋体" w:eastAsia="宋体" w:cs="宋体"/>
          <w:b/>
          <w:bCs/>
          <w:color w:val="auto"/>
          <w:kern w:val="44"/>
          <w:sz w:val="21"/>
          <w:szCs w:val="21"/>
          <w:highlight w:val="none"/>
          <w:lang w:val="en-US" w:eastAsia="zh-CN"/>
        </w:rPr>
        <w:t>7</w:t>
      </w:r>
      <w:r>
        <w:rPr>
          <w:rFonts w:hint="eastAsia" w:ascii="宋体" w:hAnsi="宋体" w:eastAsia="宋体" w:cs="宋体"/>
          <w:b/>
          <w:bCs/>
          <w:color w:val="auto"/>
          <w:kern w:val="44"/>
          <w:sz w:val="21"/>
          <w:szCs w:val="21"/>
          <w:highlight w:val="none"/>
          <w:lang w:val="zh-CN"/>
        </w:rPr>
        <w:t>）机械台班费用按定额结合</w:t>
      </w:r>
      <w:r>
        <w:rPr>
          <w:rFonts w:hint="eastAsia" w:ascii="宋体" w:hAnsi="宋体" w:eastAsia="宋体" w:cs="宋体"/>
          <w:b/>
          <w:bCs/>
          <w:color w:val="auto"/>
          <w:kern w:val="44"/>
          <w:sz w:val="21"/>
          <w:szCs w:val="21"/>
          <w:highlight w:val="none"/>
          <w:lang w:val="en-US" w:eastAsia="zh-CN"/>
        </w:rPr>
        <w:t>东莞</w:t>
      </w:r>
      <w:r>
        <w:rPr>
          <w:rFonts w:hint="eastAsia" w:ascii="宋体" w:hAnsi="宋体" w:eastAsia="宋体" w:cs="宋体"/>
          <w:b/>
          <w:bCs/>
          <w:color w:val="auto"/>
          <w:kern w:val="44"/>
          <w:sz w:val="21"/>
          <w:szCs w:val="21"/>
          <w:highlight w:val="none"/>
          <w:lang w:val="zh-CN"/>
        </w:rPr>
        <w:t>信息价确定。</w:t>
      </w:r>
      <w:bookmarkEnd w:id="44"/>
      <w:bookmarkEnd w:id="45"/>
    </w:p>
    <w:p w14:paraId="3F5C422E">
      <w:pPr>
        <w:bidi w:val="0"/>
        <w:rPr>
          <w:rFonts w:hint="eastAsia" w:ascii="宋体" w:hAnsi="宋体" w:eastAsia="宋体" w:cs="宋体"/>
          <w:b/>
          <w:bCs/>
          <w:color w:val="auto"/>
          <w:kern w:val="44"/>
          <w:sz w:val="21"/>
          <w:szCs w:val="21"/>
          <w:highlight w:val="none"/>
        </w:rPr>
      </w:pPr>
      <w:bookmarkStart w:id="46" w:name="_Toc28708"/>
      <w:bookmarkStart w:id="47" w:name="_Toc17881"/>
      <w:r>
        <w:rPr>
          <w:rFonts w:hint="eastAsia" w:ascii="宋体" w:hAnsi="宋体" w:eastAsia="宋体" w:cs="宋体"/>
          <w:b/>
          <w:bCs/>
          <w:color w:val="auto"/>
          <w:kern w:val="44"/>
          <w:sz w:val="21"/>
          <w:szCs w:val="21"/>
          <w:highlight w:val="none"/>
          <w:lang w:val="zh-CN"/>
        </w:rPr>
        <w:t>六、安全文明施工要求</w:t>
      </w:r>
      <w:r>
        <w:rPr>
          <w:rFonts w:hint="eastAsia" w:ascii="宋体" w:hAnsi="宋体" w:eastAsia="宋体" w:cs="宋体"/>
          <w:b/>
          <w:bCs/>
          <w:color w:val="auto"/>
          <w:kern w:val="44"/>
          <w:sz w:val="21"/>
          <w:szCs w:val="21"/>
          <w:highlight w:val="none"/>
        </w:rPr>
        <w:t>：</w:t>
      </w:r>
      <w:bookmarkEnd w:id="35"/>
      <w:bookmarkEnd w:id="46"/>
      <w:bookmarkEnd w:id="47"/>
    </w:p>
    <w:p w14:paraId="1B3B08CF">
      <w:pPr>
        <w:widowControl w:val="0"/>
        <w:adjustRightInd/>
        <w:snapToGrid/>
        <w:spacing w:line="360" w:lineRule="auto"/>
        <w:ind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1.</w:t>
      </w:r>
      <w:r>
        <w:rPr>
          <w:rFonts w:hint="eastAsia" w:ascii="宋体" w:hAnsi="宋体" w:eastAsia="宋体" w:cs="宋体"/>
          <w:color w:val="auto"/>
          <w:kern w:val="2"/>
          <w:sz w:val="21"/>
          <w:szCs w:val="21"/>
          <w:highlight w:val="none"/>
        </w:rPr>
        <w:t>中标人进场施工前，应与采购人签订施工安全协议。接受采购人生技部的安全教育，严格履行安全协议，中标人管理人员应负责向全体施工人员进行安全技术交底。由于中标人未能遵守和违反安全协议，造成的一切后果由中标人负责，并承担全部费用。</w:t>
      </w:r>
    </w:p>
    <w:p w14:paraId="037C3850">
      <w:pPr>
        <w:widowControl w:val="0"/>
        <w:adjustRightInd/>
        <w:snapToGrid/>
        <w:spacing w:line="360" w:lineRule="auto"/>
        <w:ind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2.</w:t>
      </w:r>
      <w:r>
        <w:rPr>
          <w:rFonts w:hint="eastAsia" w:ascii="宋体" w:hAnsi="宋体" w:eastAsia="宋体" w:cs="宋体"/>
          <w:color w:val="auto"/>
          <w:kern w:val="2"/>
          <w:sz w:val="21"/>
          <w:szCs w:val="21"/>
          <w:highlight w:val="none"/>
        </w:rPr>
        <w:t>施工完成后的卫生验收时间为3天。</w:t>
      </w:r>
    </w:p>
    <w:p w14:paraId="7C740100">
      <w:pPr>
        <w:widowControl w:val="0"/>
        <w:adjustRightInd/>
        <w:snapToGrid/>
        <w:spacing w:line="360" w:lineRule="auto"/>
        <w:ind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3.</w:t>
      </w:r>
      <w:r>
        <w:rPr>
          <w:rFonts w:hint="eastAsia" w:ascii="宋体" w:hAnsi="宋体" w:eastAsia="宋体" w:cs="宋体"/>
          <w:color w:val="auto"/>
          <w:kern w:val="2"/>
          <w:sz w:val="21"/>
          <w:szCs w:val="21"/>
          <w:highlight w:val="none"/>
        </w:rPr>
        <w:t>施工前双方对需要施工的区域进行卫生验收，施工结束后采购人根据施工前的卫生标准进行文明卫生验收。</w:t>
      </w:r>
    </w:p>
    <w:p w14:paraId="1B61FCF8">
      <w:pPr>
        <w:bidi w:val="0"/>
        <w:rPr>
          <w:rFonts w:hint="eastAsia" w:ascii="宋体" w:hAnsi="宋体" w:eastAsia="宋体" w:cs="宋体"/>
          <w:color w:val="auto"/>
          <w:highlight w:val="none"/>
          <w:lang w:val="zh-CN"/>
        </w:rPr>
      </w:pPr>
      <w:bookmarkStart w:id="48" w:name="_Toc26378"/>
      <w:bookmarkStart w:id="49" w:name="_Toc20491482"/>
      <w:r>
        <w:rPr>
          <w:rFonts w:hint="eastAsia" w:ascii="宋体" w:hAnsi="宋体" w:eastAsia="宋体" w:cs="宋体"/>
          <w:b/>
          <w:bCs/>
          <w:color w:val="auto"/>
          <w:highlight w:val="none"/>
          <w:lang w:val="zh-CN"/>
        </w:rPr>
        <w:t>七、双方义务：</w:t>
      </w:r>
      <w:bookmarkEnd w:id="48"/>
      <w:bookmarkEnd w:id="49"/>
    </w:p>
    <w:p w14:paraId="5C9733EC">
      <w:pPr>
        <w:widowControl/>
        <w:adjustRightInd/>
        <w:snapToGrid/>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（一）采购人义务：</w:t>
      </w:r>
    </w:p>
    <w:p w14:paraId="2C686533">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rPr>
        <w:t>向中标人提供有关工程范围内的施工图纸及技术资料。</w:t>
      </w:r>
    </w:p>
    <w:p w14:paraId="2F20CBB2">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rPr>
        <w:t>组织技术人员进行施工方案会审。</w:t>
      </w:r>
    </w:p>
    <w:p w14:paraId="7AB194B2">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rPr>
        <w:t>组织施工项目竣工验收。</w:t>
      </w:r>
    </w:p>
    <w:p w14:paraId="471FF02E">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rPr>
        <w:t>负责对工程质量、进度、安全，进行监督和检查。</w:t>
      </w:r>
    </w:p>
    <w:p w14:paraId="3153B347">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rPr>
        <w:t>施工过程所需的主要材料由采购人提供；</w:t>
      </w:r>
    </w:p>
    <w:p w14:paraId="70BA9BCC">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rPr>
        <w:t>施工过程中，电力、水、压缩空气由采购人供应至施工现场；</w:t>
      </w:r>
    </w:p>
    <w:p w14:paraId="15695E92">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rPr>
        <w:t>应提前准备施工所需的备品备件及所有主材。</w:t>
      </w:r>
    </w:p>
    <w:p w14:paraId="219D0BB3">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rPr>
        <w:t>锅炉与尾气系统常规及特殊施工项目的辅材（必须符合国标要求）由中标人提供，外判及技改工程的辅材由采购人提供。</w:t>
      </w:r>
    </w:p>
    <w:p w14:paraId="3E82D241">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rPr>
        <w:t>采购人专业工程师必须提前签发热力工作票及动火票，并做好安全隔离措施</w:t>
      </w:r>
      <w:r>
        <w:rPr>
          <w:rFonts w:hint="eastAsia" w:ascii="宋体" w:hAnsi="宋体" w:eastAsia="宋体" w:cs="宋体"/>
          <w:color w:val="auto"/>
          <w:kern w:val="2"/>
          <w:sz w:val="21"/>
          <w:szCs w:val="21"/>
          <w:highlight w:val="none"/>
          <w:lang w:eastAsia="zh-CN"/>
        </w:rPr>
        <w:t>。</w:t>
      </w:r>
    </w:p>
    <w:p w14:paraId="5AAA4A6C">
      <w:pPr>
        <w:widowControl/>
        <w:adjustRightInd/>
        <w:snapToGrid/>
        <w:spacing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（二）中标人义务：</w:t>
      </w:r>
    </w:p>
    <w:p w14:paraId="768C5406">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rPr>
        <w:t>负责编制本项目范围的施工方案和施工进度计划及安全措施，并经采购人认可，作为采购人对工程施工监督和检查的依据，并</w:t>
      </w:r>
      <w:r>
        <w:rPr>
          <w:rFonts w:hint="eastAsia" w:ascii="宋体" w:hAnsi="宋体" w:eastAsia="宋体" w:cs="宋体"/>
          <w:color w:val="auto"/>
          <w:kern w:val="2"/>
          <w:sz w:val="21"/>
          <w:szCs w:val="21"/>
          <w:highlight w:val="none"/>
          <w:lang w:eastAsia="zh-CN"/>
        </w:rPr>
        <w:t>按期</w:t>
      </w:r>
      <w:r>
        <w:rPr>
          <w:rFonts w:hint="eastAsia" w:ascii="宋体" w:hAnsi="宋体" w:eastAsia="宋体" w:cs="宋体"/>
          <w:color w:val="auto"/>
          <w:kern w:val="2"/>
          <w:sz w:val="21"/>
          <w:szCs w:val="21"/>
          <w:highlight w:val="none"/>
        </w:rPr>
        <w:t>实施。采购人对施工方案、进度计划及安全措施的认可，不免除</w:t>
      </w:r>
      <w:r>
        <w:rPr>
          <w:rFonts w:hint="eastAsia" w:ascii="宋体" w:hAnsi="宋体" w:cs="宋体"/>
          <w:color w:val="auto"/>
          <w:kern w:val="2"/>
          <w:sz w:val="21"/>
          <w:szCs w:val="21"/>
          <w:highlight w:val="none"/>
          <w:lang w:val="en-US" w:eastAsia="zh-CN"/>
        </w:rPr>
        <w:t>中标人</w:t>
      </w:r>
      <w:r>
        <w:rPr>
          <w:rFonts w:hint="eastAsia" w:ascii="宋体" w:hAnsi="宋体" w:eastAsia="宋体" w:cs="宋体"/>
          <w:color w:val="auto"/>
          <w:kern w:val="2"/>
          <w:sz w:val="21"/>
          <w:szCs w:val="21"/>
          <w:highlight w:val="none"/>
        </w:rPr>
        <w:t>应当承担的工程质量、安全、工期相关全部责任。</w:t>
      </w:r>
    </w:p>
    <w:p w14:paraId="288AE6B8">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rPr>
        <w:t>负责完成开工前工、料（其中锅炉与尾气系统常规及特殊施工项目的辅材由中标人提供）、机（焊机、角磨机、扭力扳手等检修常用机</w:t>
      </w:r>
      <w:r>
        <w:rPr>
          <w:rFonts w:hint="eastAsia" w:ascii="宋体" w:hAnsi="宋体" w:eastAsia="宋体" w:cs="宋体"/>
          <w:color w:val="auto"/>
          <w:kern w:val="2"/>
          <w:sz w:val="21"/>
          <w:szCs w:val="21"/>
          <w:highlight w:val="none"/>
          <w:lang w:eastAsia="zh-CN"/>
        </w:rPr>
        <w:t>具和</w:t>
      </w:r>
      <w:r>
        <w:rPr>
          <w:rFonts w:hint="eastAsia" w:ascii="宋体" w:hAnsi="宋体" w:eastAsia="宋体" w:cs="宋体"/>
          <w:color w:val="auto"/>
          <w:kern w:val="2"/>
          <w:sz w:val="21"/>
          <w:szCs w:val="21"/>
          <w:highlight w:val="none"/>
        </w:rPr>
        <w:t>小型机械设备由中标人提供）等各项准备工作，遵守政府有关部门对施工场地交通、施工噪音以及安全生产等的管理规定。</w:t>
      </w:r>
    </w:p>
    <w:p w14:paraId="2C1BC447">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rPr>
        <w:t>严格按照设计、厂家图纸进行施工。在确保工程质量和安全的前提下按合同约定的工期完成本项目工作。</w:t>
      </w:r>
    </w:p>
    <w:p w14:paraId="56D44B78">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rPr>
        <w:t>负责本工程所有人员施工及培训。</w:t>
      </w:r>
    </w:p>
    <w:p w14:paraId="3588024F">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rPr>
        <w:t>负责</w:t>
      </w:r>
      <w:r>
        <w:rPr>
          <w:rFonts w:hint="eastAsia" w:ascii="宋体" w:hAnsi="宋体" w:eastAsia="宋体" w:cs="宋体"/>
          <w:color w:val="auto"/>
          <w:kern w:val="2"/>
          <w:sz w:val="21"/>
          <w:szCs w:val="21"/>
          <w:highlight w:val="none"/>
          <w:lang w:eastAsia="zh-CN"/>
        </w:rPr>
        <w:t>对</w:t>
      </w:r>
      <w:r>
        <w:rPr>
          <w:rFonts w:hint="eastAsia" w:ascii="宋体" w:hAnsi="宋体" w:eastAsia="宋体" w:cs="宋体"/>
          <w:color w:val="auto"/>
          <w:kern w:val="2"/>
          <w:sz w:val="21"/>
          <w:szCs w:val="21"/>
          <w:highlight w:val="none"/>
        </w:rPr>
        <w:t>采购人的生产场地、环境卫生进行保护，对造成损坏的照价赔偿。</w:t>
      </w:r>
    </w:p>
    <w:p w14:paraId="23574FBD">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6、</w:t>
      </w:r>
      <w:r>
        <w:rPr>
          <w:rFonts w:hint="eastAsia" w:ascii="宋体" w:hAnsi="宋体" w:eastAsia="宋体" w:cs="宋体"/>
          <w:color w:val="auto"/>
          <w:kern w:val="2"/>
          <w:sz w:val="21"/>
          <w:szCs w:val="21"/>
          <w:highlight w:val="none"/>
        </w:rPr>
        <w:t>负责每天对施工场地进行清理及清洁。</w:t>
      </w:r>
    </w:p>
    <w:p w14:paraId="042C928C">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rPr>
        <w:t>负责编制竣工报告，并向采购人提供</w:t>
      </w:r>
      <w:r>
        <w:rPr>
          <w:rFonts w:hint="eastAsia" w:ascii="宋体" w:hAnsi="宋体" w:eastAsia="宋体" w:cs="宋体"/>
          <w:color w:val="auto"/>
          <w:kern w:val="2"/>
          <w:sz w:val="21"/>
          <w:szCs w:val="21"/>
          <w:highlight w:val="none"/>
          <w:lang w:eastAsia="zh-CN"/>
        </w:rPr>
        <w:t>一式两份</w:t>
      </w:r>
      <w:r>
        <w:rPr>
          <w:rFonts w:hint="eastAsia" w:ascii="宋体" w:hAnsi="宋体" w:eastAsia="宋体" w:cs="宋体"/>
          <w:color w:val="auto"/>
          <w:kern w:val="2"/>
          <w:sz w:val="21"/>
          <w:szCs w:val="21"/>
          <w:highlight w:val="none"/>
        </w:rPr>
        <w:t>。</w:t>
      </w:r>
    </w:p>
    <w:p w14:paraId="36B26046">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rPr>
        <w:t>按期缴清第三方运营监管单位以及采购人对中标人施工违章的所有罚款金额。</w:t>
      </w:r>
    </w:p>
    <w:p w14:paraId="4B13D557">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SA"/>
        </w:rPr>
        <w:t>9、</w:t>
      </w:r>
      <w:r>
        <w:rPr>
          <w:rFonts w:hint="eastAsia" w:ascii="宋体" w:hAnsi="宋体" w:eastAsia="宋体" w:cs="宋体"/>
          <w:color w:val="auto"/>
          <w:kern w:val="2"/>
          <w:sz w:val="21"/>
          <w:szCs w:val="21"/>
          <w:highlight w:val="none"/>
        </w:rPr>
        <w:t>合同期内需内检时，负责特检院协调工作，保证内检合格，费用按本次大修（含配合大修发生的外判）结算款3%计算</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合同期内</w:t>
      </w:r>
      <w:r>
        <w:rPr>
          <w:rFonts w:hint="eastAsia" w:ascii="宋体" w:hAnsi="宋体" w:eastAsia="宋体" w:cs="宋体"/>
          <w:color w:val="auto"/>
          <w:kern w:val="2"/>
          <w:sz w:val="21"/>
          <w:szCs w:val="21"/>
          <w:highlight w:val="none"/>
          <w:lang w:val="en-US" w:eastAsia="zh-CN"/>
        </w:rPr>
        <w:t>2028年三台锅炉全停时负责特检院协调工作，保证符合特种设备检测的相关规定，如需办理《特种设备使用登记证》，则保证申办成功，以上工作的</w:t>
      </w:r>
      <w:r>
        <w:rPr>
          <w:rFonts w:hint="eastAsia" w:ascii="宋体" w:hAnsi="宋体" w:eastAsia="宋体" w:cs="宋体"/>
          <w:color w:val="auto"/>
          <w:kern w:val="2"/>
          <w:sz w:val="21"/>
          <w:szCs w:val="21"/>
          <w:highlight w:val="none"/>
        </w:rPr>
        <w:t>费用按本次大修（含配合大修发生的外判）结算款3%计算。</w:t>
      </w:r>
    </w:p>
    <w:p w14:paraId="360F65DA">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rPr>
        <w:t>报价中含春节或节假日施工费用</w:t>
      </w:r>
      <w:r>
        <w:rPr>
          <w:rFonts w:hint="eastAsia" w:ascii="宋体" w:hAnsi="宋体" w:cs="宋体"/>
          <w:color w:val="auto"/>
          <w:kern w:val="2"/>
          <w:sz w:val="21"/>
          <w:szCs w:val="21"/>
          <w:highlight w:val="none"/>
          <w:lang w:val="en-US" w:eastAsia="zh-CN"/>
        </w:rPr>
        <w:t>。</w:t>
      </w:r>
    </w:p>
    <w:p w14:paraId="68E81C5A">
      <w:pPr>
        <w:widowControl w:val="0"/>
        <w:numPr>
          <w:ilvl w:val="0"/>
          <w:numId w:val="0"/>
        </w:numPr>
        <w:tabs>
          <w:tab w:val="left" w:pos="420"/>
        </w:tabs>
        <w:adjustRightInd w:val="0"/>
        <w:snapToGrid/>
        <w:spacing w:line="360" w:lineRule="auto"/>
        <w:ind w:left="0" w:leftChars="0" w:firstLine="367" w:firstLineChars="175"/>
        <w:jc w:val="left"/>
        <w:textAlignment w:val="baseline"/>
        <w:rPr>
          <w:rFonts w:hint="eastAsia" w:ascii="宋体" w:hAnsi="宋体" w:eastAsia="宋体" w:cs="宋体"/>
          <w:color w:val="auto"/>
          <w:kern w:val="2"/>
          <w:sz w:val="21"/>
          <w:szCs w:val="21"/>
          <w:highlight w:val="none"/>
        </w:rPr>
      </w:pPr>
      <w:r>
        <w:rPr>
          <w:rFonts w:hint="eastAsia" w:ascii="宋体" w:hAnsi="宋体" w:cs="宋体"/>
          <w:color w:val="auto"/>
          <w:kern w:val="2"/>
          <w:sz w:val="21"/>
          <w:szCs w:val="21"/>
          <w:highlight w:val="none"/>
          <w:lang w:val="en-US" w:eastAsia="zh-CN"/>
        </w:rPr>
        <w:t>11、中标人现场管理及作业人员必须按属地社保部门相关标准权益足额参保购买工伤保险，参保人员名单与实际进场人员需完全一致，同时需为全体人员单独购买商业保险（意外伤害保险、安全生产责任险、雇主责任险）保额不得低于100万</w:t>
      </w:r>
      <w:r>
        <w:rPr>
          <w:rFonts w:hint="eastAsia" w:ascii="宋体" w:hAnsi="宋体" w:eastAsia="宋体" w:cs="宋体"/>
          <w:color w:val="auto"/>
          <w:kern w:val="2"/>
          <w:sz w:val="21"/>
          <w:szCs w:val="21"/>
          <w:highlight w:val="none"/>
          <w:lang w:val="en-US" w:eastAsia="zh-CN"/>
        </w:rPr>
        <w:t>。</w:t>
      </w:r>
    </w:p>
    <w:p w14:paraId="2F64F6F0">
      <w:pPr>
        <w:bidi w:val="0"/>
        <w:rPr>
          <w:rFonts w:hint="eastAsia" w:ascii="宋体" w:hAnsi="宋体" w:eastAsia="宋体" w:cs="宋体"/>
          <w:color w:val="auto"/>
          <w:highlight w:val="none"/>
          <w:lang w:val="zh-CN"/>
        </w:rPr>
      </w:pPr>
      <w:bookmarkStart w:id="50" w:name="_Toc6073"/>
      <w:bookmarkStart w:id="51" w:name="_Toc20491483"/>
      <w:bookmarkStart w:id="52" w:name="_Toc18937"/>
      <w:r>
        <w:rPr>
          <w:rFonts w:hint="eastAsia" w:ascii="宋体" w:hAnsi="宋体" w:eastAsia="宋体" w:cs="宋体"/>
          <w:b/>
          <w:bCs/>
          <w:color w:val="auto"/>
          <w:highlight w:val="none"/>
          <w:lang w:val="zh-CN"/>
        </w:rPr>
        <w:t>八、施工现场管理：</w:t>
      </w:r>
      <w:bookmarkEnd w:id="50"/>
      <w:bookmarkEnd w:id="51"/>
      <w:bookmarkEnd w:id="52"/>
    </w:p>
    <w:p w14:paraId="463E717E">
      <w:pPr>
        <w:widowControl/>
        <w:adjustRightInd/>
        <w:snapToGrid/>
        <w:spacing w:line="360" w:lineRule="auto"/>
        <w:ind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1.</w:t>
      </w:r>
      <w:r>
        <w:rPr>
          <w:rFonts w:hint="eastAsia" w:ascii="宋体" w:hAnsi="宋体" w:eastAsia="宋体" w:cs="宋体"/>
          <w:color w:val="auto"/>
          <w:kern w:val="0"/>
          <w:sz w:val="21"/>
          <w:szCs w:val="21"/>
          <w:highlight w:val="none"/>
        </w:rPr>
        <w:t>锅炉与尾气大修期间必须配备常驻现场技术管理人员，并配备专职安全管理人员。中标人需及时清理自身施工区域的施工垃圾，做到工完场清，若由于中标人的原因没有及时清运施工垃圾，采购人有权清理或有权委托第三方清理，因此产生的费用和责任全部由中标人承担，采购人有权从工程款中直接扣减。</w:t>
      </w:r>
    </w:p>
    <w:p w14:paraId="569A9DBF">
      <w:pPr>
        <w:widowControl/>
        <w:adjustRightInd/>
        <w:snapToGrid/>
        <w:spacing w:line="360" w:lineRule="auto"/>
        <w:ind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eastAsia="zh-CN"/>
        </w:rPr>
        <w:t>2.</w:t>
      </w:r>
      <w:r>
        <w:rPr>
          <w:rFonts w:hint="eastAsia" w:ascii="宋体" w:hAnsi="宋体" w:eastAsia="宋体" w:cs="宋体"/>
          <w:color w:val="auto"/>
          <w:kern w:val="0"/>
          <w:sz w:val="21"/>
          <w:szCs w:val="21"/>
          <w:highlight w:val="none"/>
        </w:rPr>
        <w:t>中标人确定的现场负责人必须随时配合参加业主、监理</w:t>
      </w:r>
      <w:r>
        <w:rPr>
          <w:rFonts w:hint="eastAsia" w:ascii="宋体" w:hAnsi="宋体" w:eastAsia="宋体" w:cs="宋体"/>
          <w:color w:val="auto"/>
          <w:kern w:val="0"/>
          <w:sz w:val="21"/>
          <w:szCs w:val="21"/>
          <w:highlight w:val="none"/>
          <w:lang w:eastAsia="zh-CN"/>
        </w:rPr>
        <w:t>及</w:t>
      </w:r>
      <w:r>
        <w:rPr>
          <w:rFonts w:hint="eastAsia" w:ascii="宋体" w:hAnsi="宋体" w:eastAsia="宋体" w:cs="宋体"/>
          <w:color w:val="auto"/>
          <w:kern w:val="0"/>
          <w:sz w:val="21"/>
          <w:szCs w:val="21"/>
          <w:highlight w:val="none"/>
        </w:rPr>
        <w:t>采购人组织的有关施工生产、安全、质量等方面的例会，对于中标人人员无故迟到、缺席，采购人将视情节</w:t>
      </w:r>
      <w:r>
        <w:rPr>
          <w:rFonts w:hint="eastAsia" w:ascii="宋体" w:hAnsi="宋体" w:eastAsia="宋体" w:cs="宋体"/>
          <w:color w:val="auto"/>
          <w:kern w:val="0"/>
          <w:sz w:val="21"/>
          <w:szCs w:val="21"/>
          <w:highlight w:val="none"/>
          <w:lang w:eastAsia="zh-CN"/>
        </w:rPr>
        <w:t>给予</w:t>
      </w:r>
      <w:r>
        <w:rPr>
          <w:rFonts w:hint="eastAsia" w:ascii="宋体" w:hAnsi="宋体" w:eastAsia="宋体" w:cs="宋体"/>
          <w:color w:val="auto"/>
          <w:kern w:val="0"/>
          <w:sz w:val="21"/>
          <w:szCs w:val="21"/>
          <w:highlight w:val="none"/>
        </w:rPr>
        <w:t>处罚。</w:t>
      </w:r>
    </w:p>
    <w:p w14:paraId="445656C5">
      <w:pPr>
        <w:bidi w:val="0"/>
        <w:rPr>
          <w:rFonts w:hint="eastAsia" w:ascii="宋体" w:hAnsi="宋体" w:eastAsia="宋体" w:cs="宋体"/>
          <w:color w:val="auto"/>
          <w:highlight w:val="none"/>
          <w:lang w:val="zh-CN"/>
        </w:rPr>
      </w:pPr>
      <w:bookmarkStart w:id="53" w:name="_Toc21461"/>
      <w:bookmarkStart w:id="54" w:name="_Toc19235"/>
      <w:bookmarkStart w:id="55" w:name="_Toc20491484"/>
      <w:bookmarkStart w:id="56" w:name="_Toc5335"/>
      <w:bookmarkStart w:id="57" w:name="_Toc27762"/>
      <w:r>
        <w:rPr>
          <w:rFonts w:hint="eastAsia" w:ascii="宋体" w:hAnsi="宋体" w:eastAsia="宋体" w:cs="宋体"/>
          <w:b/>
          <w:bCs/>
          <w:color w:val="auto"/>
          <w:highlight w:val="none"/>
          <w:lang w:val="zh-CN"/>
        </w:rPr>
        <w:t>九、其他规定</w:t>
      </w:r>
      <w:bookmarkEnd w:id="53"/>
      <w:bookmarkEnd w:id="54"/>
      <w:r>
        <w:rPr>
          <w:rFonts w:hint="eastAsia" w:ascii="宋体" w:hAnsi="宋体" w:eastAsia="宋体" w:cs="宋体"/>
          <w:b/>
          <w:bCs/>
          <w:color w:val="auto"/>
          <w:highlight w:val="none"/>
          <w:lang w:val="zh-CN"/>
        </w:rPr>
        <w:t>：</w:t>
      </w:r>
      <w:bookmarkEnd w:id="55"/>
      <w:bookmarkEnd w:id="56"/>
      <w:bookmarkEnd w:id="57"/>
    </w:p>
    <w:p w14:paraId="20663F81">
      <w:pPr>
        <w:widowControl w:val="0"/>
        <w:adjustRightInd/>
        <w:snapToGrid/>
        <w:spacing w:line="360" w:lineRule="auto"/>
        <w:ind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1.</w:t>
      </w:r>
      <w:r>
        <w:rPr>
          <w:rFonts w:hint="eastAsia" w:ascii="宋体" w:hAnsi="宋体" w:eastAsia="宋体" w:cs="宋体"/>
          <w:color w:val="auto"/>
          <w:kern w:val="2"/>
          <w:sz w:val="21"/>
          <w:szCs w:val="21"/>
          <w:highlight w:val="none"/>
        </w:rPr>
        <w:t>合同执行期间，因中标人责任造成采购人或第三方损失，所有损失由中标人完全负责。</w:t>
      </w:r>
    </w:p>
    <w:p w14:paraId="667F8402">
      <w:pPr>
        <w:widowControl w:val="0"/>
        <w:adjustRightInd/>
        <w:snapToGrid/>
        <w:spacing w:line="360" w:lineRule="auto"/>
        <w:ind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2.</w:t>
      </w:r>
      <w:r>
        <w:rPr>
          <w:rFonts w:hint="eastAsia" w:ascii="宋体" w:hAnsi="宋体" w:eastAsia="宋体" w:cs="宋体"/>
          <w:color w:val="auto"/>
          <w:kern w:val="2"/>
          <w:sz w:val="21"/>
          <w:szCs w:val="21"/>
          <w:highlight w:val="none"/>
        </w:rPr>
        <w:t>锅炉施工部分（常规项目及特殊项目），除施工过程中发现施工现场有重大的缺陷、采购人接受工程延期外，因中标人原因造成工程延期，每超期一日按壹万元罚款；采购人有权单方终止合同</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每次大修后根据情况进行履约评价（附件3），评价不合格的</w:t>
      </w:r>
      <w:r>
        <w:rPr>
          <w:rFonts w:hint="eastAsia" w:ascii="宋体" w:hAnsi="宋体" w:eastAsia="宋体" w:cs="宋体"/>
          <w:color w:val="auto"/>
          <w:kern w:val="2"/>
          <w:sz w:val="21"/>
          <w:szCs w:val="21"/>
          <w:highlight w:val="none"/>
        </w:rPr>
        <w:t>采购人有权单方终止合同。</w:t>
      </w:r>
    </w:p>
    <w:p w14:paraId="39D00BD9">
      <w:pPr>
        <w:widowControl w:val="0"/>
        <w:adjustRightInd/>
        <w:snapToGrid/>
        <w:spacing w:line="360" w:lineRule="auto"/>
        <w:ind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3.</w:t>
      </w:r>
      <w:r>
        <w:rPr>
          <w:rFonts w:hint="eastAsia" w:ascii="宋体" w:hAnsi="宋体" w:eastAsia="宋体" w:cs="宋体"/>
          <w:color w:val="auto"/>
          <w:kern w:val="2"/>
          <w:sz w:val="21"/>
          <w:szCs w:val="21"/>
          <w:highlight w:val="none"/>
        </w:rPr>
        <w:t>因脚手架搭拆工作属特种高危作业，施工前脚手架搭拆班组须经采购人审核后方可进厂施工，中标人如若未按上述执行，一切后果由中标人承担。</w:t>
      </w:r>
    </w:p>
    <w:p w14:paraId="3CA459D9">
      <w:pPr>
        <w:widowControl w:val="0"/>
        <w:adjustRightInd/>
        <w:snapToGrid/>
        <w:spacing w:line="360" w:lineRule="auto"/>
        <w:ind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eastAsia="zh-CN"/>
        </w:rPr>
        <w:t>4.</w:t>
      </w:r>
      <w:r>
        <w:rPr>
          <w:rFonts w:hint="eastAsia" w:ascii="宋体" w:hAnsi="宋体" w:eastAsia="宋体" w:cs="宋体"/>
          <w:color w:val="auto"/>
          <w:kern w:val="2"/>
          <w:sz w:val="21"/>
          <w:szCs w:val="21"/>
          <w:highlight w:val="none"/>
        </w:rPr>
        <w:t>中标人在承包工程服务中，不得将工程转包和分包给不具备安全生产条件的或者相应资质的单位和个人；中标人进行分包的，中标人应确保分包人具有相应的资质和能力，并取得采购人同意。工程分包不减轻或免除中标人的责任和义务，中标人和分包人就分包工程向发包人承担连带责任。</w:t>
      </w:r>
    </w:p>
    <w:p w14:paraId="45148F67">
      <w:pPr>
        <w:rPr>
          <w:rFonts w:hint="eastAsia" w:ascii="宋体" w:hAnsi="宋体" w:eastAsia="宋体" w:cs="宋体"/>
          <w:b/>
          <w:bCs/>
          <w:color w:val="auto"/>
          <w:kern w:val="44"/>
          <w:sz w:val="21"/>
          <w:szCs w:val="21"/>
          <w:highlight w:val="none"/>
          <w:lang w:val="zh-CN" w:eastAsia="zh-CN" w:bidi="ar-SA"/>
        </w:rPr>
      </w:pPr>
      <w:bookmarkStart w:id="58" w:name="_Toc19504"/>
      <w:bookmarkStart w:id="59" w:name="_Toc31925"/>
      <w:r>
        <w:rPr>
          <w:rFonts w:hint="eastAsia" w:ascii="宋体" w:hAnsi="宋体" w:eastAsia="宋体" w:cs="宋体"/>
          <w:b/>
          <w:bCs/>
          <w:color w:val="auto"/>
          <w:kern w:val="44"/>
          <w:sz w:val="21"/>
          <w:szCs w:val="21"/>
          <w:highlight w:val="none"/>
          <w:lang w:val="zh-CN" w:eastAsia="zh-CN" w:bidi="ar-SA"/>
        </w:rPr>
        <w:br w:type="page"/>
      </w:r>
    </w:p>
    <w:p w14:paraId="7DBEE62F">
      <w:pPr>
        <w:bidi w:val="0"/>
        <w:rPr>
          <w:rFonts w:hint="eastAsia" w:ascii="宋体" w:hAnsi="宋体" w:eastAsia="宋体" w:cs="宋体"/>
          <w:b/>
          <w:bCs/>
          <w:color w:val="auto"/>
          <w:kern w:val="44"/>
          <w:sz w:val="21"/>
          <w:szCs w:val="21"/>
          <w:highlight w:val="none"/>
          <w:lang w:val="zh-CN" w:eastAsia="zh-CN" w:bidi="ar-SA"/>
        </w:rPr>
      </w:pPr>
      <w:r>
        <w:rPr>
          <w:rFonts w:hint="eastAsia" w:ascii="宋体" w:hAnsi="宋体" w:eastAsia="宋体" w:cs="宋体"/>
          <w:b/>
          <w:bCs/>
          <w:color w:val="auto"/>
          <w:kern w:val="44"/>
          <w:sz w:val="21"/>
          <w:szCs w:val="21"/>
          <w:highlight w:val="none"/>
          <w:lang w:val="zh-CN" w:eastAsia="zh-CN" w:bidi="ar-SA"/>
        </w:rPr>
        <w:t>附件</w:t>
      </w:r>
      <w:r>
        <w:rPr>
          <w:rFonts w:hint="eastAsia" w:ascii="宋体" w:hAnsi="宋体" w:eastAsia="宋体" w:cs="宋体"/>
          <w:b/>
          <w:bCs/>
          <w:color w:val="auto"/>
          <w:kern w:val="44"/>
          <w:sz w:val="21"/>
          <w:szCs w:val="21"/>
          <w:highlight w:val="none"/>
          <w:lang w:val="en-US" w:eastAsia="zh-CN" w:bidi="ar-SA"/>
        </w:rPr>
        <w:t>1：</w:t>
      </w:r>
      <w:r>
        <w:rPr>
          <w:rFonts w:hint="eastAsia" w:ascii="宋体" w:hAnsi="宋体" w:eastAsia="宋体" w:cs="宋体"/>
          <w:b/>
          <w:bCs/>
          <w:color w:val="auto"/>
          <w:kern w:val="2"/>
          <w:sz w:val="21"/>
          <w:szCs w:val="21"/>
          <w:highlight w:val="none"/>
          <w:lang w:val="zh-CN" w:eastAsia="zh-CN" w:bidi="ar-SA"/>
        </w:rPr>
        <w:t>付款方式和</w:t>
      </w:r>
      <w:r>
        <w:rPr>
          <w:rFonts w:hint="eastAsia" w:ascii="宋体" w:hAnsi="宋体" w:eastAsia="宋体" w:cs="宋体"/>
          <w:b/>
          <w:bCs/>
          <w:color w:val="auto"/>
          <w:kern w:val="2"/>
          <w:sz w:val="21"/>
          <w:szCs w:val="21"/>
          <w:highlight w:val="none"/>
          <w:lang w:val="en-US" w:eastAsia="zh-CN" w:bidi="ar-SA"/>
        </w:rPr>
        <w:t>相关资料</w:t>
      </w:r>
      <w:r>
        <w:rPr>
          <w:rFonts w:hint="eastAsia" w:ascii="宋体" w:hAnsi="宋体" w:eastAsia="宋体" w:cs="宋体"/>
          <w:b/>
          <w:bCs/>
          <w:color w:val="auto"/>
          <w:kern w:val="2"/>
          <w:sz w:val="21"/>
          <w:szCs w:val="21"/>
          <w:highlight w:val="none"/>
          <w:lang w:val="zh-CN" w:eastAsia="zh-CN" w:bidi="ar-SA"/>
        </w:rPr>
        <w:t>办理流程</w:t>
      </w:r>
      <w:bookmarkEnd w:id="58"/>
      <w:bookmarkEnd w:id="59"/>
    </w:p>
    <w:p w14:paraId="4F1A8E82">
      <w:pPr>
        <w:widowControl w:val="0"/>
        <w:adjustRightInd/>
        <w:snapToGrid/>
        <w:spacing w:line="360" w:lineRule="auto"/>
        <w:ind w:firstLine="367" w:firstLineChars="175"/>
        <w:jc w:val="both"/>
        <w:rPr>
          <w:rFonts w:hint="eastAsia" w:ascii="宋体" w:hAnsi="宋体" w:eastAsia="宋体" w:cs="宋体"/>
          <w:color w:val="auto"/>
          <w:kern w:val="2"/>
          <w:sz w:val="21"/>
          <w:szCs w:val="24"/>
          <w:highlight w:val="none"/>
        </w:rPr>
      </w:pPr>
      <w:r>
        <w:rPr>
          <w:rFonts w:hint="eastAsia" w:ascii="宋体" w:hAnsi="宋体" w:eastAsia="宋体" w:cs="宋体"/>
          <w:color w:val="auto"/>
          <w:kern w:val="2"/>
          <w:szCs w:val="24"/>
          <w:highlight w:val="none"/>
          <w:lang w:val="en-US" w:eastAsia="zh-CN"/>
        </w:rPr>
        <w:t>1.</w:t>
      </w:r>
      <w:r>
        <w:rPr>
          <w:rFonts w:hint="eastAsia" w:ascii="宋体" w:hAnsi="宋体" w:eastAsia="宋体" w:cs="宋体"/>
          <w:color w:val="auto"/>
          <w:kern w:val="2"/>
          <w:sz w:val="21"/>
          <w:szCs w:val="24"/>
          <w:highlight w:val="none"/>
        </w:rPr>
        <w:t>付款方式：</w:t>
      </w:r>
    </w:p>
    <w:p w14:paraId="5DA1FFB8">
      <w:pPr>
        <w:widowControl w:val="0"/>
        <w:adjustRightInd/>
        <w:snapToGrid/>
        <w:spacing w:line="360" w:lineRule="auto"/>
        <w:ind w:firstLine="367" w:firstLineChars="175"/>
        <w:jc w:val="both"/>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（1）锅炉施工工程（常规项目及特殊项目）：</w:t>
      </w:r>
      <w:r>
        <w:rPr>
          <w:rFonts w:hint="eastAsia" w:ascii="宋体" w:hAnsi="宋体" w:cs="宋体"/>
          <w:color w:val="auto"/>
          <w:kern w:val="2"/>
          <w:sz w:val="21"/>
          <w:szCs w:val="24"/>
          <w:highlight w:val="none"/>
          <w:lang w:val="en-US" w:eastAsia="zh-CN"/>
        </w:rPr>
        <w:t>采购人凭</w:t>
      </w:r>
      <w:r>
        <w:rPr>
          <w:rFonts w:hint="eastAsia" w:ascii="宋体" w:hAnsi="宋体" w:eastAsia="宋体" w:cs="宋体"/>
          <w:color w:val="auto"/>
          <w:kern w:val="2"/>
          <w:sz w:val="21"/>
          <w:szCs w:val="24"/>
          <w:highlight w:val="none"/>
          <w:lang w:val="en-US" w:eastAsia="zh-CN"/>
        </w:rPr>
        <w:t>中标人</w:t>
      </w:r>
      <w:r>
        <w:rPr>
          <w:rFonts w:hint="eastAsia" w:ascii="宋体" w:hAnsi="宋体" w:cs="宋体"/>
          <w:color w:val="auto"/>
          <w:kern w:val="2"/>
          <w:sz w:val="21"/>
          <w:szCs w:val="24"/>
          <w:highlight w:val="none"/>
          <w:lang w:val="en-US" w:eastAsia="zh-CN"/>
        </w:rPr>
        <w:t>提交的</w:t>
      </w:r>
      <w:r>
        <w:rPr>
          <w:rFonts w:hint="eastAsia" w:ascii="宋体" w:hAnsi="宋体" w:eastAsia="宋体" w:cs="宋体"/>
          <w:color w:val="auto"/>
          <w:kern w:val="2"/>
          <w:sz w:val="21"/>
          <w:szCs w:val="24"/>
          <w:highlight w:val="none"/>
        </w:rPr>
        <w:t>请款函、工程竣工验收证明、工程量确认单、工程验收</w:t>
      </w:r>
      <w:r>
        <w:rPr>
          <w:rFonts w:hint="eastAsia" w:ascii="宋体" w:hAnsi="宋体" w:eastAsia="宋体" w:cs="宋体"/>
          <w:color w:val="auto"/>
          <w:kern w:val="2"/>
          <w:sz w:val="21"/>
          <w:szCs w:val="24"/>
          <w:highlight w:val="none"/>
          <w:lang w:val="en-US" w:eastAsia="zh-CN"/>
        </w:rPr>
        <w:t>核算单</w:t>
      </w:r>
      <w:r>
        <w:rPr>
          <w:rFonts w:hint="eastAsia" w:ascii="宋体" w:hAnsi="宋体" w:eastAsia="宋体" w:cs="宋体"/>
          <w:color w:val="auto"/>
          <w:kern w:val="2"/>
          <w:sz w:val="21"/>
          <w:szCs w:val="24"/>
          <w:highlight w:val="none"/>
        </w:rPr>
        <w:t>及对应金额的合格发票等单据，向</w:t>
      </w:r>
      <w:r>
        <w:rPr>
          <w:rFonts w:hint="eastAsia" w:ascii="宋体" w:hAnsi="宋体" w:eastAsia="宋体" w:cs="宋体"/>
          <w:color w:val="auto"/>
          <w:kern w:val="2"/>
          <w:sz w:val="21"/>
          <w:szCs w:val="24"/>
          <w:highlight w:val="none"/>
          <w:lang w:eastAsia="zh-CN"/>
        </w:rPr>
        <w:t>中标人</w:t>
      </w:r>
      <w:r>
        <w:rPr>
          <w:rFonts w:hint="eastAsia" w:ascii="宋体" w:hAnsi="宋体" w:eastAsia="宋体" w:cs="宋体"/>
          <w:color w:val="auto"/>
          <w:kern w:val="2"/>
          <w:sz w:val="21"/>
          <w:szCs w:val="24"/>
          <w:highlight w:val="none"/>
        </w:rPr>
        <w:t>支付95%的实际</w:t>
      </w:r>
      <w:r>
        <w:rPr>
          <w:rFonts w:hint="eastAsia" w:ascii="宋体" w:hAnsi="宋体" w:eastAsia="宋体" w:cs="宋体"/>
          <w:color w:val="auto"/>
          <w:kern w:val="2"/>
          <w:sz w:val="21"/>
          <w:szCs w:val="24"/>
          <w:highlight w:val="none"/>
          <w:lang w:val="en-US" w:eastAsia="zh-CN"/>
        </w:rPr>
        <w:t>核算</w:t>
      </w:r>
      <w:r>
        <w:rPr>
          <w:rFonts w:hint="eastAsia" w:ascii="宋体" w:hAnsi="宋体" w:eastAsia="宋体" w:cs="宋体"/>
          <w:color w:val="auto"/>
          <w:kern w:val="2"/>
          <w:sz w:val="21"/>
          <w:szCs w:val="24"/>
          <w:highlight w:val="none"/>
        </w:rPr>
        <w:t>金额作为工程验收</w:t>
      </w:r>
      <w:r>
        <w:rPr>
          <w:rFonts w:hint="eastAsia" w:ascii="宋体" w:hAnsi="宋体" w:eastAsia="宋体" w:cs="宋体"/>
          <w:color w:val="auto"/>
          <w:kern w:val="2"/>
          <w:sz w:val="21"/>
          <w:szCs w:val="24"/>
          <w:highlight w:val="none"/>
          <w:lang w:val="en-US" w:eastAsia="zh-CN"/>
        </w:rPr>
        <w:t>进度</w:t>
      </w:r>
      <w:r>
        <w:rPr>
          <w:rFonts w:hint="eastAsia" w:ascii="宋体" w:hAnsi="宋体" w:eastAsia="宋体" w:cs="宋体"/>
          <w:color w:val="auto"/>
          <w:kern w:val="2"/>
          <w:sz w:val="21"/>
          <w:szCs w:val="24"/>
          <w:highlight w:val="none"/>
        </w:rPr>
        <w:t>款；质保期为6个月，自设备正常满负荷连续运行72小时之日起计算。</w:t>
      </w:r>
    </w:p>
    <w:p w14:paraId="721FC12A">
      <w:pPr>
        <w:widowControl w:val="0"/>
        <w:adjustRightInd/>
        <w:snapToGrid/>
        <w:spacing w:line="360" w:lineRule="auto"/>
        <w:ind w:firstLine="367" w:firstLineChars="175"/>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rPr>
        <w:t>（2）</w:t>
      </w:r>
      <w:r>
        <w:rPr>
          <w:rFonts w:hint="eastAsia" w:ascii="宋体" w:hAnsi="宋体" w:eastAsia="宋体" w:cs="宋体"/>
          <w:color w:val="auto"/>
          <w:kern w:val="2"/>
          <w:sz w:val="21"/>
          <w:szCs w:val="24"/>
          <w:highlight w:val="none"/>
        </w:rPr>
        <w:t>日常配合项目，月度外判工程及小型施工工程</w:t>
      </w:r>
      <w:r>
        <w:rPr>
          <w:rFonts w:hint="eastAsia" w:ascii="宋体" w:hAnsi="宋体" w:eastAsia="宋体" w:cs="宋体"/>
          <w:color w:val="auto"/>
          <w:kern w:val="2"/>
          <w:szCs w:val="24"/>
          <w:highlight w:val="none"/>
        </w:rPr>
        <w:t>：按月支付，</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凭</w:t>
      </w:r>
      <w:r>
        <w:rPr>
          <w:rFonts w:hint="eastAsia" w:ascii="宋体" w:hAnsi="宋体" w:cs="宋体"/>
          <w:color w:val="auto"/>
          <w:kern w:val="2"/>
          <w:szCs w:val="24"/>
          <w:highlight w:val="none"/>
          <w:lang w:val="en-US" w:eastAsia="zh-CN"/>
        </w:rPr>
        <w:t>中标人提交的</w:t>
      </w:r>
      <w:r>
        <w:rPr>
          <w:rFonts w:hint="eastAsia" w:ascii="宋体" w:hAnsi="宋体" w:eastAsia="宋体" w:cs="宋体"/>
          <w:color w:val="auto"/>
          <w:kern w:val="2"/>
          <w:szCs w:val="24"/>
          <w:highlight w:val="none"/>
        </w:rPr>
        <w:t>请款函、工程竣工验收证明、工程量确认单、工程验收</w:t>
      </w:r>
      <w:r>
        <w:rPr>
          <w:rFonts w:hint="eastAsia" w:ascii="宋体" w:hAnsi="宋体" w:eastAsia="宋体" w:cs="宋体"/>
          <w:color w:val="auto"/>
          <w:kern w:val="2"/>
          <w:sz w:val="21"/>
          <w:szCs w:val="24"/>
          <w:highlight w:val="none"/>
          <w:lang w:val="en-US" w:eastAsia="zh-CN"/>
        </w:rPr>
        <w:t>核算单</w:t>
      </w:r>
      <w:r>
        <w:rPr>
          <w:rFonts w:hint="eastAsia" w:ascii="宋体" w:hAnsi="宋体" w:eastAsia="宋体" w:cs="宋体"/>
          <w:color w:val="auto"/>
          <w:kern w:val="2"/>
          <w:szCs w:val="24"/>
          <w:highlight w:val="none"/>
        </w:rPr>
        <w:t>及对应金额的合格发票等单据，向</w:t>
      </w:r>
      <w:r>
        <w:rPr>
          <w:rFonts w:hint="eastAsia" w:ascii="宋体" w:hAnsi="宋体" w:eastAsia="宋体" w:cs="宋体"/>
          <w:color w:val="auto"/>
          <w:kern w:val="2"/>
          <w:szCs w:val="24"/>
          <w:highlight w:val="none"/>
          <w:lang w:eastAsia="zh-CN"/>
        </w:rPr>
        <w:t>中标人</w:t>
      </w:r>
      <w:r>
        <w:rPr>
          <w:rFonts w:hint="eastAsia" w:ascii="宋体" w:hAnsi="宋体" w:eastAsia="宋体" w:cs="宋体"/>
          <w:color w:val="auto"/>
          <w:kern w:val="2"/>
          <w:szCs w:val="24"/>
          <w:highlight w:val="none"/>
        </w:rPr>
        <w:t>支付</w:t>
      </w:r>
      <w:r>
        <w:rPr>
          <w:rFonts w:hint="eastAsia" w:ascii="宋体" w:hAnsi="宋体" w:eastAsia="宋体" w:cs="宋体"/>
          <w:color w:val="auto"/>
          <w:kern w:val="2"/>
          <w:szCs w:val="24"/>
          <w:highlight w:val="none"/>
          <w:lang w:val="en-US" w:eastAsia="zh-CN"/>
        </w:rPr>
        <w:t>95</w:t>
      </w:r>
      <w:r>
        <w:rPr>
          <w:rFonts w:hint="eastAsia" w:ascii="宋体" w:hAnsi="宋体" w:eastAsia="宋体" w:cs="宋体"/>
          <w:color w:val="auto"/>
          <w:kern w:val="2"/>
          <w:szCs w:val="24"/>
          <w:highlight w:val="none"/>
        </w:rPr>
        <w:t>%的上一个月实际</w:t>
      </w:r>
      <w:r>
        <w:rPr>
          <w:rFonts w:hint="eastAsia" w:ascii="宋体" w:hAnsi="宋体" w:eastAsia="宋体" w:cs="宋体"/>
          <w:color w:val="auto"/>
          <w:kern w:val="2"/>
          <w:szCs w:val="24"/>
          <w:highlight w:val="none"/>
          <w:lang w:val="en-US" w:eastAsia="zh-CN"/>
        </w:rPr>
        <w:t>核算</w:t>
      </w:r>
      <w:r>
        <w:rPr>
          <w:rFonts w:hint="eastAsia" w:ascii="宋体" w:hAnsi="宋体" w:eastAsia="宋体" w:cs="宋体"/>
          <w:color w:val="auto"/>
          <w:kern w:val="2"/>
          <w:szCs w:val="24"/>
          <w:highlight w:val="none"/>
        </w:rPr>
        <w:t>金额作为工程验收</w:t>
      </w:r>
      <w:r>
        <w:rPr>
          <w:rFonts w:hint="eastAsia" w:ascii="宋体" w:hAnsi="宋体" w:eastAsia="宋体" w:cs="宋体"/>
          <w:color w:val="auto"/>
          <w:kern w:val="2"/>
          <w:sz w:val="21"/>
          <w:szCs w:val="24"/>
          <w:highlight w:val="none"/>
          <w:lang w:val="en-US" w:eastAsia="zh-CN"/>
        </w:rPr>
        <w:t>进度</w:t>
      </w:r>
      <w:r>
        <w:rPr>
          <w:rFonts w:hint="eastAsia" w:ascii="宋体" w:hAnsi="宋体" w:eastAsia="宋体" w:cs="宋体"/>
          <w:color w:val="auto"/>
          <w:kern w:val="2"/>
          <w:szCs w:val="24"/>
          <w:highlight w:val="none"/>
        </w:rPr>
        <w:t>款，质保期为6个月，质保期自该工程完工并经</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验收合格后起算。</w:t>
      </w:r>
    </w:p>
    <w:p w14:paraId="1C1C1A74">
      <w:pPr>
        <w:widowControl w:val="0"/>
        <w:adjustRightInd/>
        <w:snapToGrid/>
        <w:spacing w:line="360" w:lineRule="auto"/>
        <w:ind w:firstLine="367" w:firstLineChars="175"/>
        <w:jc w:val="both"/>
        <w:rPr>
          <w:rFonts w:hint="eastAsia" w:ascii="宋体" w:hAnsi="宋体" w:eastAsia="宋体" w:cs="宋体"/>
          <w:color w:val="auto"/>
          <w:kern w:val="2"/>
          <w:szCs w:val="24"/>
          <w:highlight w:val="none"/>
          <w:lang w:val="en-US" w:eastAsia="zh-CN"/>
        </w:rPr>
      </w:pPr>
      <w:r>
        <w:rPr>
          <w:rFonts w:hint="eastAsia" w:ascii="宋体" w:hAnsi="宋体" w:eastAsia="宋体" w:cs="宋体"/>
          <w:color w:val="auto"/>
          <w:kern w:val="2"/>
          <w:sz w:val="21"/>
          <w:szCs w:val="24"/>
          <w:highlight w:val="none"/>
          <w:lang w:eastAsia="zh-CN"/>
        </w:rPr>
        <w:t>（</w:t>
      </w:r>
      <w:r>
        <w:rPr>
          <w:rFonts w:hint="eastAsia" w:ascii="宋体" w:hAnsi="宋体" w:eastAsia="宋体" w:cs="宋体"/>
          <w:color w:val="auto"/>
          <w:kern w:val="2"/>
          <w:sz w:val="21"/>
          <w:szCs w:val="24"/>
          <w:highlight w:val="none"/>
          <w:lang w:val="en-US" w:eastAsia="zh-CN"/>
        </w:rPr>
        <w:t>3</w:t>
      </w:r>
      <w:r>
        <w:rPr>
          <w:rFonts w:hint="eastAsia" w:ascii="宋体" w:hAnsi="宋体" w:eastAsia="宋体" w:cs="宋体"/>
          <w:color w:val="auto"/>
          <w:kern w:val="2"/>
          <w:sz w:val="21"/>
          <w:szCs w:val="24"/>
          <w:highlight w:val="none"/>
          <w:lang w:eastAsia="zh-CN"/>
        </w:rPr>
        <w:t>）</w:t>
      </w:r>
      <w:r>
        <w:rPr>
          <w:rFonts w:hint="eastAsia" w:ascii="宋体" w:hAnsi="宋体" w:eastAsia="宋体" w:cs="宋体"/>
          <w:color w:val="auto"/>
          <w:kern w:val="2"/>
          <w:sz w:val="21"/>
          <w:szCs w:val="24"/>
          <w:highlight w:val="none"/>
          <w:lang w:val="en-US" w:eastAsia="zh-CN"/>
        </w:rPr>
        <w:t>合同期结束后中标人提交结算资料至甲方单位，双方确认结算资料无异议后办理结算。</w:t>
      </w:r>
      <w:r>
        <w:rPr>
          <w:rFonts w:hint="eastAsia" w:ascii="宋体" w:hAnsi="宋体" w:eastAsia="宋体" w:cs="宋体"/>
          <w:color w:val="auto"/>
          <w:kern w:val="2"/>
          <w:sz w:val="21"/>
          <w:szCs w:val="24"/>
          <w:highlight w:val="none"/>
        </w:rPr>
        <w:t>质保期结</w:t>
      </w:r>
      <w:r>
        <w:rPr>
          <w:rFonts w:hint="eastAsia" w:ascii="宋体" w:hAnsi="宋体" w:eastAsia="宋体" w:cs="宋体"/>
          <w:color w:val="auto"/>
          <w:kern w:val="2"/>
          <w:sz w:val="21"/>
          <w:szCs w:val="24"/>
          <w:highlight w:val="none"/>
          <w:lang w:eastAsia="zh-CN"/>
        </w:rPr>
        <w:t>束后</w:t>
      </w:r>
      <w:r>
        <w:rPr>
          <w:rFonts w:hint="eastAsia" w:ascii="宋体" w:hAnsi="宋体" w:eastAsia="宋体" w:cs="宋体"/>
          <w:color w:val="auto"/>
          <w:kern w:val="2"/>
          <w:sz w:val="21"/>
          <w:szCs w:val="24"/>
          <w:highlight w:val="none"/>
        </w:rPr>
        <w:t>，</w:t>
      </w:r>
      <w:r>
        <w:rPr>
          <w:rFonts w:hint="eastAsia" w:ascii="宋体" w:hAnsi="宋体" w:cs="宋体"/>
          <w:color w:val="auto"/>
          <w:kern w:val="2"/>
          <w:sz w:val="21"/>
          <w:szCs w:val="24"/>
          <w:highlight w:val="none"/>
          <w:lang w:val="en-US" w:eastAsia="zh-CN"/>
        </w:rPr>
        <w:t>采购人</w:t>
      </w:r>
      <w:r>
        <w:rPr>
          <w:rFonts w:hint="eastAsia" w:ascii="宋体" w:hAnsi="宋体" w:eastAsia="宋体" w:cs="宋体"/>
          <w:color w:val="auto"/>
          <w:kern w:val="2"/>
          <w:sz w:val="21"/>
          <w:szCs w:val="24"/>
          <w:highlight w:val="none"/>
        </w:rPr>
        <w:t>确认无工程质量问题且</w:t>
      </w:r>
      <w:r>
        <w:rPr>
          <w:rFonts w:hint="eastAsia" w:ascii="宋体" w:hAnsi="宋体" w:cs="宋体"/>
          <w:color w:val="auto"/>
          <w:kern w:val="2"/>
          <w:sz w:val="21"/>
          <w:szCs w:val="24"/>
          <w:highlight w:val="none"/>
          <w:lang w:val="en-US" w:eastAsia="zh-CN"/>
        </w:rPr>
        <w:t>中标人</w:t>
      </w:r>
      <w:r>
        <w:rPr>
          <w:rFonts w:hint="eastAsia" w:ascii="宋体" w:hAnsi="宋体" w:eastAsia="宋体" w:cs="宋体"/>
          <w:color w:val="auto"/>
          <w:kern w:val="2"/>
          <w:sz w:val="21"/>
          <w:szCs w:val="24"/>
          <w:highlight w:val="none"/>
        </w:rPr>
        <w:t>已完全履行完毕本合同项下所有义务（包括但不限于质量保修义务、违约责任承担、损失赔偿义务等）的，</w:t>
      </w:r>
      <w:r>
        <w:rPr>
          <w:rFonts w:hint="eastAsia" w:ascii="宋体" w:hAnsi="宋体" w:eastAsia="宋体" w:cs="宋体"/>
          <w:color w:val="auto"/>
          <w:kern w:val="2"/>
          <w:sz w:val="21"/>
          <w:szCs w:val="24"/>
          <w:highlight w:val="none"/>
          <w:lang w:eastAsia="zh-CN"/>
        </w:rPr>
        <w:t>采购人</w:t>
      </w:r>
      <w:r>
        <w:rPr>
          <w:rFonts w:hint="eastAsia" w:ascii="宋体" w:hAnsi="宋体" w:eastAsia="宋体" w:cs="宋体"/>
          <w:color w:val="auto"/>
          <w:kern w:val="2"/>
          <w:sz w:val="21"/>
          <w:szCs w:val="24"/>
          <w:highlight w:val="none"/>
        </w:rPr>
        <w:t>30天内付清</w:t>
      </w:r>
      <w:r>
        <w:rPr>
          <w:rFonts w:hint="eastAsia" w:ascii="宋体" w:hAnsi="宋体" w:eastAsia="宋体" w:cs="宋体"/>
          <w:color w:val="auto"/>
          <w:kern w:val="2"/>
          <w:sz w:val="21"/>
          <w:szCs w:val="24"/>
          <w:highlight w:val="none"/>
          <w:lang w:val="en-US" w:eastAsia="zh-CN"/>
        </w:rPr>
        <w:t>合同结算</w:t>
      </w:r>
      <w:r>
        <w:rPr>
          <w:rFonts w:hint="eastAsia" w:ascii="宋体" w:hAnsi="宋体" w:eastAsia="宋体" w:cs="宋体"/>
          <w:color w:val="auto"/>
          <w:kern w:val="2"/>
          <w:szCs w:val="24"/>
          <w:highlight w:val="none"/>
          <w:lang w:val="en-US" w:eastAsia="zh-CN"/>
        </w:rPr>
        <w:t>。</w:t>
      </w:r>
    </w:p>
    <w:p w14:paraId="78F60E5B">
      <w:pPr>
        <w:widowControl w:val="0"/>
        <w:adjustRightInd/>
        <w:snapToGrid/>
        <w:spacing w:line="360" w:lineRule="auto"/>
        <w:ind w:firstLine="367" w:firstLineChars="175"/>
        <w:jc w:val="both"/>
        <w:rPr>
          <w:rFonts w:hint="eastAsia" w:ascii="宋体" w:hAnsi="宋体" w:eastAsia="宋体" w:cs="宋体"/>
          <w:color w:val="auto"/>
          <w:kern w:val="2"/>
          <w:szCs w:val="24"/>
          <w:highlight w:val="none"/>
          <w:lang w:val="en-US" w:eastAsia="zh-CN"/>
        </w:rPr>
      </w:pPr>
      <w:r>
        <w:rPr>
          <w:rFonts w:hint="eastAsia" w:ascii="宋体" w:hAnsi="宋体" w:eastAsia="宋体" w:cs="宋体"/>
          <w:b w:val="0"/>
          <w:bCs w:val="0"/>
          <w:color w:val="auto"/>
          <w:kern w:val="2"/>
          <w:sz w:val="21"/>
          <w:szCs w:val="24"/>
          <w:highlight w:val="none"/>
          <w:lang w:val="en-US" w:eastAsia="zh-CN"/>
        </w:rPr>
        <w:t>2.相关资料</w:t>
      </w:r>
      <w:r>
        <w:rPr>
          <w:rFonts w:hint="eastAsia" w:ascii="宋体" w:hAnsi="宋体" w:eastAsia="宋体" w:cs="宋体"/>
          <w:b w:val="0"/>
          <w:bCs w:val="0"/>
          <w:color w:val="auto"/>
          <w:kern w:val="2"/>
          <w:sz w:val="21"/>
          <w:szCs w:val="24"/>
          <w:highlight w:val="none"/>
          <w:lang w:val="zh-CN"/>
        </w:rPr>
        <w:t>办理流程</w:t>
      </w:r>
    </w:p>
    <w:p w14:paraId="23CC10D2">
      <w:pPr>
        <w:widowControl w:val="0"/>
        <w:adjustRightInd/>
        <w:snapToGrid/>
        <w:spacing w:line="360" w:lineRule="auto"/>
        <w:ind w:firstLine="367" w:firstLineChars="175"/>
        <w:jc w:val="both"/>
        <w:rPr>
          <w:rFonts w:hint="eastAsia" w:ascii="宋体" w:hAnsi="宋体" w:eastAsia="宋体" w:cs="宋体"/>
          <w:color w:val="auto"/>
          <w:kern w:val="2"/>
          <w:szCs w:val="24"/>
          <w:highlight w:val="none"/>
        </w:rPr>
      </w:pPr>
      <w:r>
        <w:rPr>
          <w:rFonts w:hint="eastAsia" w:ascii="宋体" w:hAnsi="宋体" w:eastAsia="宋体" w:cs="宋体"/>
          <w:color w:val="auto"/>
          <w:kern w:val="2"/>
          <w:sz w:val="21"/>
          <w:szCs w:val="24"/>
          <w:highlight w:val="none"/>
        </w:rPr>
        <w:t>（1）锅炉施工工程</w:t>
      </w:r>
      <w:r>
        <w:rPr>
          <w:rFonts w:hint="eastAsia" w:ascii="宋体" w:hAnsi="宋体" w:eastAsia="宋体" w:cs="宋体"/>
          <w:color w:val="auto"/>
          <w:kern w:val="2"/>
          <w:szCs w:val="24"/>
          <w:highlight w:val="none"/>
          <w:lang w:val="en-US" w:eastAsia="zh-CN"/>
        </w:rPr>
        <w:t>每</w:t>
      </w:r>
      <w:r>
        <w:rPr>
          <w:rFonts w:hint="eastAsia" w:ascii="宋体" w:hAnsi="宋体" w:eastAsia="宋体" w:cs="宋体"/>
          <w:color w:val="auto"/>
          <w:kern w:val="2"/>
          <w:szCs w:val="24"/>
          <w:highlight w:val="none"/>
        </w:rPr>
        <w:t>次施工工程结束后7天内，</w:t>
      </w:r>
      <w:r>
        <w:rPr>
          <w:rFonts w:hint="eastAsia" w:ascii="宋体" w:hAnsi="宋体" w:eastAsia="宋体" w:cs="宋体"/>
          <w:color w:val="auto"/>
          <w:kern w:val="2"/>
          <w:szCs w:val="24"/>
          <w:highlight w:val="none"/>
          <w:lang w:val="en-US" w:eastAsia="zh-CN"/>
        </w:rPr>
        <w:t>中标人出具《新东元锅炉设备及系统检修总结报告》（相关格式可参照附件2），</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生技部出具《工程竣工验收签证书》和《工程量确认单》经相关人员审签，其中：</w:t>
      </w:r>
    </w:p>
    <w:p w14:paraId="3DEB7A81">
      <w:pPr>
        <w:widowControl w:val="0"/>
        <w:adjustRightInd/>
        <w:snapToGrid/>
        <w:spacing w:line="360" w:lineRule="auto"/>
        <w:ind w:firstLine="367" w:firstLineChars="175"/>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专业工程师出具《工程竣工验收签证书》一式一份，经</w:t>
      </w:r>
      <w:r>
        <w:rPr>
          <w:rFonts w:hint="eastAsia" w:ascii="宋体" w:hAnsi="宋体" w:eastAsia="宋体" w:cs="宋体"/>
          <w:color w:val="auto"/>
          <w:kern w:val="2"/>
          <w:szCs w:val="24"/>
          <w:highlight w:val="none"/>
          <w:lang w:eastAsia="zh-CN"/>
        </w:rPr>
        <w:t>中标人</w:t>
      </w:r>
      <w:r>
        <w:rPr>
          <w:rFonts w:hint="eastAsia" w:ascii="宋体" w:hAnsi="宋体" w:eastAsia="宋体" w:cs="宋体"/>
          <w:color w:val="auto"/>
          <w:kern w:val="2"/>
          <w:szCs w:val="24"/>
          <w:highlight w:val="none"/>
        </w:rPr>
        <w:t>负责人签名并盖章后，交</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签名并盖公章。</w:t>
      </w:r>
    </w:p>
    <w:p w14:paraId="03CB1C84">
      <w:pPr>
        <w:widowControl w:val="0"/>
        <w:adjustRightInd/>
        <w:snapToGrid/>
        <w:spacing w:line="360" w:lineRule="auto"/>
        <w:ind w:firstLine="367" w:firstLineChars="175"/>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专业工程师出具《工程量确认单》一式一份，经</w:t>
      </w:r>
      <w:r>
        <w:rPr>
          <w:rFonts w:hint="eastAsia" w:ascii="宋体" w:hAnsi="宋体" w:eastAsia="宋体" w:cs="宋体"/>
          <w:color w:val="auto"/>
          <w:kern w:val="2"/>
          <w:szCs w:val="24"/>
          <w:highlight w:val="none"/>
          <w:lang w:eastAsia="zh-CN"/>
        </w:rPr>
        <w:t>中标人</w:t>
      </w:r>
      <w:r>
        <w:rPr>
          <w:rFonts w:hint="eastAsia" w:ascii="宋体" w:hAnsi="宋体" w:eastAsia="宋体" w:cs="宋体"/>
          <w:color w:val="auto"/>
          <w:kern w:val="2"/>
          <w:szCs w:val="24"/>
          <w:highlight w:val="none"/>
        </w:rPr>
        <w:t>负责人、</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专业工程师签名，交</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生技部统计员办理签名</w:t>
      </w:r>
      <w:r>
        <w:rPr>
          <w:rFonts w:hint="eastAsia" w:ascii="宋体" w:hAnsi="宋体" w:eastAsia="宋体" w:cs="宋体"/>
          <w:color w:val="auto"/>
          <w:kern w:val="2"/>
          <w:szCs w:val="24"/>
          <w:highlight w:val="none"/>
          <w:lang w:eastAsia="zh-CN"/>
        </w:rPr>
        <w:t>并加</w:t>
      </w:r>
      <w:r>
        <w:rPr>
          <w:rFonts w:hint="eastAsia" w:ascii="宋体" w:hAnsi="宋体" w:eastAsia="宋体" w:cs="宋体"/>
          <w:color w:val="auto"/>
          <w:kern w:val="2"/>
          <w:szCs w:val="24"/>
          <w:highlight w:val="none"/>
        </w:rPr>
        <w:t>盖公章。</w:t>
      </w:r>
    </w:p>
    <w:p w14:paraId="2E3B751B">
      <w:pPr>
        <w:widowControl w:val="0"/>
        <w:numPr>
          <w:ilvl w:val="0"/>
          <w:numId w:val="2"/>
        </w:numPr>
        <w:adjustRightInd/>
        <w:snapToGrid/>
        <w:spacing w:line="360" w:lineRule="auto"/>
        <w:ind w:firstLine="367" w:firstLineChars="175"/>
        <w:jc w:val="both"/>
        <w:rPr>
          <w:rFonts w:hint="eastAsia" w:ascii="宋体" w:hAnsi="宋体" w:eastAsia="宋体" w:cs="宋体"/>
          <w:color w:val="auto"/>
          <w:kern w:val="2"/>
          <w:szCs w:val="24"/>
          <w:highlight w:val="none"/>
        </w:rPr>
      </w:pPr>
      <w:r>
        <w:rPr>
          <w:rFonts w:hint="eastAsia" w:ascii="宋体" w:hAnsi="宋体" w:eastAsia="宋体" w:cs="宋体"/>
          <w:color w:val="auto"/>
          <w:kern w:val="2"/>
          <w:sz w:val="21"/>
          <w:szCs w:val="24"/>
          <w:highlight w:val="none"/>
        </w:rPr>
        <w:t>日常配合项目，月度外判工程及小型施工工程</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生技部出具《工程竣工验收签证书》和《工程量确认单》经相关人员审签，其中：</w:t>
      </w:r>
    </w:p>
    <w:p w14:paraId="4F77EAB0">
      <w:pPr>
        <w:widowControl w:val="0"/>
        <w:adjustRightInd/>
        <w:snapToGrid/>
        <w:spacing w:line="360" w:lineRule="auto"/>
        <w:ind w:firstLine="367" w:firstLineChars="175"/>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专业工程师</w:t>
      </w:r>
      <w:r>
        <w:rPr>
          <w:rFonts w:hint="eastAsia" w:ascii="宋体" w:hAnsi="宋体" w:eastAsia="宋体" w:cs="宋体"/>
          <w:color w:val="auto"/>
          <w:kern w:val="2"/>
          <w:szCs w:val="24"/>
          <w:highlight w:val="none"/>
          <w:lang w:val="en-US" w:eastAsia="zh-CN"/>
        </w:rPr>
        <w:t>按月</w:t>
      </w:r>
      <w:r>
        <w:rPr>
          <w:rFonts w:hint="eastAsia" w:ascii="宋体" w:hAnsi="宋体" w:eastAsia="宋体" w:cs="宋体"/>
          <w:color w:val="auto"/>
          <w:kern w:val="2"/>
          <w:szCs w:val="24"/>
          <w:highlight w:val="none"/>
        </w:rPr>
        <w:t>出具《工程竣工验收签证书》一式一份，经</w:t>
      </w:r>
      <w:r>
        <w:rPr>
          <w:rFonts w:hint="eastAsia" w:ascii="宋体" w:hAnsi="宋体" w:eastAsia="宋体" w:cs="宋体"/>
          <w:color w:val="auto"/>
          <w:kern w:val="2"/>
          <w:szCs w:val="24"/>
          <w:highlight w:val="none"/>
          <w:lang w:eastAsia="zh-CN"/>
        </w:rPr>
        <w:t>中标人</w:t>
      </w:r>
      <w:r>
        <w:rPr>
          <w:rFonts w:hint="eastAsia" w:ascii="宋体" w:hAnsi="宋体" w:eastAsia="宋体" w:cs="宋体"/>
          <w:color w:val="auto"/>
          <w:kern w:val="2"/>
          <w:szCs w:val="24"/>
          <w:highlight w:val="none"/>
        </w:rPr>
        <w:t>负责人签名并盖章后，交</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签名并盖公章。</w:t>
      </w:r>
    </w:p>
    <w:p w14:paraId="0061AA49">
      <w:pPr>
        <w:widowControl w:val="0"/>
        <w:adjustRightInd/>
        <w:snapToGrid/>
        <w:spacing w:line="360" w:lineRule="auto"/>
        <w:ind w:firstLine="367" w:firstLineChars="175"/>
        <w:jc w:val="both"/>
        <w:rPr>
          <w:rFonts w:hint="eastAsia" w:ascii="宋体" w:hAnsi="宋体" w:eastAsia="宋体" w:cs="宋体"/>
          <w:color w:val="auto"/>
          <w:kern w:val="2"/>
          <w:szCs w:val="24"/>
          <w:highlight w:val="none"/>
          <w:lang w:eastAsia="zh-CN"/>
        </w:rPr>
      </w:pP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专业工程师</w:t>
      </w:r>
      <w:r>
        <w:rPr>
          <w:rFonts w:hint="eastAsia" w:ascii="宋体" w:hAnsi="宋体" w:eastAsia="宋体" w:cs="宋体"/>
          <w:color w:val="auto"/>
          <w:kern w:val="2"/>
          <w:szCs w:val="24"/>
          <w:highlight w:val="none"/>
          <w:lang w:val="en-US" w:eastAsia="zh-CN"/>
        </w:rPr>
        <w:t>按日</w:t>
      </w:r>
      <w:r>
        <w:rPr>
          <w:rFonts w:hint="eastAsia" w:ascii="宋体" w:hAnsi="宋体" w:eastAsia="宋体" w:cs="宋体"/>
          <w:color w:val="auto"/>
          <w:kern w:val="2"/>
          <w:szCs w:val="24"/>
          <w:highlight w:val="none"/>
        </w:rPr>
        <w:t>出具《</w:t>
      </w:r>
      <w:r>
        <w:rPr>
          <w:rFonts w:hint="eastAsia" w:ascii="宋体" w:hAnsi="宋体" w:eastAsia="宋体" w:cs="宋体"/>
          <w:color w:val="auto"/>
          <w:kern w:val="2"/>
          <w:szCs w:val="24"/>
          <w:highlight w:val="none"/>
          <w:lang w:val="en-US" w:eastAsia="zh-CN"/>
        </w:rPr>
        <w:t>用工及日常项</w:t>
      </w:r>
      <w:r>
        <w:rPr>
          <w:rFonts w:hint="eastAsia" w:ascii="宋体" w:hAnsi="宋体" w:eastAsia="宋体" w:cs="宋体"/>
          <w:color w:val="auto"/>
          <w:kern w:val="2"/>
          <w:szCs w:val="24"/>
          <w:highlight w:val="none"/>
        </w:rPr>
        <w:t>确认单》</w:t>
      </w:r>
      <w:r>
        <w:rPr>
          <w:rFonts w:hint="eastAsia" w:ascii="宋体" w:hAnsi="宋体" w:eastAsia="宋体" w:cs="宋体"/>
          <w:color w:val="auto"/>
          <w:kern w:val="2"/>
          <w:szCs w:val="24"/>
          <w:highlight w:val="none"/>
          <w:lang w:eastAsia="zh-CN"/>
        </w:rPr>
        <w:t>、</w:t>
      </w:r>
      <w:r>
        <w:rPr>
          <w:rFonts w:hint="eastAsia" w:ascii="宋体" w:hAnsi="宋体" w:eastAsia="宋体" w:cs="宋体"/>
          <w:color w:val="auto"/>
          <w:kern w:val="2"/>
          <w:szCs w:val="24"/>
          <w:highlight w:val="none"/>
        </w:rPr>
        <w:t>一式一份，经</w:t>
      </w:r>
      <w:r>
        <w:rPr>
          <w:rFonts w:hint="eastAsia" w:ascii="宋体" w:hAnsi="宋体" w:eastAsia="宋体" w:cs="宋体"/>
          <w:color w:val="auto"/>
          <w:kern w:val="2"/>
          <w:szCs w:val="24"/>
          <w:highlight w:val="none"/>
          <w:lang w:eastAsia="zh-CN"/>
        </w:rPr>
        <w:t>中标人</w:t>
      </w:r>
      <w:r>
        <w:rPr>
          <w:rFonts w:hint="eastAsia" w:ascii="宋体" w:hAnsi="宋体" w:eastAsia="宋体" w:cs="宋体"/>
          <w:color w:val="auto"/>
          <w:kern w:val="2"/>
          <w:szCs w:val="24"/>
          <w:highlight w:val="none"/>
        </w:rPr>
        <w:t>负责人、</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专业工程师签名，交</w:t>
      </w:r>
      <w:r>
        <w:rPr>
          <w:rFonts w:hint="eastAsia" w:ascii="宋体" w:hAnsi="宋体" w:eastAsia="宋体" w:cs="宋体"/>
          <w:color w:val="auto"/>
          <w:kern w:val="2"/>
          <w:szCs w:val="24"/>
          <w:highlight w:val="none"/>
          <w:lang w:eastAsia="zh-CN"/>
        </w:rPr>
        <w:t>采购人</w:t>
      </w:r>
      <w:r>
        <w:rPr>
          <w:rFonts w:hint="eastAsia" w:ascii="宋体" w:hAnsi="宋体" w:eastAsia="宋体" w:cs="宋体"/>
          <w:color w:val="auto"/>
          <w:kern w:val="2"/>
          <w:szCs w:val="24"/>
          <w:highlight w:val="none"/>
        </w:rPr>
        <w:t>生技部统计员办理签名</w:t>
      </w:r>
      <w:r>
        <w:rPr>
          <w:rFonts w:hint="eastAsia" w:ascii="宋体" w:hAnsi="宋体" w:eastAsia="宋体" w:cs="宋体"/>
          <w:color w:val="auto"/>
          <w:kern w:val="2"/>
          <w:szCs w:val="24"/>
          <w:highlight w:val="none"/>
          <w:lang w:eastAsia="zh-CN"/>
        </w:rPr>
        <w:t>，</w:t>
      </w:r>
      <w:r>
        <w:rPr>
          <w:rFonts w:hint="eastAsia" w:ascii="宋体" w:hAnsi="宋体" w:eastAsia="宋体" w:cs="宋体"/>
          <w:color w:val="auto"/>
          <w:kern w:val="2"/>
          <w:szCs w:val="24"/>
          <w:highlight w:val="none"/>
          <w:lang w:val="en-US" w:eastAsia="zh-CN"/>
        </w:rPr>
        <w:t>并于月度汇总单上双方签字盖章</w:t>
      </w:r>
      <w:r>
        <w:rPr>
          <w:rFonts w:hint="eastAsia" w:ascii="宋体" w:hAnsi="宋体" w:eastAsia="宋体" w:cs="宋体"/>
          <w:color w:val="auto"/>
          <w:kern w:val="2"/>
          <w:szCs w:val="24"/>
          <w:highlight w:val="none"/>
        </w:rPr>
        <w:t>。</w:t>
      </w:r>
    </w:p>
    <w:p w14:paraId="4E40FBE2">
      <w:pPr>
        <w:widowControl w:val="0"/>
        <w:numPr>
          <w:ilvl w:val="0"/>
          <w:numId w:val="0"/>
        </w:numPr>
        <w:adjustRightInd/>
        <w:snapToGrid/>
        <w:spacing w:line="360" w:lineRule="auto"/>
        <w:ind w:firstLine="422" w:firstLineChars="200"/>
        <w:jc w:val="both"/>
        <w:rPr>
          <w:rFonts w:hint="eastAsia" w:ascii="宋体" w:hAnsi="宋体" w:eastAsia="宋体" w:cs="宋体"/>
          <w:color w:val="auto"/>
          <w:kern w:val="2"/>
          <w:szCs w:val="21"/>
          <w:highlight w:val="none"/>
        </w:rPr>
      </w:pPr>
      <w:r>
        <w:rPr>
          <w:rFonts w:hint="eastAsia" w:ascii="宋体" w:hAnsi="宋体" w:eastAsia="宋体" w:cs="宋体"/>
          <w:b/>
          <w:bCs/>
          <w:color w:val="auto"/>
          <w:kern w:val="2"/>
          <w:szCs w:val="21"/>
          <w:highlight w:val="none"/>
        </w:rPr>
        <w:t>若因</w:t>
      </w:r>
      <w:r>
        <w:rPr>
          <w:rFonts w:hint="eastAsia" w:ascii="宋体" w:hAnsi="宋体" w:eastAsia="宋体" w:cs="宋体"/>
          <w:b/>
          <w:bCs/>
          <w:color w:val="auto"/>
          <w:kern w:val="2"/>
          <w:szCs w:val="21"/>
          <w:highlight w:val="none"/>
          <w:lang w:eastAsia="zh-CN"/>
        </w:rPr>
        <w:t>中标人</w:t>
      </w:r>
      <w:r>
        <w:rPr>
          <w:rFonts w:hint="eastAsia" w:ascii="宋体" w:hAnsi="宋体" w:eastAsia="宋体" w:cs="宋体"/>
          <w:b/>
          <w:bCs/>
          <w:color w:val="auto"/>
          <w:kern w:val="2"/>
          <w:szCs w:val="21"/>
          <w:highlight w:val="none"/>
        </w:rPr>
        <w:t>原因没有在上述期限内完成《工程竣工验收签证书》和《工程量确认单》审签工作的，该次检修工程款</w:t>
      </w:r>
      <w:r>
        <w:rPr>
          <w:rFonts w:hint="eastAsia" w:ascii="宋体" w:hAnsi="宋体" w:eastAsia="宋体" w:cs="宋体"/>
          <w:b/>
          <w:bCs/>
          <w:color w:val="auto"/>
          <w:kern w:val="2"/>
          <w:szCs w:val="21"/>
          <w:highlight w:val="none"/>
          <w:lang w:eastAsia="zh-CN"/>
        </w:rPr>
        <w:t>在</w:t>
      </w:r>
      <w:r>
        <w:rPr>
          <w:rFonts w:hint="eastAsia" w:ascii="宋体" w:hAnsi="宋体" w:eastAsia="宋体" w:cs="宋体"/>
          <w:b/>
          <w:bCs/>
          <w:color w:val="auto"/>
          <w:kern w:val="2"/>
          <w:szCs w:val="21"/>
          <w:highlight w:val="none"/>
        </w:rPr>
        <w:t>该次检修工程验收合格之日起一年后支付（特殊情况除外）。</w:t>
      </w:r>
    </w:p>
    <w:p w14:paraId="18691B85">
      <w:pPr>
        <w:widowControl/>
        <w:spacing w:before="0" w:beforeLines="0" w:beforeAutospacing="0" w:after="0" w:afterLines="0" w:afterAutospacing="0"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注：以上流程适用于常规项目及特殊项目、日常配合项目，月度外判工程及小型施工工程（月度外判工程和小型施工工程指不能套用常规项目和特殊项目单价包干按工日结算项目）。</w:t>
      </w:r>
    </w:p>
    <w:p w14:paraId="7BCCDFA4">
      <w:pPr>
        <w:rPr>
          <w:rFonts w:hint="eastAsia" w:ascii="宋体" w:hAnsi="宋体" w:eastAsia="宋体" w:cs="宋体"/>
          <w:color w:val="auto"/>
          <w:szCs w:val="21"/>
          <w:highlight w:val="none"/>
        </w:rPr>
      </w:pPr>
    </w:p>
    <w:p w14:paraId="3D575DAE">
      <w:pPr>
        <w:rPr>
          <w:rFonts w:hint="eastAsia" w:ascii="宋体" w:hAnsi="宋体" w:eastAsia="宋体" w:cs="宋体"/>
          <w:color w:val="auto"/>
          <w:highlight w:val="none"/>
        </w:rPr>
      </w:pPr>
    </w:p>
    <w:bookmarkEnd w:id="10"/>
    <w:bookmarkEnd w:id="11"/>
    <w:bookmarkEnd w:id="12"/>
    <w:bookmarkEnd w:id="13"/>
    <w:p w14:paraId="006AC3C4">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5F580737">
      <w:pPr>
        <w:pStyle w:val="2"/>
        <w:spacing w:before="0" w:after="0" w:line="240" w:lineRule="auto"/>
        <w:rPr>
          <w:rFonts w:hint="eastAsia" w:ascii="宋体" w:hAnsi="宋体" w:eastAsia="宋体" w:cs="宋体"/>
          <w:color w:val="auto"/>
          <w:sz w:val="24"/>
          <w:szCs w:val="24"/>
          <w:highlight w:val="none"/>
        </w:rPr>
      </w:pPr>
      <w:bookmarkStart w:id="60" w:name="_Toc7552"/>
      <w:r>
        <w:rPr>
          <w:rFonts w:hint="eastAsia" w:ascii="宋体" w:hAnsi="宋体" w:eastAsia="宋体" w:cs="宋体"/>
          <w:color w:val="auto"/>
          <w:sz w:val="28"/>
          <w:szCs w:val="28"/>
          <w:highlight w:val="none"/>
        </w:rPr>
        <w:t>第四部分投标人须知</w:t>
      </w:r>
      <w:bookmarkEnd w:id="60"/>
    </w:p>
    <w:p w14:paraId="29163D3E">
      <w:pPr>
        <w:pStyle w:val="4"/>
        <w:numPr>
          <w:ilvl w:val="0"/>
          <w:numId w:val="3"/>
        </w:numPr>
        <w:spacing w:before="0" w:after="0" w:line="480" w:lineRule="auto"/>
        <w:jc w:val="center"/>
        <w:rPr>
          <w:rFonts w:hint="eastAsia" w:ascii="宋体" w:hAnsi="宋体" w:eastAsia="宋体" w:cs="宋体"/>
          <w:color w:val="auto"/>
          <w:highlight w:val="none"/>
        </w:rPr>
      </w:pPr>
      <w:bookmarkStart w:id="61" w:name="_Toc12405"/>
      <w:r>
        <w:rPr>
          <w:rFonts w:hint="eastAsia" w:ascii="宋体" w:hAnsi="宋体" w:eastAsia="宋体" w:cs="宋体"/>
          <w:color w:val="auto"/>
          <w:highlight w:val="none"/>
        </w:rPr>
        <w:t>说明</w:t>
      </w:r>
      <w:bookmarkEnd w:id="61"/>
    </w:p>
    <w:p w14:paraId="415A7EDE">
      <w:pPr>
        <w:pStyle w:val="5"/>
        <w:widowControl w:val="0"/>
        <w:numPr>
          <w:ilvl w:val="0"/>
          <w:numId w:val="4"/>
        </w:numPr>
        <w:overflowPunct w:val="0"/>
        <w:rPr>
          <w:rFonts w:hint="eastAsia" w:ascii="宋体" w:hAnsi="宋体" w:eastAsia="宋体" w:cs="宋体"/>
          <w:color w:val="auto"/>
          <w:sz w:val="21"/>
          <w:szCs w:val="21"/>
          <w:highlight w:val="none"/>
        </w:rPr>
      </w:pPr>
      <w:bookmarkStart w:id="62" w:name="_Toc17031"/>
      <w:bookmarkStart w:id="63" w:name="_Toc3534"/>
      <w:r>
        <w:rPr>
          <w:rFonts w:hint="eastAsia" w:ascii="宋体" w:hAnsi="宋体" w:eastAsia="宋体" w:cs="宋体"/>
          <w:color w:val="auto"/>
          <w:sz w:val="21"/>
          <w:szCs w:val="21"/>
          <w:highlight w:val="none"/>
        </w:rPr>
        <w:t>适用范围</w:t>
      </w:r>
      <w:bookmarkEnd w:id="62"/>
      <w:bookmarkEnd w:id="63"/>
    </w:p>
    <w:p w14:paraId="044920E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采购范围：见本文件《用户需求书》</w:t>
      </w:r>
    </w:p>
    <w:p w14:paraId="7BDF7BBB">
      <w:pPr>
        <w:rPr>
          <w:rFonts w:hint="eastAsia" w:ascii="宋体" w:hAnsi="宋体" w:eastAsia="宋体" w:cs="宋体"/>
          <w:color w:val="auto"/>
          <w:highlight w:val="none"/>
        </w:rPr>
      </w:pPr>
    </w:p>
    <w:p w14:paraId="445F4CB5">
      <w:pPr>
        <w:pStyle w:val="5"/>
        <w:widowControl w:val="0"/>
        <w:numPr>
          <w:ilvl w:val="0"/>
          <w:numId w:val="4"/>
        </w:numPr>
        <w:overflowPunct w:val="0"/>
        <w:rPr>
          <w:rFonts w:hint="eastAsia" w:ascii="宋体" w:hAnsi="宋体" w:eastAsia="宋体" w:cs="宋体"/>
          <w:color w:val="auto"/>
          <w:sz w:val="21"/>
          <w:szCs w:val="21"/>
          <w:highlight w:val="none"/>
        </w:rPr>
      </w:pPr>
      <w:bookmarkStart w:id="64" w:name="_Toc298847174"/>
      <w:bookmarkStart w:id="65" w:name="_Toc20286"/>
      <w:bookmarkStart w:id="66" w:name="_Toc1530"/>
      <w:bookmarkStart w:id="67" w:name="_Toc22190"/>
      <w:bookmarkStart w:id="68" w:name="_Toc382049092"/>
      <w:bookmarkStart w:id="69" w:name="_Toc303084246"/>
      <w:r>
        <w:rPr>
          <w:rFonts w:hint="eastAsia" w:ascii="宋体" w:hAnsi="宋体" w:eastAsia="宋体" w:cs="宋体"/>
          <w:color w:val="auto"/>
          <w:sz w:val="21"/>
          <w:szCs w:val="21"/>
          <w:highlight w:val="none"/>
        </w:rPr>
        <w:t>定义</w:t>
      </w:r>
      <w:bookmarkEnd w:id="64"/>
      <w:bookmarkEnd w:id="65"/>
      <w:bookmarkEnd w:id="66"/>
      <w:bookmarkEnd w:id="67"/>
      <w:bookmarkEnd w:id="68"/>
      <w:bookmarkEnd w:id="69"/>
    </w:p>
    <w:p w14:paraId="30E34397">
      <w:pPr>
        <w:pStyle w:val="42"/>
        <w:widowControl w:val="0"/>
        <w:adjustRightInd/>
        <w:snapToGrid/>
        <w:ind w:left="425" w:hanging="425" w:firstLineChars="0"/>
        <w:jc w:val="both"/>
        <w:rPr>
          <w:rFonts w:hint="eastAsia" w:ascii="宋体" w:hAnsi="宋体" w:eastAsia="宋体" w:cs="宋体"/>
          <w:vanish/>
          <w:color w:val="auto"/>
          <w:szCs w:val="21"/>
          <w:highlight w:val="none"/>
        </w:rPr>
      </w:pPr>
    </w:p>
    <w:p w14:paraId="0E0A4D3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采购人：见投标邀请书。</w:t>
      </w:r>
    </w:p>
    <w:p w14:paraId="5FBDFD0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投标人：响应采购并且符合采购文件规定资格条件和参加投标竞争的法人、其他组织或者自然人。</w:t>
      </w:r>
    </w:p>
    <w:p w14:paraId="0717356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法人：法人是依法在国内进行注册并具有民事权利能力和民事行为能力，依法独立享有民事权利和承担民事义务的组织。</w:t>
      </w:r>
    </w:p>
    <w:p w14:paraId="04892B20">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中标人：指经评标委员会评审推荐、采购人确认的获得本项目中标资格的投标人。</w:t>
      </w:r>
    </w:p>
    <w:p w14:paraId="6DA6FCB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采购代理机构：见投标邀请书。</w:t>
      </w:r>
    </w:p>
    <w:p w14:paraId="1CD1138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评标委员会：评标委员会是依据相关规定组建的专门负责本次采购其评标工作的临时性机构。</w:t>
      </w:r>
    </w:p>
    <w:p w14:paraId="43C9AEA0">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合同：指由本次采购所产生的合同或合约文件。</w:t>
      </w:r>
    </w:p>
    <w:p w14:paraId="79F92333">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章：公章是指经过正规的法定程序并备案的法人公章与投标专用章。（投标人如在投标文件中使用“投标专用章”，应提供法定代表人签字或加盖公章说明该“投标专用章”与法人公章具备同等效力的证明文件，且投标当天应携带相关原件到现场，以供核查。因投标文件未提供相关手续复印件和无法核查投标专用章的真实性而导致的后果由投标人自行承担。）</w:t>
      </w:r>
    </w:p>
    <w:p w14:paraId="3E75B81A">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时间：本文件规定按日计算期间的，开始当天不计入，从次日开始计算。期限的最后一日是国家法定节假日的，顺延到节假日后的次日为期限的最后一日。</w:t>
      </w:r>
    </w:p>
    <w:p w14:paraId="0DCA9784">
      <w:pPr>
        <w:rPr>
          <w:rFonts w:hint="eastAsia" w:ascii="宋体" w:hAnsi="宋体" w:eastAsia="宋体" w:cs="宋体"/>
          <w:color w:val="auto"/>
          <w:highlight w:val="none"/>
        </w:rPr>
      </w:pPr>
    </w:p>
    <w:p w14:paraId="2A3BA16A">
      <w:pPr>
        <w:pStyle w:val="5"/>
        <w:widowControl w:val="0"/>
        <w:numPr>
          <w:ilvl w:val="0"/>
          <w:numId w:val="4"/>
        </w:numPr>
        <w:overflowPunct w:val="0"/>
        <w:rPr>
          <w:rFonts w:hint="eastAsia" w:ascii="宋体" w:hAnsi="宋体" w:eastAsia="宋体" w:cs="宋体"/>
          <w:color w:val="auto"/>
          <w:sz w:val="21"/>
          <w:szCs w:val="21"/>
          <w:highlight w:val="none"/>
        </w:rPr>
      </w:pPr>
      <w:bookmarkStart w:id="70" w:name="_Toc11624"/>
      <w:bookmarkStart w:id="71" w:name="_Toc31122"/>
      <w:r>
        <w:rPr>
          <w:rFonts w:hint="eastAsia" w:ascii="宋体" w:hAnsi="宋体" w:eastAsia="宋体" w:cs="宋体"/>
          <w:color w:val="auto"/>
          <w:sz w:val="21"/>
          <w:szCs w:val="21"/>
          <w:highlight w:val="none"/>
        </w:rPr>
        <w:t>货物和服务</w:t>
      </w:r>
      <w:bookmarkEnd w:id="70"/>
      <w:bookmarkEnd w:id="71"/>
    </w:p>
    <w:p w14:paraId="7AC8D0FF">
      <w:pPr>
        <w:pStyle w:val="42"/>
        <w:widowControl w:val="0"/>
        <w:adjustRightInd/>
        <w:snapToGrid/>
        <w:ind w:left="425" w:hanging="425" w:firstLineChars="0"/>
        <w:jc w:val="both"/>
        <w:rPr>
          <w:rFonts w:hint="eastAsia" w:ascii="宋体" w:hAnsi="宋体" w:eastAsia="宋体" w:cs="宋体"/>
          <w:vanish/>
          <w:color w:val="auto"/>
          <w:szCs w:val="21"/>
          <w:highlight w:val="none"/>
        </w:rPr>
      </w:pPr>
    </w:p>
    <w:p w14:paraId="179F658C">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货物是指各种形态和种类的物品，包括原材料、燃料、设备、产品等。</w:t>
      </w:r>
    </w:p>
    <w:p w14:paraId="74A88F3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服务是指除货物和工程以外的其他采购对象。</w:t>
      </w:r>
    </w:p>
    <w:p w14:paraId="6747CDD7">
      <w:pPr>
        <w:rPr>
          <w:rFonts w:hint="eastAsia" w:ascii="宋体" w:hAnsi="宋体" w:eastAsia="宋体" w:cs="宋体"/>
          <w:color w:val="auto"/>
          <w:highlight w:val="none"/>
        </w:rPr>
      </w:pPr>
    </w:p>
    <w:p w14:paraId="6273A91D">
      <w:pPr>
        <w:pStyle w:val="5"/>
        <w:widowControl w:val="0"/>
        <w:numPr>
          <w:ilvl w:val="0"/>
          <w:numId w:val="4"/>
        </w:numPr>
        <w:overflowPunct w:val="0"/>
        <w:rPr>
          <w:rFonts w:hint="eastAsia" w:ascii="宋体" w:hAnsi="宋体" w:eastAsia="宋体" w:cs="宋体"/>
          <w:color w:val="auto"/>
          <w:sz w:val="21"/>
          <w:szCs w:val="21"/>
          <w:highlight w:val="none"/>
        </w:rPr>
      </w:pPr>
      <w:bookmarkStart w:id="72" w:name="_Toc15719"/>
      <w:bookmarkStart w:id="73" w:name="_Toc30603"/>
      <w:r>
        <w:rPr>
          <w:rFonts w:hint="eastAsia" w:ascii="宋体" w:hAnsi="宋体" w:eastAsia="宋体" w:cs="宋体"/>
          <w:color w:val="auto"/>
          <w:sz w:val="21"/>
          <w:szCs w:val="21"/>
          <w:highlight w:val="none"/>
        </w:rPr>
        <w:t>投标费用</w:t>
      </w:r>
      <w:bookmarkEnd w:id="72"/>
      <w:bookmarkEnd w:id="73"/>
    </w:p>
    <w:p w14:paraId="175375A0">
      <w:pPr>
        <w:pStyle w:val="42"/>
        <w:widowControl w:val="0"/>
        <w:adjustRightInd/>
        <w:snapToGrid/>
        <w:ind w:left="425" w:hanging="425" w:firstLineChars="0"/>
        <w:jc w:val="both"/>
        <w:rPr>
          <w:rFonts w:hint="eastAsia" w:ascii="宋体" w:hAnsi="宋体" w:eastAsia="宋体" w:cs="宋体"/>
          <w:vanish/>
          <w:color w:val="auto"/>
          <w:szCs w:val="21"/>
          <w:highlight w:val="none"/>
        </w:rPr>
      </w:pPr>
    </w:p>
    <w:p w14:paraId="6EE454B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投标人应承担所有与编写投标文件和参加投标有关的自身的所有费用，不论投标的结果如何，采购代理机构和采购人在任何情况下均无义务和责任承担这些费用。</w:t>
      </w:r>
    </w:p>
    <w:p w14:paraId="391B16E3">
      <w:pPr>
        <w:widowControl w:val="0"/>
        <w:adjustRightInd/>
        <w:snapToGrid/>
        <w:jc w:val="both"/>
        <w:rPr>
          <w:rFonts w:hint="eastAsia" w:ascii="宋体" w:hAnsi="宋体" w:eastAsia="宋体" w:cs="宋体"/>
          <w:color w:val="auto"/>
          <w:szCs w:val="21"/>
          <w:highlight w:val="none"/>
        </w:rPr>
      </w:pPr>
    </w:p>
    <w:p w14:paraId="455B59BE">
      <w:pPr>
        <w:pStyle w:val="5"/>
        <w:widowControl w:val="0"/>
        <w:numPr>
          <w:ilvl w:val="0"/>
          <w:numId w:val="4"/>
        </w:numPr>
        <w:overflowPunct w:val="0"/>
        <w:rPr>
          <w:rFonts w:hint="eastAsia" w:ascii="宋体" w:hAnsi="宋体" w:eastAsia="宋体" w:cs="宋体"/>
          <w:color w:val="auto"/>
          <w:sz w:val="21"/>
          <w:szCs w:val="21"/>
          <w:highlight w:val="none"/>
        </w:rPr>
      </w:pPr>
      <w:bookmarkStart w:id="74" w:name="_Toc6180"/>
      <w:bookmarkStart w:id="75" w:name="_Toc31652"/>
      <w:r>
        <w:rPr>
          <w:rFonts w:hint="eastAsia" w:ascii="宋体" w:hAnsi="宋体" w:eastAsia="宋体" w:cs="宋体"/>
          <w:color w:val="auto"/>
          <w:sz w:val="21"/>
          <w:szCs w:val="21"/>
          <w:highlight w:val="none"/>
        </w:rPr>
        <w:t>知识产权</w:t>
      </w:r>
      <w:bookmarkEnd w:id="74"/>
      <w:bookmarkEnd w:id="75"/>
    </w:p>
    <w:p w14:paraId="5AE4222B">
      <w:pPr>
        <w:pStyle w:val="42"/>
        <w:widowControl w:val="0"/>
        <w:adjustRightInd/>
        <w:snapToGrid/>
        <w:ind w:left="425" w:hanging="425" w:firstLineChars="0"/>
        <w:jc w:val="both"/>
        <w:rPr>
          <w:rFonts w:hint="eastAsia" w:ascii="宋体" w:hAnsi="宋体" w:eastAsia="宋体" w:cs="宋体"/>
          <w:vanish/>
          <w:color w:val="auto"/>
          <w:szCs w:val="21"/>
          <w:highlight w:val="none"/>
        </w:rPr>
      </w:pPr>
    </w:p>
    <w:p w14:paraId="297662D0">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345EC734">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采购人享有本项目实施过程中产生的知识成果及知识产权。</w:t>
      </w:r>
    </w:p>
    <w:p w14:paraId="7D886C2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投标人如欲在项目实施过程中采用自有知识成果，需在投标文件中声明，并提供相关知识产权证明文件。使用该知识成果后，投标人需提供开发接口和开发手册等技术文档。</w:t>
      </w:r>
    </w:p>
    <w:p w14:paraId="36EAA2E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采购货物为计算机办公设备时，投标人提供的产品必须是预装正版操作系统软件的计算机产品。</w:t>
      </w:r>
    </w:p>
    <w:p w14:paraId="5F9DA6D6">
      <w:pPr>
        <w:widowControl w:val="0"/>
        <w:adjustRightInd/>
        <w:snapToGrid/>
        <w:ind w:left="567"/>
        <w:jc w:val="both"/>
        <w:rPr>
          <w:rFonts w:hint="eastAsia" w:ascii="宋体" w:hAnsi="宋体" w:eastAsia="宋体" w:cs="宋体"/>
          <w:color w:val="auto"/>
          <w:szCs w:val="21"/>
          <w:highlight w:val="none"/>
        </w:rPr>
      </w:pPr>
    </w:p>
    <w:p w14:paraId="2B11AB52">
      <w:pPr>
        <w:pStyle w:val="5"/>
        <w:widowControl w:val="0"/>
        <w:numPr>
          <w:ilvl w:val="0"/>
          <w:numId w:val="4"/>
        </w:numPr>
        <w:overflowPunct w:val="0"/>
        <w:rPr>
          <w:rFonts w:hint="eastAsia" w:ascii="宋体" w:hAnsi="宋体" w:eastAsia="宋体" w:cs="宋体"/>
          <w:color w:val="auto"/>
          <w:sz w:val="21"/>
          <w:szCs w:val="21"/>
          <w:highlight w:val="none"/>
        </w:rPr>
      </w:pPr>
      <w:bookmarkStart w:id="76" w:name="_Toc2352"/>
      <w:bookmarkStart w:id="77" w:name="_Toc8059"/>
      <w:r>
        <w:rPr>
          <w:rFonts w:hint="eastAsia" w:ascii="宋体" w:hAnsi="宋体" w:eastAsia="宋体" w:cs="宋体"/>
          <w:color w:val="auto"/>
          <w:sz w:val="21"/>
          <w:szCs w:val="21"/>
          <w:highlight w:val="none"/>
        </w:rPr>
        <w:t>关于联合体投标</w:t>
      </w:r>
      <w:bookmarkEnd w:id="76"/>
      <w:bookmarkEnd w:id="77"/>
    </w:p>
    <w:p w14:paraId="7425CE38">
      <w:pPr>
        <w:pStyle w:val="42"/>
        <w:widowControl w:val="0"/>
        <w:adjustRightInd/>
        <w:snapToGrid/>
        <w:ind w:left="425" w:hanging="425" w:firstLineChars="0"/>
        <w:jc w:val="both"/>
        <w:rPr>
          <w:rFonts w:hint="eastAsia" w:ascii="宋体" w:hAnsi="宋体" w:eastAsia="宋体" w:cs="宋体"/>
          <w:vanish/>
          <w:color w:val="auto"/>
          <w:szCs w:val="21"/>
          <w:highlight w:val="none"/>
        </w:rPr>
      </w:pPr>
    </w:p>
    <w:p w14:paraId="79F2871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对接受联合体投标的项目：两个以上的自然人、法人或者其他组织可以组成一个联合体，以一个投标人的身份共同参加采购活动。</w:t>
      </w:r>
    </w:p>
    <w:p w14:paraId="1A871B5A">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以联合体形式参与项目的供应商在领购采购文件时，应提供所有联合体组成成员的营业执照复印件，并加盖各联合体组成成员的公章。</w:t>
      </w:r>
    </w:p>
    <w:p w14:paraId="0715CB6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联合体各方均应具有独立承担民事责任能力的法人或其他组织。</w:t>
      </w:r>
    </w:p>
    <w:p w14:paraId="2A7A410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两个以上的自然人、法人或者其他组织组成一个联合体，以一个供应商的身份共同参加采购活动的，应当对所有联合体成员进行信用记录查询，联合体成员存在不良信用记录的，视同联合体存在不良信用记录。</w:t>
      </w:r>
    </w:p>
    <w:p w14:paraId="15091833">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采购文件对投标人资格条件有规定的，联合体各方均应当具备规定的相应资格条件。由同一专业的单位组成的联合体，按照资质等级较低的单位确定资质等级。</w:t>
      </w:r>
    </w:p>
    <w:p w14:paraId="1D3B89C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各方之间应当签订共同投标协议并在投标文件内提交，明确约定联合体各方承担的工作和相应的责任。联合体各方签订共同投标协议后，不得再以自己名义单独在同一项目中投标，也不得组成新的联合体参加同一项目投标。</w:t>
      </w:r>
    </w:p>
    <w:p w14:paraId="2A801FD0">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供应商为联合体的，可以由联合体中的任意一方交纳保证金，其交纳的保证金对联合体各方均具有约束力。</w:t>
      </w:r>
    </w:p>
    <w:p w14:paraId="081870C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除联合体协议明确授权盖章单位外，联合体投标时投标文件中所有要求盖章的地方均须加盖联合体所有组成成员的公章，否则该处盖章无效。</w:t>
      </w:r>
    </w:p>
    <w:p w14:paraId="0D9F9A3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联合体进行评分时，业绩、奖项等的认定和评分根据共同投标协议约定的各方承担的工作和相应责任，确定一方打分，不累加打分；评审标准不明确或难以明确以哪一方计算评分情况时，则按主体方情况评分。</w:t>
      </w:r>
    </w:p>
    <w:p w14:paraId="1E933969">
      <w:pPr>
        <w:widowControl w:val="0"/>
        <w:adjustRightInd/>
        <w:snapToGrid/>
        <w:ind w:left="567"/>
        <w:jc w:val="both"/>
        <w:rPr>
          <w:rFonts w:hint="eastAsia" w:ascii="宋体" w:hAnsi="宋体" w:eastAsia="宋体" w:cs="宋体"/>
          <w:color w:val="auto"/>
          <w:szCs w:val="21"/>
          <w:highlight w:val="none"/>
        </w:rPr>
      </w:pPr>
    </w:p>
    <w:p w14:paraId="5A5F03BA">
      <w:pPr>
        <w:pStyle w:val="5"/>
        <w:widowControl w:val="0"/>
        <w:numPr>
          <w:ilvl w:val="0"/>
          <w:numId w:val="4"/>
        </w:numPr>
        <w:overflowPunct w:val="0"/>
        <w:rPr>
          <w:rFonts w:hint="eastAsia" w:ascii="宋体" w:hAnsi="宋体" w:eastAsia="宋体" w:cs="宋体"/>
          <w:color w:val="auto"/>
          <w:sz w:val="21"/>
          <w:szCs w:val="21"/>
          <w:highlight w:val="none"/>
        </w:rPr>
      </w:pPr>
      <w:bookmarkStart w:id="78" w:name="_Toc3572"/>
      <w:bookmarkStart w:id="79" w:name="_Toc25858"/>
      <w:r>
        <w:rPr>
          <w:rFonts w:hint="eastAsia" w:ascii="宋体" w:hAnsi="宋体" w:eastAsia="宋体" w:cs="宋体"/>
          <w:color w:val="auto"/>
          <w:sz w:val="21"/>
          <w:szCs w:val="21"/>
          <w:highlight w:val="none"/>
        </w:rPr>
        <w:t>关于分支机构投标</w:t>
      </w:r>
      <w:bookmarkEnd w:id="78"/>
      <w:bookmarkEnd w:id="79"/>
    </w:p>
    <w:p w14:paraId="221B947D">
      <w:pPr>
        <w:pStyle w:val="42"/>
        <w:widowControl w:val="0"/>
        <w:adjustRightInd/>
        <w:snapToGrid/>
        <w:ind w:left="425" w:hanging="425" w:firstLineChars="0"/>
        <w:jc w:val="both"/>
        <w:rPr>
          <w:rFonts w:hint="eastAsia" w:ascii="宋体" w:hAnsi="宋体" w:eastAsia="宋体" w:cs="宋体"/>
          <w:vanish/>
          <w:color w:val="auto"/>
          <w:szCs w:val="21"/>
          <w:highlight w:val="none"/>
        </w:rPr>
      </w:pPr>
      <w:bookmarkStart w:id="80" w:name="EB389f116341dd4693875bc7987e7327f3"/>
    </w:p>
    <w:p w14:paraId="376DF7D4">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可接受分支机构投标的项目，分支机构投标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80"/>
    </w:p>
    <w:p w14:paraId="6A35A2A4">
      <w:pPr>
        <w:widowControl w:val="0"/>
        <w:adjustRightInd/>
        <w:snapToGrid/>
        <w:ind w:left="567"/>
        <w:jc w:val="both"/>
        <w:rPr>
          <w:rFonts w:hint="eastAsia" w:ascii="宋体" w:hAnsi="宋体" w:eastAsia="宋体" w:cs="宋体"/>
          <w:color w:val="auto"/>
          <w:szCs w:val="21"/>
          <w:highlight w:val="none"/>
        </w:rPr>
      </w:pPr>
    </w:p>
    <w:p w14:paraId="7870985B">
      <w:pPr>
        <w:pStyle w:val="5"/>
        <w:widowControl w:val="0"/>
        <w:numPr>
          <w:ilvl w:val="0"/>
          <w:numId w:val="4"/>
        </w:numPr>
        <w:overflowPunct w:val="0"/>
        <w:rPr>
          <w:rFonts w:hint="eastAsia" w:ascii="宋体" w:hAnsi="宋体" w:eastAsia="宋体" w:cs="宋体"/>
          <w:color w:val="auto"/>
          <w:sz w:val="21"/>
          <w:szCs w:val="21"/>
          <w:highlight w:val="none"/>
        </w:rPr>
      </w:pPr>
      <w:bookmarkStart w:id="81" w:name="_Toc31994"/>
      <w:r>
        <w:rPr>
          <w:rFonts w:hint="eastAsia" w:ascii="宋体" w:hAnsi="宋体" w:eastAsia="宋体" w:cs="宋体"/>
          <w:color w:val="auto"/>
          <w:sz w:val="21"/>
          <w:szCs w:val="21"/>
          <w:highlight w:val="none"/>
        </w:rPr>
        <w:t>踏勘现场</w:t>
      </w:r>
      <w:bookmarkEnd w:id="81"/>
    </w:p>
    <w:p w14:paraId="1CAF254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《投标资料表》规定组织踏勘现场的，采购人按《投标资料表》规定的时间、地点组织响应人踏勘项目现场；</w:t>
      </w:r>
    </w:p>
    <w:p w14:paraId="2FC0D41B">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响应人踏勘现场发生的费用自理；</w:t>
      </w:r>
    </w:p>
    <w:p w14:paraId="4A64384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除采购人的原因外，响应人自行负责在踏勘现场中所发生的人员伤亡和财产损失；</w:t>
      </w:r>
    </w:p>
    <w:p w14:paraId="4F49443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采购人在踏勘现场中介绍的实施地点和相关的周边环境情况，供响应人在编制响应文件时参考，采购人不对响应人据此作出的判断和决策负责；</w:t>
      </w:r>
    </w:p>
    <w:p w14:paraId="36F1C974">
      <w:pPr>
        <w:rPr>
          <w:rFonts w:hint="eastAsia" w:ascii="宋体" w:hAnsi="宋体" w:eastAsia="宋体" w:cs="宋体"/>
          <w:color w:val="auto"/>
          <w:highlight w:val="none"/>
        </w:rPr>
      </w:pPr>
    </w:p>
    <w:p w14:paraId="4147D5AE">
      <w:pPr>
        <w:pStyle w:val="4"/>
        <w:numPr>
          <w:ilvl w:val="0"/>
          <w:numId w:val="3"/>
        </w:numPr>
        <w:spacing w:before="0" w:after="0" w:line="360" w:lineRule="auto"/>
        <w:jc w:val="center"/>
        <w:rPr>
          <w:rFonts w:hint="eastAsia" w:ascii="宋体" w:hAnsi="宋体" w:eastAsia="宋体" w:cs="宋体"/>
          <w:color w:val="auto"/>
          <w:highlight w:val="none"/>
        </w:rPr>
      </w:pPr>
      <w:bookmarkStart w:id="82" w:name="_Toc18519"/>
      <w:bookmarkStart w:id="83" w:name="_Toc9444"/>
      <w:r>
        <w:rPr>
          <w:rFonts w:hint="eastAsia" w:ascii="宋体" w:hAnsi="宋体" w:eastAsia="宋体" w:cs="宋体"/>
          <w:color w:val="auto"/>
          <w:highlight w:val="none"/>
        </w:rPr>
        <w:t>采购文件</w:t>
      </w:r>
      <w:bookmarkEnd w:id="82"/>
      <w:bookmarkEnd w:id="83"/>
    </w:p>
    <w:p w14:paraId="18AFDBC0">
      <w:pPr>
        <w:pStyle w:val="5"/>
        <w:widowControl w:val="0"/>
        <w:numPr>
          <w:ilvl w:val="0"/>
          <w:numId w:val="4"/>
        </w:numPr>
        <w:overflowPunct w:val="0"/>
        <w:rPr>
          <w:rFonts w:hint="eastAsia" w:ascii="宋体" w:hAnsi="宋体" w:eastAsia="宋体" w:cs="宋体"/>
          <w:color w:val="auto"/>
          <w:sz w:val="21"/>
          <w:szCs w:val="21"/>
          <w:highlight w:val="none"/>
        </w:rPr>
      </w:pPr>
      <w:bookmarkStart w:id="84" w:name="_Toc10638"/>
      <w:bookmarkStart w:id="85" w:name="_Toc1444"/>
      <w:r>
        <w:rPr>
          <w:rFonts w:hint="eastAsia" w:ascii="宋体" w:hAnsi="宋体" w:eastAsia="宋体" w:cs="宋体"/>
          <w:color w:val="auto"/>
          <w:sz w:val="21"/>
          <w:szCs w:val="21"/>
          <w:highlight w:val="none"/>
        </w:rPr>
        <w:t>采购文件的组成</w:t>
      </w:r>
      <w:bookmarkEnd w:id="84"/>
      <w:bookmarkEnd w:id="85"/>
    </w:p>
    <w:p w14:paraId="5C931E03">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159EC1B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采购文件包括：</w:t>
      </w:r>
    </w:p>
    <w:p w14:paraId="5CEEF462">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（1）投标邀请书；</w:t>
      </w:r>
    </w:p>
    <w:p w14:paraId="475E9ADF">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（2）投标资料表；</w:t>
      </w:r>
    </w:p>
    <w:p w14:paraId="31F02A1F">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（3）用户需求书；</w:t>
      </w:r>
    </w:p>
    <w:p w14:paraId="43A927B5">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（4）投标人须知；</w:t>
      </w:r>
    </w:p>
    <w:p w14:paraId="52245F27">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（5）拟签订的合同文本；</w:t>
      </w:r>
    </w:p>
    <w:p w14:paraId="70F16C36">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（6）投标文件格式；</w:t>
      </w:r>
    </w:p>
    <w:p w14:paraId="7791744D">
      <w:pPr>
        <w:widowControl w:val="0"/>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（7）在采购过程中由采购代理机构发出的澄清更正文件等。</w:t>
      </w:r>
    </w:p>
    <w:p w14:paraId="2D2E9EB9">
      <w:pPr>
        <w:rPr>
          <w:rFonts w:hint="eastAsia" w:ascii="宋体" w:hAnsi="宋体" w:eastAsia="宋体" w:cs="宋体"/>
          <w:color w:val="auto"/>
          <w:highlight w:val="none"/>
        </w:rPr>
      </w:pPr>
    </w:p>
    <w:p w14:paraId="78EA3E16">
      <w:pPr>
        <w:pStyle w:val="5"/>
        <w:widowControl w:val="0"/>
        <w:numPr>
          <w:ilvl w:val="0"/>
          <w:numId w:val="4"/>
        </w:numPr>
        <w:overflowPunct w:val="0"/>
        <w:rPr>
          <w:rFonts w:hint="eastAsia" w:ascii="宋体" w:hAnsi="宋体" w:eastAsia="宋体" w:cs="宋体"/>
          <w:color w:val="auto"/>
          <w:sz w:val="21"/>
          <w:szCs w:val="21"/>
          <w:highlight w:val="none"/>
        </w:rPr>
      </w:pPr>
      <w:bookmarkStart w:id="86" w:name="_Toc21392"/>
      <w:bookmarkStart w:id="87" w:name="_Toc9221"/>
      <w:r>
        <w:rPr>
          <w:rFonts w:hint="eastAsia" w:ascii="宋体" w:hAnsi="宋体" w:eastAsia="宋体" w:cs="宋体"/>
          <w:color w:val="auto"/>
          <w:sz w:val="21"/>
          <w:szCs w:val="21"/>
          <w:highlight w:val="none"/>
        </w:rPr>
        <w:t>采购文件的澄清或修改</w:t>
      </w:r>
      <w:bookmarkEnd w:id="86"/>
      <w:bookmarkEnd w:id="87"/>
    </w:p>
    <w:p w14:paraId="26A4F38F">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0F6E924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或者采购代理机构可以对已发出的采购文件、资格预审文件、投标邀请书进行必要的澄清或者修改。澄清或者修改的内容为采购文件、资格预审文件、投标邀请书的组成部分，具有约束作用。当采购文件、采购文件的澄清或修改等在同一内容的表述上不一致时，以最后发出的书面文件及公告为准。</w:t>
      </w:r>
    </w:p>
    <w:p w14:paraId="6E597E4B">
      <w:pPr>
        <w:widowControl w:val="0"/>
        <w:numPr>
          <w:ilvl w:val="1"/>
          <w:numId w:val="4"/>
        </w:numPr>
        <w:overflowPunct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采购期间，投标人有义务上网查看，公告一经上网发布，即视为送达。因投标人未及时上网查看而造成的所有后果，由投标人自行承担。</w:t>
      </w:r>
    </w:p>
    <w:p w14:paraId="41952A9E">
      <w:pPr>
        <w:widowControl w:val="0"/>
        <w:adjustRightInd/>
        <w:snapToGrid/>
        <w:ind w:left="567"/>
        <w:jc w:val="both"/>
        <w:rPr>
          <w:rFonts w:hint="eastAsia" w:ascii="宋体" w:hAnsi="宋体" w:eastAsia="宋体" w:cs="宋体"/>
          <w:color w:val="auto"/>
          <w:szCs w:val="21"/>
          <w:highlight w:val="none"/>
        </w:rPr>
      </w:pPr>
    </w:p>
    <w:p w14:paraId="14D1B19F">
      <w:pPr>
        <w:pStyle w:val="4"/>
        <w:numPr>
          <w:ilvl w:val="0"/>
          <w:numId w:val="3"/>
        </w:numPr>
        <w:spacing w:before="0" w:after="0" w:line="360" w:lineRule="auto"/>
        <w:jc w:val="center"/>
        <w:rPr>
          <w:rFonts w:hint="eastAsia" w:ascii="宋体" w:hAnsi="宋体" w:eastAsia="宋体" w:cs="宋体"/>
          <w:color w:val="auto"/>
          <w:highlight w:val="none"/>
        </w:rPr>
      </w:pPr>
      <w:bookmarkStart w:id="88" w:name="_Toc26807"/>
      <w:bookmarkStart w:id="89" w:name="_Toc12343"/>
      <w:r>
        <w:rPr>
          <w:rFonts w:hint="eastAsia" w:ascii="宋体" w:hAnsi="宋体" w:eastAsia="宋体" w:cs="宋体"/>
          <w:color w:val="auto"/>
          <w:highlight w:val="none"/>
        </w:rPr>
        <w:t>投标文件的编制</w:t>
      </w:r>
      <w:bookmarkEnd w:id="88"/>
      <w:bookmarkEnd w:id="89"/>
    </w:p>
    <w:p w14:paraId="5DF62E12">
      <w:pPr>
        <w:pStyle w:val="5"/>
        <w:widowControl w:val="0"/>
        <w:numPr>
          <w:ilvl w:val="0"/>
          <w:numId w:val="4"/>
        </w:numPr>
        <w:overflowPunct w:val="0"/>
        <w:rPr>
          <w:rFonts w:hint="eastAsia" w:ascii="宋体" w:hAnsi="宋体" w:eastAsia="宋体" w:cs="宋体"/>
          <w:color w:val="auto"/>
          <w:sz w:val="21"/>
          <w:szCs w:val="21"/>
          <w:highlight w:val="none"/>
        </w:rPr>
      </w:pPr>
      <w:bookmarkStart w:id="90" w:name="_Toc16938"/>
      <w:bookmarkStart w:id="91" w:name="_Toc4881"/>
      <w:r>
        <w:rPr>
          <w:rFonts w:hint="eastAsia" w:ascii="宋体" w:hAnsi="宋体" w:eastAsia="宋体" w:cs="宋体"/>
          <w:color w:val="auto"/>
          <w:sz w:val="21"/>
          <w:szCs w:val="21"/>
          <w:highlight w:val="none"/>
        </w:rPr>
        <w:t>投标文件的语言及度量衡单位</w:t>
      </w:r>
      <w:bookmarkEnd w:id="90"/>
      <w:bookmarkEnd w:id="91"/>
    </w:p>
    <w:p w14:paraId="042B0893">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150B7B4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提交的投标文件以及投标人与采购代理机构就有关投标的所有来往函件均应使用简体中文书写。投标人提交的支持资料和已印刷的文献可以用另一种语言，但相应内容应附有中文翻译本（中文译本应由翻译机构盖章或者翻译人员签名确认，否则按无效处理），在解释投标文件的修改内容时以中文翻译本为准。</w:t>
      </w:r>
    </w:p>
    <w:p w14:paraId="4E5B1BEC">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除非采购文件在技术规格中另有规定，投标人在投标文件中及其与采购代理机构和采购人所有往来文件中的所有计量单位均应采用中华人民共和国法定计量单位。</w:t>
      </w:r>
    </w:p>
    <w:p w14:paraId="682CA262">
      <w:pPr>
        <w:widowControl w:val="0"/>
        <w:adjustRightInd/>
        <w:snapToGrid/>
        <w:ind w:left="567"/>
        <w:jc w:val="both"/>
        <w:rPr>
          <w:rFonts w:hint="eastAsia" w:ascii="宋体" w:hAnsi="宋体" w:eastAsia="宋体" w:cs="宋体"/>
          <w:color w:val="auto"/>
          <w:szCs w:val="21"/>
          <w:highlight w:val="none"/>
        </w:rPr>
      </w:pPr>
    </w:p>
    <w:p w14:paraId="085EEB8B">
      <w:pPr>
        <w:pStyle w:val="5"/>
        <w:widowControl w:val="0"/>
        <w:numPr>
          <w:ilvl w:val="0"/>
          <w:numId w:val="4"/>
        </w:numPr>
        <w:overflowPunct w:val="0"/>
        <w:rPr>
          <w:rFonts w:hint="eastAsia" w:ascii="宋体" w:hAnsi="宋体" w:eastAsia="宋体" w:cs="宋体"/>
          <w:color w:val="auto"/>
          <w:sz w:val="21"/>
          <w:szCs w:val="21"/>
          <w:highlight w:val="none"/>
        </w:rPr>
      </w:pPr>
      <w:bookmarkStart w:id="92" w:name="_Toc25313"/>
      <w:bookmarkStart w:id="93" w:name="_Toc307934854"/>
      <w:bookmarkStart w:id="94" w:name="_Toc382049103"/>
      <w:bookmarkStart w:id="95" w:name="_Toc28866"/>
      <w:bookmarkStart w:id="96" w:name="_Toc303084256"/>
      <w:bookmarkStart w:id="97" w:name="_Toc11466"/>
      <w:r>
        <w:rPr>
          <w:rFonts w:hint="eastAsia" w:ascii="宋体" w:hAnsi="宋体" w:eastAsia="宋体" w:cs="宋体"/>
          <w:color w:val="auto"/>
          <w:sz w:val="21"/>
          <w:szCs w:val="21"/>
          <w:highlight w:val="none"/>
        </w:rPr>
        <w:t>投标文件的组成</w:t>
      </w:r>
      <w:bookmarkEnd w:id="92"/>
      <w:bookmarkEnd w:id="93"/>
      <w:bookmarkEnd w:id="94"/>
      <w:bookmarkEnd w:id="95"/>
      <w:bookmarkEnd w:id="96"/>
      <w:bookmarkEnd w:id="97"/>
    </w:p>
    <w:p w14:paraId="3989124E">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0956E935">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包括但不限于采购文件附件格式中要求提供的表格。</w:t>
      </w:r>
    </w:p>
    <w:p w14:paraId="1D5AE4D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上述文件须按顺序装订成册，并编制投标文件目录。除上述文件资料外投标人还须按投标人须知的要求制作“唱标信封”。“唱标信封”作为投标文件的一部分，但须单独密封。</w:t>
      </w:r>
    </w:p>
    <w:p w14:paraId="799146FF">
      <w:pPr>
        <w:rPr>
          <w:rFonts w:hint="eastAsia" w:ascii="宋体" w:hAnsi="宋体" w:eastAsia="宋体" w:cs="宋体"/>
          <w:color w:val="auto"/>
          <w:highlight w:val="none"/>
        </w:rPr>
      </w:pPr>
    </w:p>
    <w:p w14:paraId="090776A0">
      <w:pPr>
        <w:pStyle w:val="5"/>
        <w:widowControl w:val="0"/>
        <w:numPr>
          <w:ilvl w:val="0"/>
          <w:numId w:val="4"/>
        </w:numPr>
        <w:overflowPunct w:val="0"/>
        <w:rPr>
          <w:rFonts w:hint="eastAsia" w:ascii="宋体" w:hAnsi="宋体" w:eastAsia="宋体" w:cs="宋体"/>
          <w:color w:val="auto"/>
          <w:sz w:val="21"/>
          <w:szCs w:val="21"/>
          <w:highlight w:val="none"/>
        </w:rPr>
      </w:pPr>
      <w:bookmarkStart w:id="98" w:name="_Toc755"/>
      <w:bookmarkStart w:id="99" w:name="_Toc7749"/>
      <w:r>
        <w:rPr>
          <w:rFonts w:hint="eastAsia" w:ascii="宋体" w:hAnsi="宋体" w:eastAsia="宋体" w:cs="宋体"/>
          <w:color w:val="auto"/>
          <w:sz w:val="21"/>
          <w:szCs w:val="21"/>
          <w:highlight w:val="none"/>
        </w:rPr>
        <w:t>投标文件编制</w:t>
      </w:r>
      <w:bookmarkEnd w:id="98"/>
      <w:bookmarkEnd w:id="99"/>
    </w:p>
    <w:p w14:paraId="10A925CB">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bookmarkStart w:id="100" w:name="_Toc303084258"/>
    </w:p>
    <w:p w14:paraId="6C1B170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按采购文件的规定以及附件要求的内容和格式完整地填写（表格可以按同样格式扩展）和提供资料，投标人必须对投标文件所提供的全部材料的真实性承担法律责任，并无条件接受采购人或采购代理机构对其中任何资料进行核实的要求。</w:t>
      </w:r>
    </w:p>
    <w:p w14:paraId="1FA6FBF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因投标文件编制存在歧义对投标人产生负面影响的，投标人自行承担后果。</w:t>
      </w:r>
    </w:p>
    <w:p w14:paraId="6744A5A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投标单位名称与投标人公章不一致，若投标单位名称已进行变更，应在投标文件中提供相应的证明材料并加盖公章，否则投标文件无效。</w:t>
      </w:r>
    </w:p>
    <w:p w14:paraId="7D649E4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投标文件密封、标记及内容与本项目采购信息不符，导致无法分辨所投项目为本项目的，投标文件无效。</w:t>
      </w:r>
    </w:p>
    <w:p w14:paraId="4CB5175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投标人须客观撰写投标人简介（格式自理，并提供相关证明）以及所投的产品或服务说明。</w:t>
      </w:r>
    </w:p>
    <w:p w14:paraId="484181A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投标文件若出现以下内容，经评标委员会认定有可能间接影响评审秩序，作废标处理。</w:t>
      </w:r>
    </w:p>
    <w:p w14:paraId="15E7534C">
      <w:pPr>
        <w:pStyle w:val="42"/>
        <w:widowControl w:val="0"/>
        <w:numPr>
          <w:ilvl w:val="0"/>
          <w:numId w:val="6"/>
        </w:numPr>
        <w:adjustRightInd/>
        <w:snapToGrid/>
        <w:ind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投标文件内出现无官方证明文件的行业地域排名或使用“国家级”、“最高级”、“最佳”等用语字眼的。</w:t>
      </w:r>
    </w:p>
    <w:p w14:paraId="62A8565F">
      <w:pPr>
        <w:pStyle w:val="42"/>
        <w:widowControl w:val="0"/>
        <w:numPr>
          <w:ilvl w:val="0"/>
          <w:numId w:val="6"/>
        </w:numPr>
        <w:adjustRightInd/>
        <w:snapToGrid/>
        <w:ind w:firstLineChars="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投标文件内出现恶意诋毁、贬低其他生产经营者的商品或者服务的内容。</w:t>
      </w:r>
    </w:p>
    <w:p w14:paraId="7E3679F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有下列情形之一的，视为投标人串通投标，其投标无效：</w:t>
      </w:r>
    </w:p>
    <w:p w14:paraId="56A9CD3C">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（1）不同投标人的投标文件由同一单位或者个人编制；</w:t>
      </w:r>
    </w:p>
    <w:p w14:paraId="6CE1D611">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（2）不同投标人委托同一单位或者个人办理投标事宜；</w:t>
      </w:r>
    </w:p>
    <w:p w14:paraId="008D2639">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（3）不同投标人的投标文件载明的项目管理成员或者联系人员为同一人；</w:t>
      </w:r>
    </w:p>
    <w:p w14:paraId="591E0288">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（4）不同投标人的投标文件异常一致或者投标报价呈规律性差异；</w:t>
      </w:r>
    </w:p>
    <w:p w14:paraId="2594E9BD">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（5）不同投标人的投标文件相互混装；</w:t>
      </w:r>
    </w:p>
    <w:p w14:paraId="4BB0B8B1">
      <w:pPr>
        <w:widowControl w:val="0"/>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（6）不同投标人的投标保证金从同一单位或者个人的账户转出。</w:t>
      </w:r>
    </w:p>
    <w:bookmarkEnd w:id="100"/>
    <w:p w14:paraId="4F6DA05C">
      <w:pPr>
        <w:rPr>
          <w:rFonts w:hint="eastAsia" w:ascii="宋体" w:hAnsi="宋体" w:eastAsia="宋体" w:cs="宋体"/>
          <w:color w:val="auto"/>
          <w:highlight w:val="none"/>
        </w:rPr>
      </w:pPr>
    </w:p>
    <w:p w14:paraId="3FEBB2BE">
      <w:pPr>
        <w:pStyle w:val="5"/>
        <w:widowControl w:val="0"/>
        <w:numPr>
          <w:ilvl w:val="0"/>
          <w:numId w:val="4"/>
        </w:numPr>
        <w:overflowPunct w:val="0"/>
        <w:rPr>
          <w:rFonts w:hint="eastAsia" w:ascii="宋体" w:hAnsi="宋体" w:eastAsia="宋体" w:cs="宋体"/>
          <w:color w:val="auto"/>
          <w:sz w:val="21"/>
          <w:szCs w:val="21"/>
          <w:highlight w:val="none"/>
        </w:rPr>
      </w:pPr>
      <w:bookmarkStart w:id="101" w:name="_Toc6154"/>
      <w:bookmarkStart w:id="102" w:name="_Toc25936"/>
      <w:r>
        <w:rPr>
          <w:rFonts w:hint="eastAsia" w:ascii="宋体" w:hAnsi="宋体" w:eastAsia="宋体" w:cs="宋体"/>
          <w:color w:val="auto"/>
          <w:sz w:val="21"/>
          <w:szCs w:val="21"/>
          <w:highlight w:val="none"/>
        </w:rPr>
        <w:t>投标报价说明</w:t>
      </w:r>
      <w:bookmarkEnd w:id="101"/>
      <w:bookmarkEnd w:id="102"/>
    </w:p>
    <w:p w14:paraId="5EE08BF5">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78BD7FB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本次采购，投标人应按用户需求中的要求进行投标报价，少报无效。</w:t>
      </w:r>
    </w:p>
    <w:p w14:paraId="1536C63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投标人所提供的货物或服务均以人民币（或相关费率）报价。</w:t>
      </w:r>
    </w:p>
    <w:p w14:paraId="26A437C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投标报价应包含完成本次采购所有服务内容的费用，包含各种税务费及合同实施过程中的全部费用和售后服务费等。</w:t>
      </w:r>
    </w:p>
    <w:p w14:paraId="39EB1F73">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9BC8D6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中标后开出的所有发票必须与中标人的名称一致。</w:t>
      </w:r>
    </w:p>
    <w:p w14:paraId="18CCA015">
      <w:pPr>
        <w:rPr>
          <w:rFonts w:hint="eastAsia" w:ascii="宋体" w:hAnsi="宋体" w:eastAsia="宋体" w:cs="宋体"/>
          <w:color w:val="auto"/>
          <w:highlight w:val="none"/>
        </w:rPr>
      </w:pPr>
    </w:p>
    <w:p w14:paraId="0B30FCCF">
      <w:pPr>
        <w:pStyle w:val="5"/>
        <w:widowControl w:val="0"/>
        <w:numPr>
          <w:ilvl w:val="0"/>
          <w:numId w:val="4"/>
        </w:numPr>
        <w:overflowPunct w:val="0"/>
        <w:rPr>
          <w:rFonts w:hint="eastAsia" w:ascii="宋体" w:hAnsi="宋体" w:eastAsia="宋体" w:cs="宋体"/>
          <w:color w:val="auto"/>
          <w:sz w:val="21"/>
          <w:szCs w:val="21"/>
          <w:highlight w:val="none"/>
        </w:rPr>
      </w:pPr>
      <w:bookmarkStart w:id="103" w:name="_Toc17669"/>
      <w:bookmarkStart w:id="104" w:name="_Toc30585"/>
      <w:r>
        <w:rPr>
          <w:rFonts w:hint="eastAsia" w:ascii="宋体" w:hAnsi="宋体" w:eastAsia="宋体" w:cs="宋体"/>
          <w:color w:val="auto"/>
          <w:sz w:val="21"/>
          <w:szCs w:val="21"/>
          <w:highlight w:val="none"/>
        </w:rPr>
        <w:t>投标人所提供的服务或货物的证明文件</w:t>
      </w:r>
      <w:bookmarkEnd w:id="103"/>
      <w:bookmarkEnd w:id="104"/>
    </w:p>
    <w:p w14:paraId="66124818">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2A72F73F">
      <w:pPr>
        <w:widowControl w:val="0"/>
        <w:numPr>
          <w:ilvl w:val="1"/>
          <w:numId w:val="4"/>
        </w:numPr>
        <w:overflowPunct w:val="0"/>
        <w:rPr>
          <w:rFonts w:hint="eastAsia" w:ascii="宋体" w:hAnsi="宋体" w:eastAsia="宋体" w:cs="宋体"/>
          <w:color w:val="auto"/>
          <w:szCs w:val="21"/>
          <w:highlight w:val="none"/>
        </w:rPr>
      </w:pPr>
      <w:bookmarkStart w:id="105" w:name="_Hlt107925668"/>
      <w:bookmarkEnd w:id="105"/>
      <w:bookmarkStart w:id="106" w:name="_Hlt107925638"/>
      <w:bookmarkEnd w:id="106"/>
      <w:r>
        <w:rPr>
          <w:rFonts w:hint="eastAsia" w:ascii="宋体" w:hAnsi="宋体" w:eastAsia="宋体" w:cs="宋体"/>
          <w:color w:val="auto"/>
          <w:szCs w:val="21"/>
          <w:highlight w:val="none"/>
        </w:rPr>
        <w:t>证明服务或货物的文件，它可以是文字资料、图纸和数据包括但不限于：服务主要内容、标准、质量、人员资质、计划安排、报告审核等的详细说明；对采购文件第三部分《用户需求书》中规定的要求进行详细应答和说明。</w:t>
      </w:r>
    </w:p>
    <w:p w14:paraId="2AF729A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有下列情形之一的，视为投标人弄虚作假，其投标无效：</w:t>
      </w:r>
    </w:p>
    <w:p w14:paraId="101BB90C">
      <w:pPr>
        <w:pStyle w:val="42"/>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1、使用通过受让或者租借等方式获取的资格、资质证书投标的，属于以他人名义投标。</w:t>
      </w:r>
    </w:p>
    <w:p w14:paraId="4D5DCF02">
      <w:pPr>
        <w:pStyle w:val="42"/>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2、投标人有下列情形之一的，属于以其他方式弄虚作假的行为：</w:t>
      </w:r>
    </w:p>
    <w:p w14:paraId="28FAE44A">
      <w:pPr>
        <w:pStyle w:val="42"/>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（1）使用伪造、变造的许可证件；</w:t>
      </w:r>
    </w:p>
    <w:p w14:paraId="4D35519A">
      <w:pPr>
        <w:pStyle w:val="42"/>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（2）提供虚假的财务状况或者业绩；</w:t>
      </w:r>
    </w:p>
    <w:p w14:paraId="473EC7BF">
      <w:pPr>
        <w:pStyle w:val="42"/>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（3）提供虚假的项目负责人或者主要技术人员简历、劳动关系证明；</w:t>
      </w:r>
    </w:p>
    <w:p w14:paraId="1D796B29">
      <w:pPr>
        <w:pStyle w:val="42"/>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（4）提供虚假的信用状况；</w:t>
      </w:r>
    </w:p>
    <w:p w14:paraId="4A523B20">
      <w:pPr>
        <w:pStyle w:val="42"/>
        <w:widowControl w:val="0"/>
        <w:adjustRightInd/>
        <w:snapToGrid/>
        <w:ind w:left="425" w:firstLine="0" w:firstLineChars="0"/>
        <w:jc w:val="both"/>
        <w:rPr>
          <w:rFonts w:hint="eastAsia" w:ascii="宋体" w:hAnsi="宋体" w:eastAsia="宋体" w:cs="宋体"/>
          <w:color w:val="auto"/>
          <w:highlight w:val="none"/>
        </w:rPr>
      </w:pPr>
      <w:r>
        <w:rPr>
          <w:rFonts w:hint="eastAsia" w:ascii="宋体" w:hAnsi="宋体" w:eastAsia="宋体" w:cs="宋体"/>
          <w:color w:val="auto"/>
          <w:highlight w:val="none"/>
        </w:rPr>
        <w:t>（5）其他弄虚作假的行为。</w:t>
      </w:r>
    </w:p>
    <w:p w14:paraId="375EA883">
      <w:pPr>
        <w:pStyle w:val="5"/>
        <w:widowControl w:val="0"/>
        <w:numPr>
          <w:ilvl w:val="0"/>
          <w:numId w:val="4"/>
        </w:numPr>
        <w:overflowPunct w:val="0"/>
        <w:rPr>
          <w:rFonts w:hint="eastAsia" w:ascii="宋体" w:hAnsi="宋体" w:eastAsia="宋体" w:cs="宋体"/>
          <w:color w:val="auto"/>
          <w:sz w:val="21"/>
          <w:szCs w:val="21"/>
          <w:highlight w:val="none"/>
        </w:rPr>
      </w:pPr>
      <w:bookmarkStart w:id="107" w:name="_Toc8324"/>
      <w:bookmarkStart w:id="108" w:name="_Toc21077"/>
      <w:r>
        <w:rPr>
          <w:rFonts w:hint="eastAsia" w:ascii="宋体" w:hAnsi="宋体" w:eastAsia="宋体" w:cs="宋体"/>
          <w:color w:val="auto"/>
          <w:sz w:val="21"/>
          <w:szCs w:val="21"/>
          <w:highlight w:val="none"/>
        </w:rPr>
        <w:t>投标有效期</w:t>
      </w:r>
      <w:bookmarkEnd w:id="107"/>
      <w:bookmarkEnd w:id="108"/>
    </w:p>
    <w:p w14:paraId="5A4E1737">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4A7A78EC">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投标文件应根据投标人须知的规定在投标截止日后的90天内保持有效。</w:t>
      </w:r>
    </w:p>
    <w:p w14:paraId="65E38D56">
      <w:pPr>
        <w:widowControl w:val="0"/>
        <w:adjustRightInd/>
        <w:snapToGrid/>
        <w:ind w:left="567"/>
        <w:jc w:val="both"/>
        <w:rPr>
          <w:rFonts w:hint="eastAsia" w:ascii="宋体" w:hAnsi="宋体" w:eastAsia="宋体" w:cs="宋体"/>
          <w:color w:val="auto"/>
          <w:highlight w:val="none"/>
        </w:rPr>
      </w:pPr>
    </w:p>
    <w:p w14:paraId="69E482D0">
      <w:pPr>
        <w:pStyle w:val="5"/>
        <w:widowControl w:val="0"/>
        <w:numPr>
          <w:ilvl w:val="0"/>
          <w:numId w:val="4"/>
        </w:numPr>
        <w:overflowPunct w:val="0"/>
        <w:rPr>
          <w:rFonts w:hint="eastAsia" w:ascii="宋体" w:hAnsi="宋体" w:eastAsia="宋体" w:cs="宋体"/>
          <w:color w:val="auto"/>
          <w:sz w:val="21"/>
          <w:szCs w:val="21"/>
          <w:highlight w:val="none"/>
        </w:rPr>
      </w:pPr>
      <w:bookmarkStart w:id="109" w:name="_Toc12582"/>
      <w:bookmarkStart w:id="110" w:name="_Toc30762"/>
      <w:r>
        <w:rPr>
          <w:rFonts w:hint="eastAsia" w:ascii="宋体" w:hAnsi="宋体" w:eastAsia="宋体" w:cs="宋体"/>
          <w:color w:val="auto"/>
          <w:sz w:val="21"/>
          <w:szCs w:val="21"/>
          <w:highlight w:val="none"/>
        </w:rPr>
        <w:t>投标保证金</w:t>
      </w:r>
      <w:bookmarkEnd w:id="109"/>
      <w:bookmarkEnd w:id="110"/>
    </w:p>
    <w:p w14:paraId="4BD8C5EE">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bookmarkStart w:id="111" w:name="_Ref179619405"/>
    </w:p>
    <w:p w14:paraId="5A2E7C1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投标人应在投标文件递交截止前提交相应的投标保证金，并作为其投标的一部分。</w:t>
      </w:r>
      <w:bookmarkEnd w:id="111"/>
    </w:p>
    <w:p w14:paraId="3C47A4A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投标保证金是为了保护采购代理机构和采购人免遭因投标人的行为而蒙受的损失。采购代理机构和采购人在因投标人的行为受到损害时可根据本须知（17.7）的规定没收投标人的投标保证金。</w:t>
      </w:r>
    </w:p>
    <w:p w14:paraId="1145ED6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采用转账、电汇方式提交，应符合以下要求：采用银行转账、电汇方式提交的，保证金汇入《投标资料表》中投标保证金专用账户，不接收由以投标人分支机构、私人账户和其他单位转入的保证金。投标保证金必须在投标文件递交截止前到账，投标保证金未按规定时间到达指定账户或提交金额不足的，将被视为无效投标。且在备注或用途中注明本项目的项目编号。</w:t>
      </w:r>
    </w:p>
    <w:p w14:paraId="7F3DC6B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凡没有根据本须知（17.1和17.3）的规定随附有效的投标保证金的投标，将被视为非响应性投标予以拒绝。</w:t>
      </w:r>
    </w:p>
    <w:p w14:paraId="5FC42DC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投标保证金有效期应当与投标有效期一致。采购人如果按照采购文件另外规定延长了投标文件有效期，则投标担保的有效期也相应延长。</w:t>
      </w:r>
    </w:p>
    <w:p w14:paraId="703B675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中标人在签订采购合同并按采购文件第（33）条规定提交履约担保金后，携带退保证金声明函、投标保证金汇款单复印件（加盖公章）和合同正本到采购人处办理投标保证金（无息）退回手续。</w:t>
      </w:r>
    </w:p>
    <w:p w14:paraId="1CBDE3B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下列任何情况发生时，投标保证金将不予退还：</w:t>
      </w:r>
    </w:p>
    <w:p w14:paraId="5E65C96E">
      <w:pPr>
        <w:widowControl w:val="0"/>
        <w:adjustRightInd/>
        <w:snapToGrid/>
        <w:ind w:left="540" w:leftChars="25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（1）投标人在采购文件中规定的投标有效期内撤回其投标；</w:t>
      </w:r>
    </w:p>
    <w:p w14:paraId="18CEEA0E">
      <w:pPr>
        <w:widowControl w:val="0"/>
        <w:adjustRightInd/>
        <w:snapToGrid/>
        <w:ind w:left="540" w:leftChars="25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（2）中标人无正当理由不与采购人订立合同，在签订合同时向采购人提出附加条件，或者不按照采购文件要求提交履约保证金的；</w:t>
      </w:r>
    </w:p>
    <w:p w14:paraId="3B18CBA9">
      <w:pPr>
        <w:widowControl w:val="0"/>
        <w:adjustRightInd/>
        <w:snapToGrid/>
        <w:ind w:left="540" w:leftChars="25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（3）中标人将本项目转让给他人，或者在投标文件中未说明，且未经采购人同意，将中标项目分包给他人的；</w:t>
      </w:r>
    </w:p>
    <w:p w14:paraId="1F5CEBBB">
      <w:pPr>
        <w:widowControl w:val="0"/>
        <w:adjustRightInd/>
        <w:snapToGrid/>
        <w:ind w:left="540" w:leftChars="25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（4）投标人提供虚假投标文件或虚假补充文件的。</w:t>
      </w:r>
    </w:p>
    <w:p w14:paraId="71D66D14">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在中标通知书发出后，未中标投标人的投标保证金，由采购人自行返还至投标人的原转出账户。</w:t>
      </w:r>
    </w:p>
    <w:p w14:paraId="0578A1DF">
      <w:pPr>
        <w:rPr>
          <w:rFonts w:hint="eastAsia" w:ascii="宋体" w:hAnsi="宋体" w:eastAsia="宋体" w:cs="宋体"/>
          <w:color w:val="auto"/>
          <w:highlight w:val="none"/>
        </w:rPr>
      </w:pPr>
    </w:p>
    <w:p w14:paraId="12F8B83B">
      <w:pPr>
        <w:pStyle w:val="4"/>
        <w:numPr>
          <w:ilvl w:val="0"/>
          <w:numId w:val="3"/>
        </w:numPr>
        <w:spacing w:before="0" w:after="0" w:line="360" w:lineRule="auto"/>
        <w:jc w:val="center"/>
        <w:rPr>
          <w:rFonts w:hint="eastAsia" w:ascii="宋体" w:hAnsi="宋体" w:eastAsia="宋体" w:cs="宋体"/>
          <w:color w:val="auto"/>
          <w:highlight w:val="none"/>
        </w:rPr>
      </w:pPr>
      <w:bookmarkStart w:id="112" w:name="_Toc30352"/>
      <w:bookmarkStart w:id="113" w:name="_Toc25633"/>
      <w:r>
        <w:rPr>
          <w:rFonts w:hint="eastAsia" w:ascii="宋体" w:hAnsi="宋体" w:eastAsia="宋体" w:cs="宋体"/>
          <w:color w:val="auto"/>
          <w:highlight w:val="none"/>
        </w:rPr>
        <w:t>投标文件的递交</w:t>
      </w:r>
      <w:bookmarkEnd w:id="112"/>
      <w:bookmarkEnd w:id="113"/>
    </w:p>
    <w:p w14:paraId="0F55700C">
      <w:pPr>
        <w:pStyle w:val="5"/>
        <w:widowControl w:val="0"/>
        <w:numPr>
          <w:ilvl w:val="0"/>
          <w:numId w:val="4"/>
        </w:numPr>
        <w:overflowPunct w:val="0"/>
        <w:rPr>
          <w:rFonts w:hint="eastAsia" w:ascii="宋体" w:hAnsi="宋体" w:eastAsia="宋体" w:cs="宋体"/>
          <w:color w:val="auto"/>
          <w:sz w:val="21"/>
          <w:szCs w:val="21"/>
          <w:highlight w:val="none"/>
        </w:rPr>
      </w:pPr>
      <w:bookmarkStart w:id="114" w:name="_Toc24150"/>
      <w:bookmarkStart w:id="115" w:name="_Toc303084264"/>
      <w:bookmarkStart w:id="116" w:name="_Toc382049111"/>
      <w:bookmarkStart w:id="117" w:name="_Toc24997"/>
      <w:bookmarkStart w:id="118" w:name="_Toc17863"/>
      <w:r>
        <w:rPr>
          <w:rFonts w:hint="eastAsia" w:ascii="宋体" w:hAnsi="宋体" w:eastAsia="宋体" w:cs="宋体"/>
          <w:color w:val="auto"/>
          <w:sz w:val="21"/>
          <w:szCs w:val="21"/>
          <w:highlight w:val="none"/>
        </w:rPr>
        <w:t>投标文件的装订，签署，密封和标记</w:t>
      </w:r>
      <w:bookmarkEnd w:id="114"/>
      <w:bookmarkEnd w:id="115"/>
      <w:bookmarkEnd w:id="116"/>
      <w:bookmarkEnd w:id="117"/>
      <w:bookmarkEnd w:id="118"/>
    </w:p>
    <w:p w14:paraId="31C855F4">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5526409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投标人应按《投标资料表》的份数准备价格文件、商务文件、技术文件、唱标信封和电子文件（</w:t>
      </w:r>
      <w:r>
        <w:rPr>
          <w:rFonts w:hint="eastAsia" w:ascii="宋体" w:hAnsi="宋体" w:eastAsia="宋体" w:cs="宋体"/>
          <w:b/>
          <w:color w:val="auto"/>
          <w:szCs w:val="21"/>
          <w:highlight w:val="none"/>
        </w:rPr>
        <w:t>价格文件、商务文件、技术文件分别单独装订成册</w:t>
      </w:r>
      <w:r>
        <w:rPr>
          <w:rFonts w:hint="eastAsia" w:ascii="宋体" w:hAnsi="宋体" w:eastAsia="宋体" w:cs="宋体"/>
          <w:color w:val="auto"/>
          <w:szCs w:val="21"/>
          <w:highlight w:val="none"/>
        </w:rPr>
        <w:t>），每一份投标文件均需编上页次，装订成册（不允许使用活页夹，否则由此产生的风险由投标人自行承担）。所有投标文件必须封入密封完好的信封或包装，封口加盖公章。</w:t>
      </w:r>
    </w:p>
    <w:p w14:paraId="25FA8BCC">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正本均须用不褪色墨水书写或打印。投标文件的副本可采用投标文件的正本复印件，每套投标文件应当标明“正本”、“副本”的字样。投标文件的【正本】及所有【副本】的封面及骑缝均须加盖投标人公章（文件每页盖章等同于盖骑缝章）。若正本与副本不符，以正本为准。</w:t>
      </w:r>
    </w:p>
    <w:p w14:paraId="72A4408B">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联合体投标文件的【正本】及【副本】的封面及骑缝均须加盖所有联合体组成成员的公章。（文件每页盖章等同于盖骑缝章）</w:t>
      </w:r>
    </w:p>
    <w:p w14:paraId="7435A82C">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电子文件内容包括：由投标人自行制作的与正本文件一致的所有文件。电子文件由光盘或U盘储存，并注明投标人名称及项目名称、采购项目编号，随投标文件一同密封提交。</w:t>
      </w:r>
    </w:p>
    <w:p w14:paraId="00452B6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除投标人对错误处修改外，全套投标文件应无涂改或行间插字和增删。如有修改，修改处须由法定代表人或其正式授权代表在旁边签字及盖章。</w:t>
      </w:r>
    </w:p>
    <w:p w14:paraId="515B3745">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投标人应将投标文件进行非透明的封装，以防止投标文件内容的泄露。采购代理机构将拒绝接收采用透明包装进行密封的投标文件。</w:t>
      </w:r>
    </w:p>
    <w:p w14:paraId="156456E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密封破损导致投标文件内容直接或间接泄露的投标文件，采购代理机构将拒绝接收。</w:t>
      </w:r>
    </w:p>
    <w:p w14:paraId="63E71EEA">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方便开标唱标，投标人应将开标一览表和授权委托书单独密封提交，并在信封上标明“唱标信封”字样。唱标信封内还须包括并不限于：投标保证金支付凭证银行汇款底单（复印件加盖公章，原件随身携带，以备查核）和投标保证金汇入情况说明（加盖公章）。投标人的法定代表人参加投标时，须开具法定代表人证明书，按上述要求与开标一览表一并密封提交。“唱标信封”份数及签章等要求与投标文件正本相同（1份）。</w:t>
      </w:r>
    </w:p>
    <w:p w14:paraId="44E94401">
      <w:pPr>
        <w:widowControl w:val="0"/>
        <w:numPr>
          <w:ilvl w:val="1"/>
          <w:numId w:val="4"/>
        </w:numPr>
        <w:overflowPunct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未单独提交唱标信封的投标人投标文件不进行唱标，投标文件作无效处理。</w:t>
      </w:r>
    </w:p>
    <w:p w14:paraId="38CB320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所有的信封均应注明： </w:t>
      </w:r>
    </w:p>
    <w:p w14:paraId="59110B1B">
      <w:pPr>
        <w:widowControl w:val="0"/>
        <w:numPr>
          <w:ilvl w:val="0"/>
          <w:numId w:val="7"/>
        </w:numPr>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收件人： </w:t>
      </w:r>
    </w:p>
    <w:p w14:paraId="20520D63">
      <w:pPr>
        <w:widowControl w:val="0"/>
        <w:numPr>
          <w:ilvl w:val="0"/>
          <w:numId w:val="7"/>
        </w:numPr>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投标单位名称：</w:t>
      </w:r>
    </w:p>
    <w:p w14:paraId="66239BD4">
      <w:pPr>
        <w:widowControl w:val="0"/>
        <w:numPr>
          <w:ilvl w:val="0"/>
          <w:numId w:val="7"/>
        </w:numPr>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p w14:paraId="05FDA181">
      <w:pPr>
        <w:widowControl w:val="0"/>
        <w:numPr>
          <w:ilvl w:val="0"/>
          <w:numId w:val="7"/>
        </w:numPr>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项目采购项目编号：</w:t>
      </w:r>
    </w:p>
    <w:p w14:paraId="10979C3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密封信封上的项目编号错误或项目名称出现严重歧义的（包括采购内容不符），采购代理机构将拒绝接收。</w:t>
      </w:r>
    </w:p>
    <w:p w14:paraId="3437D05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采购代理机构对所有投标文件的误投或提前启封概不负责。</w:t>
      </w:r>
    </w:p>
    <w:p w14:paraId="7BD5255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投标人同时参加几个包投标时必须按采购文件要求按包号分别制作投标文件，分别密封递交。</w:t>
      </w:r>
    </w:p>
    <w:p w14:paraId="0440B6B4">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传真、电传的投标文件将被拒绝。</w:t>
      </w:r>
    </w:p>
    <w:p w14:paraId="1BFBA56E">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递交的投标文件中所提供的通讯方式应保持联络畅通，因联系不上而导致的所有后果由投标人自行承担。</w:t>
      </w:r>
    </w:p>
    <w:p w14:paraId="69A8A9BA">
      <w:pPr>
        <w:rPr>
          <w:rFonts w:hint="eastAsia" w:ascii="宋体" w:hAnsi="宋体" w:eastAsia="宋体" w:cs="宋体"/>
          <w:color w:val="auto"/>
          <w:highlight w:val="none"/>
        </w:rPr>
      </w:pPr>
    </w:p>
    <w:p w14:paraId="6D26E304">
      <w:pPr>
        <w:pStyle w:val="5"/>
        <w:widowControl w:val="0"/>
        <w:numPr>
          <w:ilvl w:val="0"/>
          <w:numId w:val="4"/>
        </w:numPr>
        <w:overflowPunct w:val="0"/>
        <w:rPr>
          <w:rFonts w:hint="eastAsia" w:ascii="宋体" w:hAnsi="宋体" w:eastAsia="宋体" w:cs="宋体"/>
          <w:color w:val="auto"/>
          <w:sz w:val="21"/>
          <w:szCs w:val="21"/>
          <w:highlight w:val="none"/>
        </w:rPr>
      </w:pPr>
      <w:bookmarkStart w:id="119" w:name="_Toc13923"/>
      <w:bookmarkStart w:id="120" w:name="_Toc25895"/>
      <w:r>
        <w:rPr>
          <w:rFonts w:hint="eastAsia" w:ascii="宋体" w:hAnsi="宋体" w:eastAsia="宋体" w:cs="宋体"/>
          <w:color w:val="auto"/>
          <w:sz w:val="21"/>
          <w:szCs w:val="21"/>
          <w:highlight w:val="none"/>
        </w:rPr>
        <w:t>迟交的投标文件</w:t>
      </w:r>
      <w:bookmarkEnd w:id="119"/>
      <w:bookmarkEnd w:id="120"/>
    </w:p>
    <w:p w14:paraId="2727485D">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30DD9103">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投标人在投标截止时间之后提交的投标文件，采购代理机构将拒绝接收。</w:t>
      </w:r>
    </w:p>
    <w:p w14:paraId="59036D1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有违反其他法律规定情形的，采购代理机构将拒绝接收。</w:t>
      </w:r>
    </w:p>
    <w:p w14:paraId="67821BB3">
      <w:pPr>
        <w:rPr>
          <w:rFonts w:hint="eastAsia" w:ascii="宋体" w:hAnsi="宋体" w:eastAsia="宋体" w:cs="宋体"/>
          <w:color w:val="auto"/>
          <w:highlight w:val="none"/>
        </w:rPr>
      </w:pPr>
    </w:p>
    <w:p w14:paraId="2AAE7DBD">
      <w:pPr>
        <w:pStyle w:val="5"/>
        <w:widowControl w:val="0"/>
        <w:numPr>
          <w:ilvl w:val="0"/>
          <w:numId w:val="4"/>
        </w:numPr>
        <w:overflowPunct w:val="0"/>
        <w:rPr>
          <w:rFonts w:hint="eastAsia" w:ascii="宋体" w:hAnsi="宋体" w:eastAsia="宋体" w:cs="宋体"/>
          <w:color w:val="auto"/>
          <w:sz w:val="21"/>
          <w:szCs w:val="21"/>
          <w:highlight w:val="none"/>
        </w:rPr>
      </w:pPr>
      <w:bookmarkStart w:id="121" w:name="_Toc9143"/>
      <w:bookmarkStart w:id="122" w:name="_Toc20824"/>
      <w:r>
        <w:rPr>
          <w:rFonts w:hint="eastAsia" w:ascii="宋体" w:hAnsi="宋体" w:eastAsia="宋体" w:cs="宋体"/>
          <w:color w:val="auto"/>
          <w:sz w:val="21"/>
          <w:szCs w:val="21"/>
          <w:highlight w:val="none"/>
        </w:rPr>
        <w:t>投标样品（如需提交）</w:t>
      </w:r>
      <w:bookmarkEnd w:id="121"/>
      <w:bookmarkEnd w:id="122"/>
    </w:p>
    <w:p w14:paraId="15A3B34B">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27F76BC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如有必要，采购代理机构可以要求投标人提供本服务项目涉及的部分设备或产品样品，投标人在投标时应提交《样品清单》。</w:t>
      </w:r>
    </w:p>
    <w:p w14:paraId="0121D55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为方便评标，投标人在提供样品时，应在所提供的样品表面显著位置标注投标人的名称、包号、样品名称、采购文件规定的服务或货物编号。</w:t>
      </w:r>
    </w:p>
    <w:p w14:paraId="651106C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样品作为投标文件的一部分，除非另有说明，中标单位的样品将作为履约验收标准的参考不再退还，未中标单位须在中标公告发布后五个工作日内，前往采购代理机构领取投标样品，逾期不领，采购代理机构将不承担样品的保管责任，由此引发的样品丢失、毁损，采购代理机构不予负责。</w:t>
      </w:r>
    </w:p>
    <w:p w14:paraId="28A3EFBE">
      <w:pPr>
        <w:rPr>
          <w:rFonts w:hint="eastAsia" w:ascii="宋体" w:hAnsi="宋体" w:eastAsia="宋体" w:cs="宋体"/>
          <w:color w:val="auto"/>
          <w:highlight w:val="none"/>
        </w:rPr>
      </w:pPr>
    </w:p>
    <w:p w14:paraId="2FCB53AE">
      <w:pPr>
        <w:pStyle w:val="5"/>
        <w:widowControl w:val="0"/>
        <w:numPr>
          <w:ilvl w:val="0"/>
          <w:numId w:val="4"/>
        </w:numPr>
        <w:overflowPunct w:val="0"/>
        <w:rPr>
          <w:rFonts w:hint="eastAsia" w:ascii="宋体" w:hAnsi="宋体" w:eastAsia="宋体" w:cs="宋体"/>
          <w:color w:val="auto"/>
          <w:sz w:val="21"/>
          <w:szCs w:val="21"/>
          <w:highlight w:val="none"/>
        </w:rPr>
      </w:pPr>
      <w:bookmarkStart w:id="123" w:name="_Toc382049112"/>
      <w:bookmarkStart w:id="124" w:name="_Toc303084265"/>
      <w:bookmarkStart w:id="125" w:name="_Toc29131"/>
      <w:bookmarkStart w:id="126" w:name="_Toc9777"/>
      <w:bookmarkStart w:id="127" w:name="_Toc1712"/>
      <w:r>
        <w:rPr>
          <w:rFonts w:hint="eastAsia" w:ascii="宋体" w:hAnsi="宋体" w:eastAsia="宋体" w:cs="宋体"/>
          <w:color w:val="auto"/>
          <w:sz w:val="21"/>
          <w:szCs w:val="21"/>
          <w:highlight w:val="none"/>
        </w:rPr>
        <w:t>投标截止期</w:t>
      </w:r>
      <w:bookmarkEnd w:id="123"/>
      <w:bookmarkEnd w:id="124"/>
      <w:bookmarkEnd w:id="125"/>
      <w:bookmarkEnd w:id="126"/>
      <w:bookmarkEnd w:id="127"/>
    </w:p>
    <w:p w14:paraId="35FD1F16">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19965D13">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投标人应在采购文件规定的截止日期和时间内，将投标文件送达到指定地点。</w:t>
      </w:r>
    </w:p>
    <w:p w14:paraId="49D3CE1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采购代理机构可按本须知规定以澄清或修改通知的方式，酌情延长递交投标文件的截止时间。在此情况下，投标人的所有权利和义务以及投标人受制约的截止时间，均以延长后新的投标截止时间为准。</w:t>
      </w:r>
    </w:p>
    <w:p w14:paraId="7DA650BA">
      <w:pPr>
        <w:rPr>
          <w:rFonts w:hint="eastAsia" w:ascii="宋体" w:hAnsi="宋体" w:eastAsia="宋体" w:cs="宋体"/>
          <w:color w:val="auto"/>
          <w:highlight w:val="none"/>
        </w:rPr>
      </w:pPr>
    </w:p>
    <w:p w14:paraId="7A1F7750">
      <w:pPr>
        <w:pStyle w:val="5"/>
        <w:widowControl w:val="0"/>
        <w:numPr>
          <w:ilvl w:val="0"/>
          <w:numId w:val="4"/>
        </w:numPr>
        <w:overflowPunct w:val="0"/>
        <w:rPr>
          <w:rFonts w:hint="eastAsia" w:ascii="宋体" w:hAnsi="宋体" w:eastAsia="宋体" w:cs="宋体"/>
          <w:color w:val="auto"/>
          <w:sz w:val="21"/>
          <w:szCs w:val="21"/>
          <w:highlight w:val="none"/>
        </w:rPr>
      </w:pPr>
      <w:bookmarkStart w:id="128" w:name="_Toc21869"/>
      <w:bookmarkStart w:id="129" w:name="_Toc31417"/>
      <w:r>
        <w:rPr>
          <w:rFonts w:hint="eastAsia" w:ascii="宋体" w:hAnsi="宋体" w:eastAsia="宋体" w:cs="宋体"/>
          <w:color w:val="auto"/>
          <w:sz w:val="21"/>
          <w:szCs w:val="21"/>
          <w:highlight w:val="none"/>
        </w:rPr>
        <w:t>投标文件的补充、修改与撤回</w:t>
      </w:r>
      <w:bookmarkEnd w:id="128"/>
      <w:bookmarkEnd w:id="129"/>
    </w:p>
    <w:p w14:paraId="352F5A54">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5E605C5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投标人在提交投标文件截止时间前，可以对所提交的投标文件进行补充、修改或撤回，并以纸质版形式通知采购代理机构。在提交投标文件截止时间之后，投标人不得对其投标文件做出任何的补充和修改。</w:t>
      </w:r>
    </w:p>
    <w:p w14:paraId="23B2E863">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投标人对投标文件的补充、修改的内容应当按采购文件要求签署、盖章、密封后，作为投标文件的组成部分。并按照采购文件规定密封和标记的要求提交，并在投标文件密封袋上标明“补充、修改”字样。</w:t>
      </w:r>
    </w:p>
    <w:p w14:paraId="198606BB">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投标文件一经递交不予退还。</w:t>
      </w:r>
    </w:p>
    <w:p w14:paraId="39294F90">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在提交投标文件截止时间至投标有效期满之前，投标人不得撤回其投标，否则其投标保证金将不予退还。</w:t>
      </w:r>
    </w:p>
    <w:p w14:paraId="30F94AB8">
      <w:pPr>
        <w:pStyle w:val="10"/>
        <w:rPr>
          <w:rFonts w:hint="eastAsia" w:ascii="宋体" w:hAnsi="宋体" w:eastAsia="宋体" w:cs="宋体"/>
          <w:color w:val="auto"/>
          <w:highlight w:val="none"/>
        </w:rPr>
      </w:pPr>
    </w:p>
    <w:p w14:paraId="65BC2158">
      <w:pPr>
        <w:pStyle w:val="4"/>
        <w:numPr>
          <w:ilvl w:val="0"/>
          <w:numId w:val="3"/>
        </w:numPr>
        <w:spacing w:before="0" w:after="0" w:line="360" w:lineRule="auto"/>
        <w:jc w:val="center"/>
        <w:rPr>
          <w:rFonts w:hint="eastAsia" w:ascii="宋体" w:hAnsi="宋体" w:eastAsia="宋体" w:cs="宋体"/>
          <w:color w:val="auto"/>
          <w:highlight w:val="none"/>
        </w:rPr>
      </w:pPr>
      <w:bookmarkStart w:id="130" w:name="_Toc7410"/>
      <w:bookmarkStart w:id="131" w:name="_Toc20676"/>
      <w:r>
        <w:rPr>
          <w:rFonts w:hint="eastAsia" w:ascii="宋体" w:hAnsi="宋体" w:eastAsia="宋体" w:cs="宋体"/>
          <w:color w:val="auto"/>
          <w:highlight w:val="none"/>
        </w:rPr>
        <w:t>开标与评标</w:t>
      </w:r>
      <w:bookmarkEnd w:id="130"/>
      <w:bookmarkEnd w:id="131"/>
    </w:p>
    <w:p w14:paraId="5BD9F278">
      <w:pPr>
        <w:pStyle w:val="5"/>
        <w:widowControl w:val="0"/>
        <w:numPr>
          <w:ilvl w:val="0"/>
          <w:numId w:val="4"/>
        </w:numPr>
        <w:overflowPunct w:val="0"/>
        <w:rPr>
          <w:rFonts w:hint="eastAsia" w:ascii="宋体" w:hAnsi="宋体" w:eastAsia="宋体" w:cs="宋体"/>
          <w:color w:val="auto"/>
          <w:sz w:val="21"/>
          <w:szCs w:val="21"/>
          <w:highlight w:val="none"/>
        </w:rPr>
      </w:pPr>
      <w:bookmarkStart w:id="132" w:name="_Toc31671"/>
      <w:bookmarkStart w:id="133" w:name="_Toc19577"/>
      <w:r>
        <w:rPr>
          <w:rFonts w:hint="eastAsia" w:ascii="宋体" w:hAnsi="宋体" w:eastAsia="宋体" w:cs="宋体"/>
          <w:color w:val="auto"/>
          <w:sz w:val="21"/>
          <w:szCs w:val="21"/>
          <w:highlight w:val="none"/>
        </w:rPr>
        <w:t>开标</w:t>
      </w:r>
      <w:bookmarkEnd w:id="132"/>
      <w:bookmarkEnd w:id="133"/>
    </w:p>
    <w:p w14:paraId="4AE157A7">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3F1269C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采购代理机构按本采购文件所规定的时间和地点公开开标，并邀请所有投标人代表参加。</w:t>
      </w:r>
    </w:p>
    <w:p w14:paraId="56B92E8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开标程序：</w:t>
      </w:r>
    </w:p>
    <w:p w14:paraId="567F83F4">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开标会由采购代理机构主持，投标人的法定代表人或其授权代表携带有效身份证明准时参加开标会并签名报到。</w:t>
      </w:r>
    </w:p>
    <w:p w14:paraId="10EA8D64">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开标时，由投标人或者其推选的代表检查投标文件的密封情况；经确认无误后，由采购人或者采购代理机构工作人员当众拆封，宣布投标人名称、投标价格和采购文件规定的需要宣布的其他内容；</w:t>
      </w:r>
    </w:p>
    <w:p w14:paraId="3E9B2EC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对开标过程和开标记录有异议，以及认为采购人、采购代理机构相关工作人员有需要回避的情形的，应当场提出询问或者回避申请。开标现场未提出异议的视为认同开标结果。开标结束后，投标人对开标过程和开标记录不得再提出异议。</w:t>
      </w:r>
    </w:p>
    <w:p w14:paraId="3A50DC1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投标人未参加开标的，视同认可开标结果。</w:t>
      </w:r>
    </w:p>
    <w:p w14:paraId="52C28B6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项目根据以下情况可以现场转换采购方式继续采购:</w:t>
      </w:r>
    </w:p>
    <w:p w14:paraId="10D1B471">
      <w:pPr>
        <w:widowControl w:val="0"/>
        <w:numPr>
          <w:ilvl w:val="-1"/>
          <w:numId w:val="0"/>
        </w:numPr>
        <w:overflowPunct w:val="0"/>
        <w:ind w:left="638" w:leftChars="304" w:firstLine="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（1）当有效投标人只有2家时，经评标委员会论证，采购文件没有不合理条款、采购程序符合规定的，经采购人和作出实质性响应的投标人代表同意后，现场转为2家供应商竞争性谈判采购。</w:t>
      </w:r>
    </w:p>
    <w:p w14:paraId="567CCCEA">
      <w:pPr>
        <w:widowControl w:val="0"/>
        <w:numPr>
          <w:ilvl w:val="-1"/>
          <w:numId w:val="0"/>
        </w:numPr>
        <w:overflowPunct w:val="0"/>
        <w:ind w:left="638" w:leftChars="304" w:firstLine="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（2）当有效投标人只有1家时，经评标委员会论证，采购文件没有不合理条款、采购程序符合规定的，经采购人和作出实质性响应的投标人代表同意后，现场转为1家供应商定向谈判采购。</w:t>
      </w:r>
    </w:p>
    <w:p w14:paraId="188DECFD">
      <w:pPr>
        <w:widowControl w:val="0"/>
        <w:numPr>
          <w:ilvl w:val="-1"/>
          <w:numId w:val="0"/>
        </w:numPr>
        <w:overflowPunct w:val="0"/>
        <w:ind w:left="638" w:leftChars="304" w:firstLine="0"/>
        <w:rPr>
          <w:rFonts w:hint="eastAsia" w:ascii="宋体" w:hAnsi="宋体" w:eastAsia="宋体" w:cs="宋体"/>
          <w:color w:val="auto"/>
          <w:szCs w:val="21"/>
          <w:highlight w:val="none"/>
        </w:rPr>
      </w:pPr>
      <w:r>
        <w:rPr>
          <w:rFonts w:hint="eastAsia" w:ascii="宋体" w:hAnsi="宋体" w:eastAsia="宋体" w:cs="宋体"/>
          <w:color w:val="auto"/>
          <w:szCs w:val="21"/>
          <w:highlight w:val="none"/>
        </w:rPr>
        <w:t>(3)若不同意转换采购方式，退出投标的投标人，投标保证金按文件规定退还。</w:t>
      </w:r>
    </w:p>
    <w:p w14:paraId="1E0A1675">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开标过程应当由采购人或者采购代理机构负责记录，由参加开标的各投标人代表和相关工作人员签字确认。</w:t>
      </w:r>
    </w:p>
    <w:p w14:paraId="34B26AE9">
      <w:pPr>
        <w:widowControl w:val="0"/>
        <w:adjustRightInd/>
        <w:snapToGrid/>
        <w:ind w:left="567"/>
        <w:jc w:val="both"/>
        <w:rPr>
          <w:rFonts w:hint="eastAsia" w:ascii="宋体" w:hAnsi="宋体" w:eastAsia="宋体" w:cs="宋体"/>
          <w:color w:val="auto"/>
          <w:highlight w:val="none"/>
        </w:rPr>
      </w:pPr>
    </w:p>
    <w:p w14:paraId="4953A092">
      <w:pPr>
        <w:pStyle w:val="5"/>
        <w:widowControl w:val="0"/>
        <w:numPr>
          <w:ilvl w:val="0"/>
          <w:numId w:val="4"/>
        </w:numPr>
        <w:overflowPunct w:val="0"/>
        <w:rPr>
          <w:rFonts w:hint="eastAsia" w:ascii="宋体" w:hAnsi="宋体" w:eastAsia="宋体" w:cs="宋体"/>
          <w:color w:val="auto"/>
          <w:sz w:val="21"/>
          <w:szCs w:val="21"/>
          <w:highlight w:val="none"/>
        </w:rPr>
      </w:pPr>
      <w:bookmarkStart w:id="134" w:name="_Toc12002"/>
      <w:bookmarkStart w:id="135" w:name="_Toc3528"/>
      <w:r>
        <w:rPr>
          <w:rFonts w:hint="eastAsia" w:ascii="宋体" w:hAnsi="宋体" w:eastAsia="宋体" w:cs="宋体"/>
          <w:color w:val="auto"/>
          <w:sz w:val="21"/>
          <w:szCs w:val="21"/>
          <w:highlight w:val="none"/>
        </w:rPr>
        <w:t>评标委员会及评标方法</w:t>
      </w:r>
      <w:bookmarkEnd w:id="134"/>
      <w:bookmarkEnd w:id="135"/>
    </w:p>
    <w:p w14:paraId="62346F25">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37DCAC7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依法组成评标委员会，评标委员会由采购人和有关技术、经济等方面的专家组成，成员人数为五人或五人以上单数，其中技术、经济等方面的专家不少于成员总数的三分之二，并负责评标工作。</w:t>
      </w:r>
    </w:p>
    <w:p w14:paraId="1EBF64A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评审方法：本次采购的评审方法采用综合评分法。</w:t>
      </w:r>
    </w:p>
    <w:p w14:paraId="7D564DF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定标原则：在最大限度满足采购文件实质性要求前提下，按照采购文件规定的各项评价因素进行量化打分，以评标总得分最高的投标人作为中标候选人或中标人。</w:t>
      </w:r>
    </w:p>
    <w:p w14:paraId="2E6FAFA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评标委员会对投标文件的评审内容，分为商务评议、技术评议和价格评议。评审流程包括符合性检查、澄清问题、比较与评价、推荐中标候选人或确定中标人、编写评标报告等步骤。</w:t>
      </w:r>
    </w:p>
    <w:p w14:paraId="1EB30CE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标期间，评标委员会可要求投标人对其投标文件进行澄清，但不得寻求、提供或允许对投标价格等实质性内容做任何更改。有关澄清的要求和答复均应以纸质版形式提交，如投标人拒绝评标委员会要求对其投标文件进行澄清的要求，所造成的后果由投标人自行承担。</w:t>
      </w:r>
    </w:p>
    <w:p w14:paraId="34A46E5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评标委员会和采购人在评审过程中有权核对投标文件中相关材料的原件，投标人在接到通知后应在评标委员会规定的时间内提交原件核查。</w:t>
      </w:r>
    </w:p>
    <w:p w14:paraId="16C27981">
      <w:pPr>
        <w:rPr>
          <w:rFonts w:hint="eastAsia" w:ascii="宋体" w:hAnsi="宋体" w:eastAsia="宋体" w:cs="宋体"/>
          <w:color w:val="auto"/>
          <w:highlight w:val="none"/>
        </w:rPr>
      </w:pPr>
    </w:p>
    <w:p w14:paraId="44E1462F">
      <w:pPr>
        <w:pStyle w:val="5"/>
        <w:widowControl w:val="0"/>
        <w:numPr>
          <w:ilvl w:val="0"/>
          <w:numId w:val="4"/>
        </w:numPr>
        <w:overflowPunct w:val="0"/>
        <w:rPr>
          <w:rFonts w:hint="eastAsia" w:ascii="宋体" w:hAnsi="宋体" w:eastAsia="宋体" w:cs="宋体"/>
          <w:color w:val="auto"/>
          <w:sz w:val="21"/>
          <w:szCs w:val="21"/>
          <w:highlight w:val="none"/>
        </w:rPr>
      </w:pPr>
      <w:bookmarkStart w:id="136" w:name="_Toc4198"/>
      <w:bookmarkStart w:id="137" w:name="_Toc27389"/>
      <w:r>
        <w:rPr>
          <w:rFonts w:hint="eastAsia" w:ascii="宋体" w:hAnsi="宋体" w:eastAsia="宋体" w:cs="宋体"/>
          <w:color w:val="auto"/>
          <w:sz w:val="21"/>
          <w:szCs w:val="21"/>
          <w:highlight w:val="none"/>
        </w:rPr>
        <w:t>评审原则及评标过程的保密</w:t>
      </w:r>
      <w:bookmarkEnd w:id="136"/>
      <w:bookmarkEnd w:id="137"/>
    </w:p>
    <w:p w14:paraId="264DAF11">
      <w:pPr>
        <w:pStyle w:val="42"/>
        <w:widowControl w:val="0"/>
        <w:numPr>
          <w:ilvl w:val="0"/>
          <w:numId w:val="5"/>
        </w:numPr>
        <w:adjustRightInd/>
        <w:snapToGrid/>
        <w:ind w:firstLineChars="0"/>
        <w:jc w:val="both"/>
        <w:rPr>
          <w:rFonts w:hint="eastAsia" w:ascii="宋体" w:hAnsi="宋体" w:eastAsia="宋体" w:cs="宋体"/>
          <w:vanish/>
          <w:color w:val="auto"/>
          <w:szCs w:val="21"/>
          <w:highlight w:val="none"/>
        </w:rPr>
      </w:pPr>
    </w:p>
    <w:p w14:paraId="109F996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评审的基本原则：评标委员会将依据采购文件的规定，遵循“公开、公平、公正、择优、信用”的原则进行评审工作。</w:t>
      </w:r>
    </w:p>
    <w:p w14:paraId="5BD472D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从公开开标到签订合同，凡与审查、澄清、评审和投标有关的资料以及定标意见相关的事项，均不得向投标人及与评标无关的其他人透露。</w:t>
      </w:r>
    </w:p>
    <w:p w14:paraId="3C031954">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任何单位和个人不得非法干预、影响评标的过程和结果。</w:t>
      </w:r>
    </w:p>
    <w:p w14:paraId="5526F125">
      <w:pPr>
        <w:rPr>
          <w:rFonts w:hint="eastAsia" w:ascii="宋体" w:hAnsi="宋体" w:eastAsia="宋体" w:cs="宋体"/>
          <w:color w:val="auto"/>
          <w:highlight w:val="none"/>
        </w:rPr>
      </w:pPr>
    </w:p>
    <w:p w14:paraId="165304D4">
      <w:pPr>
        <w:pStyle w:val="5"/>
        <w:widowControl w:val="0"/>
        <w:numPr>
          <w:ilvl w:val="0"/>
          <w:numId w:val="4"/>
        </w:numPr>
        <w:overflowPunct w:val="0"/>
        <w:rPr>
          <w:rFonts w:hint="eastAsia" w:ascii="宋体" w:hAnsi="宋体" w:eastAsia="宋体" w:cs="宋体"/>
          <w:color w:val="auto"/>
          <w:sz w:val="21"/>
          <w:szCs w:val="21"/>
          <w:highlight w:val="none"/>
        </w:rPr>
      </w:pPr>
      <w:bookmarkStart w:id="138" w:name="_Toc8406"/>
      <w:r>
        <w:rPr>
          <w:rFonts w:hint="eastAsia" w:ascii="宋体" w:hAnsi="宋体" w:eastAsia="宋体" w:cs="宋体"/>
          <w:color w:val="auto"/>
          <w:sz w:val="21"/>
          <w:szCs w:val="21"/>
          <w:highlight w:val="none"/>
        </w:rPr>
        <w:t>评标程序</w:t>
      </w:r>
      <w:bookmarkEnd w:id="138"/>
    </w:p>
    <w:p w14:paraId="6038F2B8">
      <w:pPr>
        <w:widowControl w:val="0"/>
        <w:numPr>
          <w:ilvl w:val="1"/>
          <w:numId w:val="4"/>
        </w:numPr>
        <w:overflowPunct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资格性、符合性审查</w:t>
      </w:r>
    </w:p>
    <w:p w14:paraId="53640883">
      <w:pPr>
        <w:widowControl w:val="0"/>
        <w:overflowPunct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开采购项目开标结束后，评标委员会根据《资格性、符合性审查表》将依法对投标人进行资格性、符合性审查。投标人必须严格按照《资格性、符合性审查表》的评审内容的要求如实提供证明材料并应加盖投标人公章，对缺漏或不符合项将直接导致无效投标。合格投标人不足3家的，不得评标。未通过资格性、符合性审查的投标人不进入评标阶段的评审。</w:t>
      </w:r>
    </w:p>
    <w:p w14:paraId="23A5808D">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《资格性、符合性审查表》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7616"/>
      </w:tblGrid>
      <w:tr w14:paraId="5B08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355DDA01">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序号</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4D4E5176">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 审 内 容</w:t>
            </w:r>
          </w:p>
        </w:tc>
      </w:tr>
      <w:tr w14:paraId="4AA5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restart"/>
            <w:tcBorders>
              <w:top w:val="single" w:color="auto" w:sz="4" w:space="0"/>
              <w:left w:val="single" w:color="auto" w:sz="4" w:space="0"/>
              <w:right w:val="single" w:color="auto" w:sz="4" w:space="0"/>
              <w:tl2br w:val="nil"/>
              <w:tr2bl w:val="nil"/>
            </w:tcBorders>
            <w:vAlign w:val="center"/>
          </w:tcPr>
          <w:p w14:paraId="4B96F973">
            <w:pPr>
              <w:numPr>
                <w:ilvl w:val="0"/>
                <w:numId w:val="8"/>
              </w:numPr>
              <w:tabs>
                <w:tab w:val="left" w:pos="176"/>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1B075B05">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tc>
      </w:tr>
      <w:tr w14:paraId="3324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1169C608">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37C2F6F7">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（2）参加采购活动前三年内，在经营活动中没有重大违法记录（须提供书面声明）；</w:t>
            </w:r>
          </w:p>
        </w:tc>
      </w:tr>
      <w:tr w14:paraId="5DCB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0677C5EC">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D54F2E2">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（3）投标人的单位负责人为同一人或者存在直接控股、管理关系的不同投标人，不得参加同一合同项下的采购活动；</w:t>
            </w:r>
          </w:p>
        </w:tc>
      </w:tr>
      <w:tr w14:paraId="069D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0C2F4D4E">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637BF15">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（4）未被列入“信用中国”网站(www.creditchina.gov.cn )“记录失信被执行人或重大税收违法失信主体或政府采购严重违法失信行为”记录名单。以代理机构于投标截止日当天在“信用中国”网站查询结果为准，如相关失信记录已失效，投标人需提供相关证明资料；</w:t>
            </w:r>
          </w:p>
        </w:tc>
      </w:tr>
      <w:tr w14:paraId="3599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75325D86">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4AC41466">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（5）未被列入东实</w:t>
            </w:r>
            <w:r>
              <w:rPr>
                <w:rFonts w:hint="eastAsia" w:ascii="宋体" w:hAnsi="宋体" w:cs="宋体"/>
                <w:color w:val="auto"/>
                <w:szCs w:val="21"/>
                <w:highlight w:val="none"/>
                <w:lang w:val="en-US" w:eastAsia="zh-CN"/>
              </w:rPr>
              <w:t>环境</w:t>
            </w:r>
            <w:r>
              <w:rPr>
                <w:rFonts w:hint="eastAsia" w:ascii="宋体" w:hAnsi="宋体" w:eastAsia="宋体" w:cs="宋体"/>
                <w:color w:val="auto"/>
                <w:szCs w:val="21"/>
                <w:highlight w:val="none"/>
              </w:rPr>
              <w:t>及下属企业相关领域黑名单。</w:t>
            </w:r>
          </w:p>
        </w:tc>
      </w:tr>
      <w:tr w14:paraId="692E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bottom w:val="single" w:color="auto" w:sz="4" w:space="0"/>
              <w:right w:val="single" w:color="auto" w:sz="4" w:space="0"/>
              <w:tl2br w:val="nil"/>
              <w:tr2bl w:val="nil"/>
            </w:tcBorders>
            <w:vAlign w:val="center"/>
          </w:tcPr>
          <w:p w14:paraId="476D5832">
            <w:pPr>
              <w:tabs>
                <w:tab w:val="left" w:pos="176"/>
                <w:tab w:val="left" w:pos="420"/>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2C7594F">
            <w:pPr>
              <w:tabs>
                <w:tab w:val="left" w:pos="612"/>
              </w:tabs>
              <w:rPr>
                <w:rFonts w:hint="eastAsia" w:ascii="宋体" w:hAnsi="宋体" w:eastAsia="宋体" w:cs="宋体"/>
                <w:color w:val="auto"/>
                <w:szCs w:val="21"/>
                <w:highlight w:val="none"/>
              </w:rPr>
            </w:pPr>
            <w:r>
              <w:rPr>
                <w:rFonts w:hint="eastAsia" w:ascii="宋体" w:hAnsi="宋体" w:eastAsia="宋体" w:cs="宋体"/>
                <w:color w:val="auto"/>
                <w:szCs w:val="21"/>
                <w:highlight w:val="none"/>
              </w:rPr>
              <w:t>（6）符合投标人资格要求中其他要求。（提供《附件</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.相关资质证明文件》中对应证明文件。）</w:t>
            </w:r>
          </w:p>
        </w:tc>
      </w:tr>
      <w:tr w14:paraId="2C7D2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4A77DC6C">
            <w:pPr>
              <w:numPr>
                <w:ilvl w:val="0"/>
                <w:numId w:val="8"/>
              </w:numPr>
              <w:tabs>
                <w:tab w:val="left" w:pos="176"/>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50448C25">
            <w:pPr>
              <w:textAlignment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投标人按照采购文件要求提交投标保证金；</w:t>
            </w:r>
          </w:p>
        </w:tc>
      </w:tr>
      <w:tr w14:paraId="6677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0BFD4589">
            <w:pPr>
              <w:numPr>
                <w:ilvl w:val="0"/>
                <w:numId w:val="8"/>
              </w:numPr>
              <w:tabs>
                <w:tab w:val="left" w:pos="176"/>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260A44D1">
            <w:pP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投标文件按照采购文件要求签署盖章；</w:t>
            </w:r>
          </w:p>
        </w:tc>
      </w:tr>
      <w:tr w14:paraId="3806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10D06061">
            <w:pPr>
              <w:numPr>
                <w:ilvl w:val="0"/>
                <w:numId w:val="8"/>
              </w:numPr>
              <w:tabs>
                <w:tab w:val="left" w:pos="176"/>
                <w:tab w:val="left" w:pos="612"/>
              </w:tabs>
              <w:jc w:val="center"/>
              <w:rPr>
                <w:rFonts w:hint="eastAsia" w:ascii="宋体" w:hAnsi="宋体" w:eastAsia="宋体" w:cs="宋体"/>
                <w:color w:val="auto"/>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2A62F78C">
            <w:pP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投标总价未超出采购预算或最高限价；</w:t>
            </w:r>
          </w:p>
        </w:tc>
      </w:tr>
      <w:tr w14:paraId="7CF8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3250A231">
            <w:pPr>
              <w:tabs>
                <w:tab w:val="left" w:pos="176"/>
                <w:tab w:val="left" w:pos="612"/>
              </w:tabs>
              <w:ind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C42FA53">
            <w:pPr>
              <w:textAlignment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投标文件未含有采购人不能接受的附加条件；</w:t>
            </w:r>
          </w:p>
        </w:tc>
      </w:tr>
      <w:tr w14:paraId="2F8A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4D7E68AB">
            <w:pPr>
              <w:tabs>
                <w:tab w:val="left" w:pos="176"/>
                <w:tab w:val="left" w:pos="612"/>
              </w:tabs>
              <w:ind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3B4C4BFE">
            <w:pP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无负偏离标注“★”符号的条款。</w:t>
            </w:r>
          </w:p>
        </w:tc>
      </w:tr>
      <w:tr w14:paraId="7119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2873BB31">
            <w:pPr>
              <w:tabs>
                <w:tab w:val="left" w:pos="176"/>
                <w:tab w:val="left" w:pos="612"/>
              </w:tabs>
              <w:ind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802BEAB">
            <w:pPr>
              <w:textAlignment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未出现</w:t>
            </w:r>
            <w:r>
              <w:rPr>
                <w:rFonts w:hint="eastAsia" w:ascii="宋体" w:hAnsi="宋体" w:eastAsia="宋体" w:cs="宋体"/>
                <w:color w:val="auto"/>
                <w:szCs w:val="21"/>
                <w:highlight w:val="none"/>
                <w:lang w:bidi="ar"/>
              </w:rPr>
              <w:t>法律、法规和</w:t>
            </w:r>
            <w:r>
              <w:rPr>
                <w:rFonts w:hint="eastAsia" w:ascii="宋体" w:hAnsi="宋体" w:eastAsia="宋体" w:cs="宋体"/>
                <w:color w:val="auto"/>
                <w:szCs w:val="21"/>
                <w:highlight w:val="none"/>
                <w:lang w:val="en-US" w:eastAsia="zh-CN" w:bidi="ar"/>
              </w:rPr>
              <w:t>采购</w:t>
            </w:r>
            <w:r>
              <w:rPr>
                <w:rFonts w:hint="eastAsia" w:ascii="宋体" w:hAnsi="宋体" w:eastAsia="宋体" w:cs="宋体"/>
                <w:color w:val="auto"/>
                <w:szCs w:val="21"/>
                <w:highlight w:val="none"/>
                <w:lang w:bidi="ar"/>
              </w:rPr>
              <w:t>文件规定的其他无效情形。</w:t>
            </w:r>
          </w:p>
        </w:tc>
      </w:tr>
    </w:tbl>
    <w:p w14:paraId="1EA3966F">
      <w:pPr>
        <w:widowControl w:val="0"/>
        <w:overflowPunct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以上资格性、符合性审查中带有不合格分项的投标文件，将作无效标处理。经评标委员会确认的无效投标文件，采购人和采购代理机构将予以拒绝，并且不允许通过修正或撤</w:t>
      </w:r>
      <w:r>
        <w:rPr>
          <w:rFonts w:hint="eastAsia" w:ascii="宋体" w:hAnsi="宋体" w:cs="宋体"/>
          <w:color w:val="auto"/>
          <w:szCs w:val="21"/>
          <w:highlight w:val="none"/>
          <w:lang w:val="en-US" w:eastAsia="zh-CN"/>
        </w:rPr>
        <w:t>销</w:t>
      </w:r>
      <w:r>
        <w:rPr>
          <w:rFonts w:hint="eastAsia" w:ascii="宋体" w:hAnsi="宋体" w:eastAsia="宋体" w:cs="宋体"/>
          <w:color w:val="auto"/>
          <w:szCs w:val="21"/>
          <w:highlight w:val="none"/>
        </w:rPr>
        <w:t>其不符合要求的差异，使之成为具有符合性的投标文件。经评标委员会资格性、符合性审查确认具有有效投标文件的投标人不足三家时将重新组织采购</w:t>
      </w:r>
    </w:p>
    <w:p w14:paraId="2B60195A">
      <w:pPr>
        <w:widowControl w:val="0"/>
        <w:numPr>
          <w:ilvl w:val="1"/>
          <w:numId w:val="4"/>
        </w:numPr>
        <w:overflowPunct w:val="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投标文件报价出现前后不一致的，评标委员会按照下列规定修正：</w:t>
      </w:r>
    </w:p>
    <w:p w14:paraId="36F03599">
      <w:pPr>
        <w:widowControl w:val="0"/>
        <w:numPr>
          <w:ilvl w:val="0"/>
          <w:numId w:val="9"/>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投标文件中开标一览表（报价表）内容与投标文件中相应内容不一致的，以开标一览表（报价表）为准；</w:t>
      </w:r>
    </w:p>
    <w:p w14:paraId="05B6CE35">
      <w:pPr>
        <w:widowControl w:val="0"/>
        <w:numPr>
          <w:ilvl w:val="0"/>
          <w:numId w:val="9"/>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大写金额和小写金额不一致的，以大写金额为准；</w:t>
      </w:r>
    </w:p>
    <w:p w14:paraId="51FDAF00">
      <w:pPr>
        <w:widowControl w:val="0"/>
        <w:numPr>
          <w:ilvl w:val="0"/>
          <w:numId w:val="9"/>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单价金额小数点或者百分比有明显错位的，以开标一览表的总价为准，并修改单价；</w:t>
      </w:r>
    </w:p>
    <w:p w14:paraId="41C8DB8D">
      <w:pPr>
        <w:widowControl w:val="0"/>
        <w:numPr>
          <w:ilvl w:val="0"/>
          <w:numId w:val="9"/>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总价金额与按单价汇总金额不一致的，以单价金额计算结果为准。</w:t>
      </w:r>
    </w:p>
    <w:p w14:paraId="70253969">
      <w:pPr>
        <w:widowControl w:val="0"/>
        <w:numPr>
          <w:ilvl w:val="0"/>
          <w:numId w:val="9"/>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同时出现两种以上不一致的，按照前款规定的顺序修正。修正后的报价按照经投标人确认后产生约束力，投标人不确认的，其投标无效。</w:t>
      </w:r>
    </w:p>
    <w:p w14:paraId="0BABEA44">
      <w:pPr>
        <w:widowControl w:val="0"/>
        <w:overflowPunct w:val="0"/>
        <w:ind w:left="630" w:hanging="630" w:hanging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  评标委员会认为投标人的报价明显低于其他通过符合性审查投标人的报价，有可能影响产品质量或者不能诚信履约的，应当要求其在评标现场合理的时间内提供书面说明（以现场通知时间为准），必要时提交相关证明材料；投标人不能证明其报价合理性的，评标委员会应当将其作为无效投标处理。</w:t>
      </w:r>
    </w:p>
    <w:p w14:paraId="2AE4BDCF">
      <w:pPr>
        <w:widowControl w:val="0"/>
        <w:overflowPunct w:val="0"/>
        <w:ind w:left="630" w:hanging="630" w:hanging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26.4  对于投标文件中不构成实质性偏差的不正规、不一致或不规则，评标委员会可以接受，但这种接受不能损害或影响任何投标人的相对排序。</w:t>
      </w:r>
    </w:p>
    <w:p w14:paraId="30FDE0F6">
      <w:pPr>
        <w:widowControl w:val="0"/>
        <w:overflowPunct w:val="0"/>
        <w:ind w:left="630" w:hanging="630" w:hanging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26.5  在详细评标之前，评标委员会要审查每份投标文件是否实质上响应了采购文件的要求。实质上响应的投标应该是与采购文件要求的全部主要条款（加“★”号）、条件和规格相符，没有重大偏离的投标。对关键条文的偏离、保留或反对，例如关于投标保证金、合同条款的重大偏离将被认为是实质上的偏离。评标委员会决定投标文件的响应性只根据投标文件本身的内容，而不寻求外部的证据。</w:t>
      </w:r>
    </w:p>
    <w:p w14:paraId="16D44890">
      <w:pPr>
        <w:pStyle w:val="10"/>
        <w:rPr>
          <w:rFonts w:hint="eastAsia" w:ascii="宋体" w:hAnsi="宋体" w:eastAsia="宋体" w:cs="宋体"/>
          <w:color w:val="auto"/>
          <w:highlight w:val="none"/>
        </w:rPr>
      </w:pPr>
    </w:p>
    <w:p w14:paraId="35B7545A">
      <w:pPr>
        <w:pStyle w:val="5"/>
        <w:widowControl w:val="0"/>
        <w:numPr>
          <w:ilvl w:val="0"/>
          <w:numId w:val="4"/>
        </w:numPr>
        <w:overflowPunct w:val="0"/>
        <w:rPr>
          <w:rFonts w:hint="eastAsia" w:ascii="宋体" w:hAnsi="宋体" w:eastAsia="宋体" w:cs="宋体"/>
          <w:color w:val="auto"/>
          <w:sz w:val="21"/>
          <w:szCs w:val="21"/>
          <w:highlight w:val="none"/>
        </w:rPr>
      </w:pPr>
      <w:bookmarkStart w:id="139" w:name="_Toc17468"/>
      <w:bookmarkStart w:id="140" w:name="_Toc4799"/>
      <w:r>
        <w:rPr>
          <w:rFonts w:hint="eastAsia" w:ascii="宋体" w:hAnsi="宋体" w:eastAsia="宋体" w:cs="宋体"/>
          <w:color w:val="auto"/>
          <w:sz w:val="21"/>
          <w:szCs w:val="21"/>
          <w:highlight w:val="none"/>
        </w:rPr>
        <w:t>商务、技术、价格评审（具体评审项目详见投标资料表）</w:t>
      </w:r>
      <w:bookmarkEnd w:id="139"/>
      <w:bookmarkEnd w:id="140"/>
    </w:p>
    <w:p w14:paraId="51CE463E">
      <w:pPr>
        <w:pStyle w:val="42"/>
        <w:widowControl w:val="0"/>
        <w:numPr>
          <w:ilvl w:val="0"/>
          <w:numId w:val="5"/>
        </w:numPr>
        <w:tabs>
          <w:tab w:val="left" w:pos="907"/>
        </w:tabs>
        <w:adjustRightInd/>
        <w:snapToGrid/>
        <w:ind w:firstLineChars="0"/>
        <w:jc w:val="both"/>
        <w:rPr>
          <w:rFonts w:hint="eastAsia" w:ascii="宋体" w:hAnsi="宋体" w:eastAsia="宋体" w:cs="宋体"/>
          <w:vanish/>
          <w:color w:val="auto"/>
          <w:szCs w:val="21"/>
          <w:highlight w:val="none"/>
        </w:rPr>
      </w:pPr>
    </w:p>
    <w:p w14:paraId="46806F6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对通过资格性、符合性审查的有效供应商方有资格进入综合评审。采购文件中要求投标人提供的相关资质证书证明材料因国家政策变动导致新旧证书名称不一致，旧证书未取消且新旧证书具有同等效力的，投标人提供新证书与提供在有效期内的旧证书给予同等认可。 </w:t>
      </w:r>
    </w:p>
    <w:p w14:paraId="7678263B">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对通过资格性、符合性审查的投标文件进行详细评审。评标委员会对每一投标文件进行详细的商务评审、技术评审。按照评审程序的规定和依据评分标准，各位评委就每个投标人的技术、商务状况及其对采购文件要求的响应情况进行评议和比较，评出其技术评分和商务评分。根据采购文件规定评出得分，将价格得分、商务得分、技术得分相加得出最终评标得分。</w:t>
      </w:r>
    </w:p>
    <w:p w14:paraId="6CD57DF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用综合评分法的，评标结果按评审后得分由高到低顺序排列。综合得分相同的，按价格评分由高到低顺序排列。综合得分相同且价格评分相同的，按商务评分由高到低顺序排列，得分高的排前，得分低的排后；按上述环节依然存在同分情形而不能确认排名顺序时，由评标委员会进行投票，得票多的排名在先。当第一轮投票结果为投标人得票数相同时，再次进行投票，如此类推，直到能确定排序次序为止。</w:t>
      </w:r>
    </w:p>
    <w:p w14:paraId="637B12A3">
      <w:pPr>
        <w:widowControl w:val="0"/>
        <w:tabs>
          <w:tab w:val="left" w:pos="907"/>
        </w:tabs>
        <w:adjustRightInd/>
        <w:snapToGrid/>
        <w:ind w:left="567"/>
        <w:jc w:val="both"/>
        <w:rPr>
          <w:rFonts w:hint="eastAsia" w:ascii="宋体" w:hAnsi="宋体" w:eastAsia="宋体" w:cs="宋体"/>
          <w:color w:val="auto"/>
          <w:szCs w:val="21"/>
          <w:highlight w:val="none"/>
        </w:rPr>
      </w:pPr>
    </w:p>
    <w:p w14:paraId="36E3BA3E">
      <w:pPr>
        <w:pStyle w:val="5"/>
        <w:widowControl w:val="0"/>
        <w:numPr>
          <w:ilvl w:val="0"/>
          <w:numId w:val="4"/>
        </w:numPr>
        <w:overflowPunct w:val="0"/>
        <w:rPr>
          <w:rFonts w:hint="eastAsia" w:ascii="宋体" w:hAnsi="宋体" w:eastAsia="宋体" w:cs="宋体"/>
          <w:color w:val="auto"/>
          <w:sz w:val="21"/>
          <w:szCs w:val="21"/>
          <w:highlight w:val="none"/>
        </w:rPr>
      </w:pPr>
      <w:bookmarkStart w:id="141" w:name="_Toc316375620"/>
      <w:bookmarkStart w:id="142" w:name="_Toc20328"/>
      <w:bookmarkStart w:id="143" w:name="_Toc21663"/>
      <w:bookmarkStart w:id="144" w:name="_Toc382049120"/>
      <w:bookmarkStart w:id="145" w:name="_Toc16614"/>
      <w:r>
        <w:rPr>
          <w:rFonts w:hint="eastAsia" w:ascii="宋体" w:hAnsi="宋体" w:eastAsia="宋体" w:cs="宋体"/>
          <w:color w:val="auto"/>
          <w:sz w:val="21"/>
          <w:szCs w:val="21"/>
          <w:highlight w:val="none"/>
        </w:rPr>
        <w:t>纪律和保密</w:t>
      </w:r>
      <w:bookmarkEnd w:id="141"/>
      <w:r>
        <w:rPr>
          <w:rFonts w:hint="eastAsia" w:ascii="宋体" w:hAnsi="宋体" w:eastAsia="宋体" w:cs="宋体"/>
          <w:color w:val="auto"/>
          <w:sz w:val="21"/>
          <w:szCs w:val="21"/>
          <w:highlight w:val="none"/>
        </w:rPr>
        <w:t>事项</w:t>
      </w:r>
      <w:bookmarkEnd w:id="142"/>
      <w:bookmarkEnd w:id="143"/>
      <w:bookmarkEnd w:id="144"/>
      <w:bookmarkEnd w:id="145"/>
    </w:p>
    <w:p w14:paraId="40E15665">
      <w:pPr>
        <w:pStyle w:val="42"/>
        <w:widowControl w:val="0"/>
        <w:numPr>
          <w:ilvl w:val="0"/>
          <w:numId w:val="5"/>
        </w:numPr>
        <w:tabs>
          <w:tab w:val="left" w:pos="907"/>
        </w:tabs>
        <w:adjustRightInd/>
        <w:snapToGrid/>
        <w:ind w:firstLineChars="0"/>
        <w:jc w:val="both"/>
        <w:rPr>
          <w:rFonts w:hint="eastAsia" w:ascii="宋体" w:hAnsi="宋体" w:eastAsia="宋体" w:cs="宋体"/>
          <w:vanish/>
          <w:color w:val="auto"/>
          <w:szCs w:val="21"/>
          <w:highlight w:val="none"/>
        </w:rPr>
      </w:pPr>
    </w:p>
    <w:p w14:paraId="43F7115C">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从开标之日起至授予合同期间，在投标文件的审查、澄清、比较和评价阶段，投标人试图对评标委员会和采购代理机构施加任何影响或对采购人的比较及授予合同的决定产生影响，都可能导致其投标文件被拒绝。</w:t>
      </w:r>
    </w:p>
    <w:p w14:paraId="770B105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投标人不得串通作弊，以不正当的手段妨碍、排挤其他投标人，扰乱采购市场，破坏公平竞争原则。否则将按相关法律规定严肃处理。</w:t>
      </w:r>
    </w:p>
    <w:p w14:paraId="3078022A">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获得本采购文件的投标人，应对文件进行保密，不得用作本次投标以外的任何用途。开标后，投标人应归还采购文件中要求保密的文件和资料。</w:t>
      </w:r>
    </w:p>
    <w:p w14:paraId="73A927A4">
      <w:pPr>
        <w:rPr>
          <w:rFonts w:hint="eastAsia" w:ascii="宋体" w:hAnsi="宋体" w:eastAsia="宋体" w:cs="宋体"/>
          <w:color w:val="auto"/>
          <w:highlight w:val="none"/>
        </w:rPr>
      </w:pPr>
    </w:p>
    <w:p w14:paraId="4BB2CB76">
      <w:pPr>
        <w:pStyle w:val="4"/>
        <w:numPr>
          <w:ilvl w:val="0"/>
          <w:numId w:val="3"/>
        </w:numPr>
        <w:spacing w:before="0" w:after="0" w:line="360" w:lineRule="auto"/>
        <w:jc w:val="center"/>
        <w:rPr>
          <w:rFonts w:hint="eastAsia" w:ascii="宋体" w:hAnsi="宋体" w:eastAsia="宋体" w:cs="宋体"/>
          <w:color w:val="auto"/>
          <w:highlight w:val="none"/>
        </w:rPr>
      </w:pPr>
      <w:bookmarkStart w:id="146" w:name="_Toc13639"/>
      <w:bookmarkStart w:id="147" w:name="_Toc1109"/>
      <w:r>
        <w:rPr>
          <w:rFonts w:hint="eastAsia" w:ascii="宋体" w:hAnsi="宋体" w:eastAsia="宋体" w:cs="宋体"/>
          <w:color w:val="auto"/>
          <w:highlight w:val="none"/>
        </w:rPr>
        <w:t>授予合同</w:t>
      </w:r>
      <w:bookmarkEnd w:id="146"/>
      <w:bookmarkEnd w:id="147"/>
    </w:p>
    <w:p w14:paraId="0E360FB7">
      <w:pPr>
        <w:pStyle w:val="5"/>
        <w:widowControl w:val="0"/>
        <w:numPr>
          <w:ilvl w:val="0"/>
          <w:numId w:val="4"/>
        </w:numPr>
        <w:overflowPunct w:val="0"/>
        <w:rPr>
          <w:rFonts w:hint="eastAsia" w:ascii="宋体" w:hAnsi="宋体" w:eastAsia="宋体" w:cs="宋体"/>
          <w:color w:val="auto"/>
          <w:sz w:val="21"/>
          <w:szCs w:val="21"/>
          <w:highlight w:val="none"/>
        </w:rPr>
      </w:pPr>
      <w:bookmarkStart w:id="148" w:name="_Toc508284011"/>
      <w:bookmarkStart w:id="149" w:name="_Toc22623"/>
      <w:bookmarkStart w:id="150" w:name="_Toc31799"/>
      <w:r>
        <w:rPr>
          <w:rFonts w:hint="eastAsia" w:ascii="宋体" w:hAnsi="宋体" w:eastAsia="宋体" w:cs="宋体"/>
          <w:color w:val="auto"/>
          <w:sz w:val="21"/>
          <w:szCs w:val="21"/>
          <w:highlight w:val="none"/>
        </w:rPr>
        <w:t>合同授予标准</w:t>
      </w:r>
      <w:bookmarkEnd w:id="148"/>
      <w:bookmarkEnd w:id="149"/>
      <w:bookmarkEnd w:id="150"/>
    </w:p>
    <w:p w14:paraId="677618EF">
      <w:pPr>
        <w:pStyle w:val="42"/>
        <w:widowControl w:val="0"/>
        <w:numPr>
          <w:ilvl w:val="0"/>
          <w:numId w:val="5"/>
        </w:numPr>
        <w:tabs>
          <w:tab w:val="left" w:pos="907"/>
        </w:tabs>
        <w:adjustRightInd/>
        <w:snapToGrid/>
        <w:ind w:firstLineChars="0"/>
        <w:jc w:val="both"/>
        <w:rPr>
          <w:rFonts w:hint="eastAsia" w:ascii="宋体" w:hAnsi="宋体" w:eastAsia="宋体" w:cs="宋体"/>
          <w:vanish/>
          <w:color w:val="auto"/>
          <w:szCs w:val="21"/>
          <w:highlight w:val="none"/>
        </w:rPr>
      </w:pPr>
    </w:p>
    <w:p w14:paraId="604C61B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根据评标委员会的评审结果，采购人按照评审报告推荐的中标候选人中按顺序依法确定中标人。</w:t>
      </w:r>
    </w:p>
    <w:p w14:paraId="6C49EAB6">
      <w:pPr>
        <w:rPr>
          <w:rFonts w:hint="eastAsia" w:ascii="宋体" w:hAnsi="宋体" w:eastAsia="宋体" w:cs="宋体"/>
          <w:color w:val="auto"/>
          <w:highlight w:val="none"/>
        </w:rPr>
      </w:pPr>
    </w:p>
    <w:p w14:paraId="5B77E317">
      <w:pPr>
        <w:pStyle w:val="5"/>
        <w:widowControl w:val="0"/>
        <w:numPr>
          <w:ilvl w:val="0"/>
          <w:numId w:val="4"/>
        </w:numPr>
        <w:overflowPunct w:val="0"/>
        <w:rPr>
          <w:rFonts w:hint="eastAsia" w:ascii="宋体" w:hAnsi="宋体" w:eastAsia="宋体" w:cs="宋体"/>
          <w:color w:val="auto"/>
          <w:sz w:val="21"/>
          <w:szCs w:val="21"/>
          <w:highlight w:val="none"/>
        </w:rPr>
      </w:pPr>
      <w:bookmarkStart w:id="151" w:name="_Toc508284013"/>
      <w:bookmarkStart w:id="152" w:name="_Toc10545"/>
      <w:bookmarkStart w:id="153" w:name="_Toc20893"/>
      <w:r>
        <w:rPr>
          <w:rFonts w:hint="eastAsia" w:ascii="宋体" w:hAnsi="宋体" w:eastAsia="宋体" w:cs="宋体"/>
          <w:color w:val="auto"/>
          <w:sz w:val="21"/>
          <w:szCs w:val="21"/>
          <w:highlight w:val="none"/>
        </w:rPr>
        <w:t>发布中标结果</w:t>
      </w:r>
      <w:bookmarkEnd w:id="151"/>
      <w:bookmarkEnd w:id="152"/>
      <w:bookmarkEnd w:id="153"/>
    </w:p>
    <w:p w14:paraId="327528AD">
      <w:pPr>
        <w:pStyle w:val="42"/>
        <w:widowControl w:val="0"/>
        <w:numPr>
          <w:ilvl w:val="0"/>
          <w:numId w:val="5"/>
        </w:numPr>
        <w:tabs>
          <w:tab w:val="left" w:pos="907"/>
        </w:tabs>
        <w:adjustRightInd/>
        <w:snapToGrid/>
        <w:ind w:firstLineChars="0"/>
        <w:jc w:val="both"/>
        <w:rPr>
          <w:rFonts w:hint="eastAsia" w:ascii="宋体" w:hAnsi="宋体" w:eastAsia="宋体" w:cs="宋体"/>
          <w:vanish/>
          <w:color w:val="auto"/>
          <w:szCs w:val="21"/>
          <w:highlight w:val="none"/>
        </w:rPr>
      </w:pPr>
    </w:p>
    <w:p w14:paraId="41B0AF1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评标委员会提出评标书面报告和推荐中标意见报采购人确认后，采购代理机构将在指定的信息发布媒体上发布公告。</w:t>
      </w:r>
    </w:p>
    <w:p w14:paraId="7F91475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中标公告期限为3个日历日。</w:t>
      </w:r>
    </w:p>
    <w:p w14:paraId="04BD644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《中标通知书》是合同的一个组成部分，《中标通知书》对采购人和中标人均具有同等法律效力。</w:t>
      </w:r>
    </w:p>
    <w:p w14:paraId="1AC1E6B8">
      <w:pPr>
        <w:widowControl w:val="0"/>
        <w:tabs>
          <w:tab w:val="left" w:pos="907"/>
        </w:tabs>
        <w:adjustRightInd/>
        <w:snapToGrid/>
        <w:jc w:val="both"/>
        <w:rPr>
          <w:rFonts w:hint="eastAsia" w:ascii="宋体" w:hAnsi="宋体" w:eastAsia="宋体" w:cs="宋体"/>
          <w:color w:val="auto"/>
          <w:szCs w:val="21"/>
          <w:highlight w:val="none"/>
        </w:rPr>
      </w:pPr>
    </w:p>
    <w:p w14:paraId="32A6FAB9">
      <w:pPr>
        <w:pStyle w:val="5"/>
        <w:widowControl w:val="0"/>
        <w:numPr>
          <w:ilvl w:val="0"/>
          <w:numId w:val="4"/>
        </w:numPr>
        <w:overflowPunct w:val="0"/>
        <w:rPr>
          <w:rFonts w:hint="eastAsia" w:ascii="宋体" w:hAnsi="宋体" w:eastAsia="宋体" w:cs="宋体"/>
          <w:color w:val="auto"/>
          <w:sz w:val="21"/>
          <w:szCs w:val="21"/>
          <w:highlight w:val="none"/>
        </w:rPr>
      </w:pPr>
      <w:bookmarkStart w:id="154" w:name="_Toc20341"/>
      <w:bookmarkStart w:id="155" w:name="_Toc11420"/>
      <w:r>
        <w:rPr>
          <w:rFonts w:hint="eastAsia" w:ascii="宋体" w:hAnsi="宋体" w:eastAsia="宋体" w:cs="宋体"/>
          <w:color w:val="auto"/>
          <w:sz w:val="21"/>
          <w:szCs w:val="21"/>
          <w:highlight w:val="none"/>
        </w:rPr>
        <w:t>资格后审</w:t>
      </w:r>
      <w:bookmarkEnd w:id="154"/>
      <w:bookmarkEnd w:id="155"/>
    </w:p>
    <w:p w14:paraId="6E63181A">
      <w:pPr>
        <w:pStyle w:val="42"/>
        <w:widowControl w:val="0"/>
        <w:numPr>
          <w:ilvl w:val="0"/>
          <w:numId w:val="5"/>
        </w:numPr>
        <w:tabs>
          <w:tab w:val="left" w:pos="567"/>
          <w:tab w:val="left" w:pos="907"/>
        </w:tabs>
        <w:adjustRightInd/>
        <w:snapToGrid/>
        <w:ind w:firstLineChars="0"/>
        <w:jc w:val="both"/>
        <w:rPr>
          <w:rFonts w:hint="eastAsia" w:ascii="宋体" w:hAnsi="宋体" w:eastAsia="宋体" w:cs="宋体"/>
          <w:vanish/>
          <w:color w:val="auto"/>
          <w:szCs w:val="21"/>
          <w:highlight w:val="none"/>
        </w:rPr>
      </w:pPr>
    </w:p>
    <w:p w14:paraId="249A2CD3">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采购人将有权根据本文件中的要求，对评委会推荐的中标候选人进行资格后审。</w:t>
      </w:r>
    </w:p>
    <w:p w14:paraId="7810E6A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中标候选人须无条件配合资格后审，否则采购人有权取消其中标资格，且投标保证金可不予退还。</w:t>
      </w:r>
    </w:p>
    <w:p w14:paraId="2DA4534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格后审须提供包括但不限于营业执照、税务登记证和在投标文件中提供的资质证明文件、业绩等重要证明文件的原件进行核对，综合考察中标人的履约能力。如采购人要求还须提供业绩证明的其他材料,中标候选人须配合提供。如授权其分支机构进行项目实施或提供售后服务的，亦应提供其与分支机构关系的法律证明材料。</w:t>
      </w:r>
    </w:p>
    <w:p w14:paraId="0766B6B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如发现中标候选人以他人名义投标或者以其他方式弄虚作假，骗取中标的，采购人有权取消其中标资格，且投标保证金可不予退还；给采购人造成损失的，应依法承担赔偿责任。</w:t>
      </w:r>
    </w:p>
    <w:p w14:paraId="28EB690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有权审查中标候选人是否具备履行合同的能力，包括但不限于对其规模、人员、场地、生产能力、供货能力等方面的核实或现场考察。如果审查通过，采购人将把合同授予该中标人；如果审查没有通过，采购人有权取消其中标资格，且投标保证金可不予退还，并依次审查下一名中标候选人是否具备履行合同的能力或重新采购。</w:t>
      </w:r>
    </w:p>
    <w:p w14:paraId="23D78D97">
      <w:pPr>
        <w:rPr>
          <w:rFonts w:hint="eastAsia" w:ascii="宋体" w:hAnsi="宋体" w:eastAsia="宋体" w:cs="宋体"/>
          <w:color w:val="auto"/>
          <w:highlight w:val="none"/>
        </w:rPr>
      </w:pPr>
    </w:p>
    <w:p w14:paraId="34047957">
      <w:pPr>
        <w:pStyle w:val="5"/>
        <w:widowControl w:val="0"/>
        <w:numPr>
          <w:ilvl w:val="0"/>
          <w:numId w:val="4"/>
        </w:numPr>
        <w:overflowPunct w:val="0"/>
        <w:rPr>
          <w:rFonts w:hint="eastAsia" w:ascii="宋体" w:hAnsi="宋体" w:eastAsia="宋体" w:cs="宋体"/>
          <w:color w:val="auto"/>
          <w:sz w:val="21"/>
          <w:szCs w:val="21"/>
          <w:highlight w:val="none"/>
        </w:rPr>
      </w:pPr>
      <w:bookmarkStart w:id="156" w:name="_Toc9665"/>
      <w:bookmarkStart w:id="157" w:name="_Toc27302"/>
      <w:r>
        <w:rPr>
          <w:rFonts w:hint="eastAsia" w:ascii="宋体" w:hAnsi="宋体" w:eastAsia="宋体" w:cs="宋体"/>
          <w:color w:val="auto"/>
          <w:sz w:val="21"/>
          <w:szCs w:val="21"/>
          <w:highlight w:val="none"/>
        </w:rPr>
        <w:t>合同的签订与履行</w:t>
      </w:r>
      <w:bookmarkEnd w:id="156"/>
      <w:bookmarkEnd w:id="157"/>
    </w:p>
    <w:p w14:paraId="5967EAA9">
      <w:pPr>
        <w:pStyle w:val="42"/>
        <w:widowControl w:val="0"/>
        <w:numPr>
          <w:ilvl w:val="0"/>
          <w:numId w:val="5"/>
        </w:numPr>
        <w:tabs>
          <w:tab w:val="left" w:pos="907"/>
        </w:tabs>
        <w:adjustRightInd/>
        <w:snapToGrid/>
        <w:ind w:firstLineChars="0"/>
        <w:jc w:val="both"/>
        <w:rPr>
          <w:rFonts w:hint="eastAsia" w:ascii="宋体" w:hAnsi="宋体" w:eastAsia="宋体" w:cs="宋体"/>
          <w:vanish/>
          <w:color w:val="auto"/>
          <w:szCs w:val="21"/>
          <w:highlight w:val="none"/>
        </w:rPr>
      </w:pPr>
    </w:p>
    <w:p w14:paraId="2A8776F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应当自采购人发出中标通知书之日起30日内，按照采购文件和中标人投标文件的规定，与采购人签订书面合同，否则采购人有权取消其中标资格。所签订的合同不得对采购文件确定的事项和中标人投标文件作实质性修改。在合同签订时，应注意合同中约定的工期开始时间不得早于合同签订时间。</w:t>
      </w:r>
    </w:p>
    <w:p w14:paraId="4E193190">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采购人与中标人应当根据合同的约定依法履行合同义务。</w:t>
      </w:r>
    </w:p>
    <w:p w14:paraId="3AB0B16B">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采购合同的履行、违约责任和解决争议的方法等适用《中华人民共和国民法典》。</w:t>
      </w:r>
    </w:p>
    <w:p w14:paraId="25FD5A4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在评审结束当天至合同履行结束，若因不可抗力的因素（如国家出台新法律法规等）造成投标人资质的变动，投标人应以纸质版形式通知采购人。若资质变动导致中标人不再具备履行合同资质要求，采购人有权中止合同。</w:t>
      </w:r>
    </w:p>
    <w:p w14:paraId="05A29100">
      <w:pPr>
        <w:widowControl w:val="0"/>
        <w:tabs>
          <w:tab w:val="left" w:pos="907"/>
        </w:tabs>
        <w:adjustRightInd/>
        <w:snapToGrid/>
        <w:jc w:val="both"/>
        <w:rPr>
          <w:rFonts w:hint="eastAsia" w:ascii="宋体" w:hAnsi="宋体" w:eastAsia="宋体" w:cs="宋体"/>
          <w:color w:val="auto"/>
          <w:highlight w:val="none"/>
        </w:rPr>
      </w:pPr>
    </w:p>
    <w:p w14:paraId="30C609B5">
      <w:pPr>
        <w:pStyle w:val="5"/>
        <w:widowControl w:val="0"/>
        <w:numPr>
          <w:ilvl w:val="0"/>
          <w:numId w:val="4"/>
        </w:numPr>
        <w:overflowPunct w:val="0"/>
        <w:rPr>
          <w:rFonts w:hint="eastAsia" w:ascii="宋体" w:hAnsi="宋体" w:eastAsia="宋体" w:cs="宋体"/>
          <w:color w:val="auto"/>
          <w:sz w:val="21"/>
          <w:szCs w:val="21"/>
          <w:highlight w:val="none"/>
        </w:rPr>
      </w:pPr>
      <w:bookmarkStart w:id="158" w:name="_Toc303084277"/>
      <w:bookmarkStart w:id="159" w:name="_Toc382049124"/>
      <w:bookmarkStart w:id="160" w:name="_Toc29009"/>
      <w:bookmarkStart w:id="161" w:name="_Toc6617"/>
      <w:bookmarkStart w:id="162" w:name="_Toc5523"/>
      <w:r>
        <w:rPr>
          <w:rFonts w:hint="eastAsia" w:ascii="宋体" w:hAnsi="宋体" w:eastAsia="宋体" w:cs="宋体"/>
          <w:color w:val="auto"/>
          <w:sz w:val="21"/>
          <w:szCs w:val="21"/>
          <w:highlight w:val="none"/>
        </w:rPr>
        <w:t>履约</w:t>
      </w:r>
      <w:bookmarkEnd w:id="158"/>
      <w:bookmarkEnd w:id="159"/>
      <w:bookmarkEnd w:id="160"/>
      <w:r>
        <w:rPr>
          <w:rFonts w:hint="eastAsia" w:ascii="宋体" w:hAnsi="宋体" w:eastAsia="宋体" w:cs="宋体"/>
          <w:color w:val="auto"/>
          <w:sz w:val="21"/>
          <w:szCs w:val="21"/>
          <w:highlight w:val="none"/>
        </w:rPr>
        <w:t>担保</w:t>
      </w:r>
      <w:bookmarkEnd w:id="161"/>
      <w:bookmarkEnd w:id="162"/>
    </w:p>
    <w:p w14:paraId="18F569E3">
      <w:pPr>
        <w:pStyle w:val="42"/>
        <w:widowControl w:val="0"/>
        <w:numPr>
          <w:ilvl w:val="0"/>
          <w:numId w:val="5"/>
        </w:numPr>
        <w:tabs>
          <w:tab w:val="left" w:pos="907"/>
        </w:tabs>
        <w:adjustRightInd/>
        <w:snapToGrid/>
        <w:ind w:firstLineChars="0"/>
        <w:jc w:val="both"/>
        <w:rPr>
          <w:rFonts w:hint="eastAsia" w:ascii="宋体" w:hAnsi="宋体" w:eastAsia="宋体" w:cs="宋体"/>
          <w:vanish/>
          <w:color w:val="auto"/>
          <w:szCs w:val="21"/>
          <w:highlight w:val="none"/>
        </w:rPr>
      </w:pPr>
    </w:p>
    <w:p w14:paraId="22EE491C">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中标人在</w:t>
      </w:r>
      <w:r>
        <w:rPr>
          <w:rFonts w:hint="eastAsia" w:ascii="宋体" w:hAnsi="宋体" w:cs="宋体"/>
          <w:color w:val="auto"/>
          <w:szCs w:val="21"/>
          <w:highlight w:val="none"/>
          <w:lang w:eastAsia="zh-CN"/>
        </w:rPr>
        <w:t>采购合同签署之日起7个日历日</w:t>
      </w:r>
      <w:r>
        <w:rPr>
          <w:rFonts w:hint="eastAsia" w:ascii="宋体" w:hAnsi="宋体" w:eastAsia="宋体" w:cs="宋体"/>
          <w:color w:val="auto"/>
          <w:szCs w:val="21"/>
          <w:highlight w:val="none"/>
        </w:rPr>
        <w:t>内向</w:t>
      </w:r>
      <w:r>
        <w:rPr>
          <w:rFonts w:hint="eastAsia" w:ascii="宋体" w:hAnsi="宋体" w:cs="宋体"/>
          <w:color w:val="auto"/>
          <w:szCs w:val="21"/>
          <w:highlight w:val="none"/>
        </w:rPr>
        <w:t>采购人提交履约担保，担保形式为不可撤销银行保函或履约保证金，金额为暂定合同金额的10%（即￥1,400,000.00元）。履约担保有效期应覆盖自合同签订之日起至项目服务期满、验收合格并完成结算后，双方签字之日起7天内保持有效。</w:t>
      </w:r>
      <w:r>
        <w:rPr>
          <w:rFonts w:hint="eastAsia" w:ascii="宋体" w:hAnsi="宋体" w:eastAsia="宋体" w:cs="宋体"/>
          <w:color w:val="auto"/>
          <w:szCs w:val="21"/>
          <w:highlight w:val="none"/>
        </w:rPr>
        <w:t>如果中标人提交的履约保函的有效期先于合同要求的履约保函有效期到达，中标人应在原提交的履约保函有效期满前15天，无条件办理保函延期手续。否则，视中标人违约，采购人可在保函到期前将保函金额转为现金存入履约保证金账户。</w:t>
      </w:r>
    </w:p>
    <w:p w14:paraId="791BB6E9">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履约担保期限从合同签订之日起至项目服务期结束验收合格并结算完毕后，经双方签字7天内保持有效。</w:t>
      </w:r>
    </w:p>
    <w:p w14:paraId="6915282B">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履约担保可以采用下列任何一种形式：</w:t>
      </w:r>
    </w:p>
    <w:p w14:paraId="1657087C">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（1）履约保函。如果中标人的履约担保是以银行保函形式提供的，则该银行保函应：</w:t>
      </w:r>
    </w:p>
    <w:p w14:paraId="4A1C984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①保函应由银行支行或以上银行机构开具。</w:t>
      </w:r>
    </w:p>
    <w:p w14:paraId="2F58F25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②保函的格式参考投标文件附件中提供的无条件不可撤销履约保函格式，保函担保期内若项目未能按期竣工，保函必须延期，办理延期手续时在银行方面所产生费用由中标人负责。</w:t>
      </w:r>
    </w:p>
    <w:p w14:paraId="448A3E87">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③履约保函必须打印，手写、涂改无效。</w:t>
      </w:r>
    </w:p>
    <w:p w14:paraId="0FFDAB7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履约保证金。可采用电汇、银行汇票等银行转账方式提交，但不可以采用现金方式提交。履约保证金金额为中标价的10%。中标人必须保证履约保证金以中标人的名称在（合同约定的日期）前提交至采购人指定账户。</w:t>
      </w:r>
    </w:p>
    <w:p w14:paraId="206374F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若中标人不能按本采购文件（33.1至33.3）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75FAA98A">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为取得履约担保所需的费用，由中标人承担；若工期延误，履约担保时间延长，延长费用由中标人承担。</w:t>
      </w:r>
    </w:p>
    <w:p w14:paraId="0F413710">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若中标人在合同履行过程中出现项目质量事故、工期拖延、欠付工人工资、欠付材料款等情况，采购人在经核查属实后，有权将履约保函金额转为现金存入履约保证金账户；中标人造成采购人损失的，采购人有权立即没收其履约担保，若造成损失超过履约担保的，还应当对超过部分予以赔偿。</w:t>
      </w:r>
    </w:p>
    <w:p w14:paraId="621F2374">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下列任何情况发生时，采购人有权行使享有的担保权利：</w:t>
      </w:r>
    </w:p>
    <w:p w14:paraId="0CCFE337">
      <w:pPr>
        <w:widowControl w:val="0"/>
        <w:tabs>
          <w:tab w:val="left" w:pos="907"/>
        </w:tabs>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（1）中标人将本项目转让给他人，或者在投标文件中未说明，且未经采购人同意，将中标项目分包给他人的；</w:t>
      </w:r>
    </w:p>
    <w:p w14:paraId="3185FF04">
      <w:pPr>
        <w:widowControl w:val="0"/>
        <w:tabs>
          <w:tab w:val="left" w:pos="907"/>
        </w:tabs>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（2）中标人在履行采购合同期间，违反有关法律法规的规定及合同约定的条款，损害了采购人的利益。</w:t>
      </w:r>
    </w:p>
    <w:p w14:paraId="12316AF1">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在整个项目验收合格后，中标人向采购人提交退回履约担保的申请，采购人办理履约担保退还手续。</w:t>
      </w:r>
    </w:p>
    <w:p w14:paraId="50A2462B">
      <w:pPr>
        <w:widowControl w:val="0"/>
        <w:tabs>
          <w:tab w:val="left" w:pos="907"/>
        </w:tabs>
        <w:adjustRightInd/>
        <w:snapToGrid/>
        <w:jc w:val="both"/>
        <w:rPr>
          <w:rFonts w:hint="eastAsia" w:ascii="宋体" w:hAnsi="宋体" w:eastAsia="宋体" w:cs="宋体"/>
          <w:color w:val="auto"/>
          <w:highlight w:val="none"/>
        </w:rPr>
      </w:pPr>
    </w:p>
    <w:p w14:paraId="525889D0">
      <w:pPr>
        <w:pStyle w:val="5"/>
        <w:widowControl w:val="0"/>
        <w:numPr>
          <w:ilvl w:val="0"/>
          <w:numId w:val="4"/>
        </w:numPr>
        <w:overflowPunct w:val="0"/>
        <w:rPr>
          <w:rFonts w:hint="eastAsia" w:ascii="宋体" w:hAnsi="宋体" w:eastAsia="宋体" w:cs="宋体"/>
          <w:color w:val="auto"/>
          <w:sz w:val="21"/>
          <w:szCs w:val="21"/>
          <w:highlight w:val="none"/>
        </w:rPr>
      </w:pPr>
      <w:bookmarkStart w:id="163" w:name="_Toc18880"/>
      <w:bookmarkStart w:id="164" w:name="_Toc1896"/>
      <w:r>
        <w:rPr>
          <w:rFonts w:hint="eastAsia" w:ascii="宋体" w:hAnsi="宋体" w:eastAsia="宋体" w:cs="宋体"/>
          <w:color w:val="auto"/>
          <w:sz w:val="21"/>
          <w:szCs w:val="21"/>
          <w:highlight w:val="none"/>
        </w:rPr>
        <w:t>预付款保函（适用于预付款支付）</w:t>
      </w:r>
      <w:bookmarkEnd w:id="163"/>
      <w:bookmarkEnd w:id="164"/>
    </w:p>
    <w:p w14:paraId="4F9CAAD2">
      <w:pPr>
        <w:pStyle w:val="42"/>
        <w:widowControl w:val="0"/>
        <w:numPr>
          <w:ilvl w:val="0"/>
          <w:numId w:val="5"/>
        </w:numPr>
        <w:tabs>
          <w:tab w:val="left" w:pos="567"/>
          <w:tab w:val="left" w:pos="907"/>
        </w:tabs>
        <w:adjustRightInd/>
        <w:snapToGrid/>
        <w:ind w:firstLineChars="0"/>
        <w:jc w:val="both"/>
        <w:rPr>
          <w:rFonts w:hint="eastAsia" w:ascii="宋体" w:hAnsi="宋体" w:eastAsia="宋体" w:cs="宋体"/>
          <w:vanish/>
          <w:color w:val="auto"/>
          <w:szCs w:val="21"/>
          <w:highlight w:val="none"/>
        </w:rPr>
      </w:pPr>
    </w:p>
    <w:p w14:paraId="6784F80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签订合同时，中标人应按本须知规定向采购人提交一份合同预付款等额有效的预付款保函。预付款保函有效期从保函开立之日起至采购人向中标人抵扣完所有预付款之日止。如果中标人提交的预付款保函的有效期先于采购文件要求的预付款保函有效期到达，中标人应在原提交的预付款保函有效期前15日内，无条件办理预付款保函延期手续。否则视为中标人违约，采购人可在预付款保函到期前将未抵扣的预付款转为现金存入采购人账户</w:t>
      </w:r>
    </w:p>
    <w:p w14:paraId="475384B6">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预付款保函应：</w:t>
      </w:r>
    </w:p>
    <w:p w14:paraId="07FB1254">
      <w:pPr>
        <w:widowControl w:val="0"/>
        <w:tabs>
          <w:tab w:val="left" w:pos="907"/>
        </w:tabs>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（1）由东莞市行政区域内的银行支行及以上银行机构开具。</w:t>
      </w:r>
    </w:p>
    <w:p w14:paraId="3EACA118">
      <w:pPr>
        <w:widowControl w:val="0"/>
        <w:tabs>
          <w:tab w:val="left" w:pos="907"/>
        </w:tabs>
        <w:adjustRightInd/>
        <w:snapToGrid/>
        <w:ind w:left="567"/>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（2）必须打印，手写、涂改无效</w:t>
      </w:r>
    </w:p>
    <w:p w14:paraId="5850DDAD">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若中标人不能按本须知（34.1至34.2）的规定执行，采购人将不予支付预付款。</w:t>
      </w:r>
    </w:p>
    <w:p w14:paraId="2DDF743F">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果中标人提交的预付款保函的有效期先于采购文件要求的预付款保函有效期到达，中标人应在原提交的预付款保函有效期满前15天内，无条件办理预付款保函延期手续。否则视为中标人违约，采购人可在预付款保函到期前将未抵扣的预付款金额转为现金存入采购人账户。</w:t>
      </w:r>
    </w:p>
    <w:p w14:paraId="365F263D">
      <w:pPr>
        <w:rPr>
          <w:rFonts w:hint="eastAsia" w:ascii="宋体" w:hAnsi="宋体" w:eastAsia="宋体" w:cs="宋体"/>
          <w:color w:val="auto"/>
          <w:highlight w:val="none"/>
        </w:rPr>
      </w:pPr>
    </w:p>
    <w:p w14:paraId="59FE6B64">
      <w:pPr>
        <w:pStyle w:val="4"/>
        <w:numPr>
          <w:ilvl w:val="0"/>
          <w:numId w:val="3"/>
        </w:numPr>
        <w:spacing w:before="0" w:after="0" w:line="360" w:lineRule="auto"/>
        <w:jc w:val="center"/>
        <w:rPr>
          <w:rFonts w:hint="eastAsia" w:ascii="宋体" w:hAnsi="宋体" w:eastAsia="宋体" w:cs="宋体"/>
          <w:color w:val="auto"/>
          <w:highlight w:val="none"/>
        </w:rPr>
      </w:pPr>
      <w:bookmarkStart w:id="165" w:name="_Toc21814"/>
      <w:bookmarkStart w:id="166" w:name="_Toc25022"/>
      <w:r>
        <w:rPr>
          <w:rFonts w:hint="eastAsia" w:ascii="宋体" w:hAnsi="宋体" w:eastAsia="宋体" w:cs="宋体"/>
          <w:color w:val="auto"/>
          <w:highlight w:val="none"/>
        </w:rPr>
        <w:t>异议</w:t>
      </w:r>
      <w:bookmarkEnd w:id="165"/>
      <w:bookmarkEnd w:id="166"/>
    </w:p>
    <w:p w14:paraId="17A2E8EA">
      <w:pPr>
        <w:pStyle w:val="5"/>
        <w:widowControl w:val="0"/>
        <w:numPr>
          <w:ilvl w:val="0"/>
          <w:numId w:val="4"/>
        </w:numPr>
        <w:overflowPunct w:val="0"/>
        <w:rPr>
          <w:rFonts w:hint="eastAsia" w:ascii="宋体" w:hAnsi="宋体" w:eastAsia="宋体" w:cs="宋体"/>
          <w:color w:val="auto"/>
          <w:sz w:val="21"/>
          <w:szCs w:val="21"/>
          <w:highlight w:val="none"/>
        </w:rPr>
      </w:pPr>
      <w:bookmarkStart w:id="167" w:name="_Toc10285"/>
      <w:bookmarkStart w:id="168" w:name="_Toc9791"/>
      <w:r>
        <w:rPr>
          <w:rFonts w:hint="eastAsia" w:ascii="宋体" w:hAnsi="宋体" w:eastAsia="宋体" w:cs="宋体"/>
          <w:color w:val="auto"/>
          <w:sz w:val="21"/>
          <w:szCs w:val="21"/>
          <w:highlight w:val="none"/>
        </w:rPr>
        <w:t>异议</w:t>
      </w:r>
      <w:bookmarkEnd w:id="167"/>
      <w:bookmarkEnd w:id="168"/>
    </w:p>
    <w:p w14:paraId="5BD7C54D">
      <w:pPr>
        <w:pStyle w:val="42"/>
        <w:widowControl w:val="0"/>
        <w:numPr>
          <w:ilvl w:val="0"/>
          <w:numId w:val="5"/>
        </w:numPr>
        <w:tabs>
          <w:tab w:val="left" w:pos="907"/>
        </w:tabs>
        <w:adjustRightInd/>
        <w:snapToGrid/>
        <w:ind w:firstLineChars="0"/>
        <w:jc w:val="both"/>
        <w:rPr>
          <w:rFonts w:hint="eastAsia" w:ascii="宋体" w:hAnsi="宋体" w:eastAsia="宋体" w:cs="宋体"/>
          <w:vanish/>
          <w:color w:val="auto"/>
          <w:szCs w:val="21"/>
          <w:highlight w:val="none"/>
        </w:rPr>
      </w:pPr>
    </w:p>
    <w:p w14:paraId="02C21838">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采购文件的异议</w:t>
      </w:r>
      <w:r>
        <w:rPr>
          <w:rFonts w:hint="eastAsia" w:ascii="宋体" w:hAnsi="宋体" w:eastAsia="宋体" w:cs="宋体"/>
          <w:color w:val="auto"/>
          <w:szCs w:val="21"/>
          <w:highlight w:val="none"/>
        </w:rPr>
        <w:t xml:space="preserve">  </w:t>
      </w:r>
    </w:p>
    <w:p w14:paraId="5491B6E3">
      <w:pPr>
        <w:widowControl w:val="0"/>
        <w:tabs>
          <w:tab w:val="left" w:pos="907"/>
        </w:tabs>
        <w:adjustRightInd/>
        <w:snapToGrid/>
        <w:ind w:firstLine="420" w:firstLineChars="200"/>
        <w:jc w:val="both"/>
        <w:rPr>
          <w:rFonts w:hint="eastAsia" w:ascii="宋体" w:hAnsi="宋体" w:eastAsia="宋体" w:cs="宋体"/>
          <w:color w:val="auto"/>
          <w:szCs w:val="21"/>
          <w:highlight w:val="none"/>
        </w:rPr>
      </w:pPr>
      <w:r>
        <w:rPr>
          <w:rFonts w:hint="eastAsia" w:ascii="宋体" w:hAnsi="宋体" w:eastAsia="宋体" w:cs="宋体"/>
          <w:bCs/>
          <w:color w:val="auto"/>
          <w:kern w:val="2"/>
          <w:szCs w:val="21"/>
          <w:highlight w:val="none"/>
          <w:lang w:val="zh-CN"/>
        </w:rPr>
        <w:t>投标人或者其他利害关系人对采购文件有异议的，应当在投标截止时间10日前</w:t>
      </w:r>
      <w:r>
        <w:rPr>
          <w:rFonts w:hint="eastAsia" w:ascii="宋体" w:hAnsi="宋体" w:eastAsia="宋体" w:cs="宋体"/>
          <w:color w:val="auto"/>
          <w:kern w:val="2"/>
          <w:szCs w:val="21"/>
          <w:highlight w:val="none"/>
          <w:lang w:val="zh-CN"/>
        </w:rPr>
        <w:t>以书面形式向采购代理机构提出，并将材料原件送达采购代理机构，逾期则视为对采购文件所有内容无异议。</w:t>
      </w:r>
      <w:r>
        <w:rPr>
          <w:rFonts w:hint="eastAsia" w:ascii="宋体" w:hAnsi="宋体" w:eastAsia="宋体" w:cs="宋体"/>
          <w:bCs/>
          <w:color w:val="auto"/>
          <w:kern w:val="2"/>
          <w:szCs w:val="21"/>
          <w:highlight w:val="none"/>
          <w:lang w:val="zh-CN"/>
        </w:rPr>
        <w:t>异议</w:t>
      </w:r>
      <w:r>
        <w:rPr>
          <w:rFonts w:hint="eastAsia" w:ascii="宋体" w:hAnsi="宋体" w:eastAsia="宋体" w:cs="宋体"/>
          <w:color w:val="auto"/>
          <w:kern w:val="2"/>
          <w:szCs w:val="21"/>
          <w:highlight w:val="none"/>
          <w:lang w:val="zh-CN"/>
        </w:rPr>
        <w:t>书面材料必须加盖投标人法人公章，并注明联系人、联系电话、联系地址。</w:t>
      </w:r>
      <w:r>
        <w:rPr>
          <w:rFonts w:hint="eastAsia" w:ascii="宋体" w:hAnsi="宋体" w:eastAsia="宋体" w:cs="宋体"/>
          <w:bCs/>
          <w:color w:val="auto"/>
          <w:kern w:val="2"/>
          <w:szCs w:val="21"/>
          <w:highlight w:val="none"/>
          <w:lang w:val="zh-CN"/>
        </w:rPr>
        <w:t>超出</w:t>
      </w:r>
      <w:r>
        <w:rPr>
          <w:rFonts w:hint="eastAsia" w:ascii="宋体" w:hAnsi="宋体" w:eastAsia="宋体" w:cs="宋体"/>
          <w:color w:val="auto"/>
          <w:kern w:val="2"/>
          <w:szCs w:val="21"/>
          <w:highlight w:val="none"/>
          <w:lang w:val="zh-CN"/>
        </w:rPr>
        <w:t>提交接收异议截止时间而</w:t>
      </w:r>
      <w:r>
        <w:rPr>
          <w:rFonts w:hint="eastAsia" w:ascii="宋体" w:hAnsi="宋体" w:eastAsia="宋体" w:cs="宋体"/>
          <w:bCs/>
          <w:color w:val="auto"/>
          <w:kern w:val="2"/>
          <w:szCs w:val="21"/>
          <w:highlight w:val="none"/>
          <w:lang w:val="zh-CN"/>
        </w:rPr>
        <w:t>提出的任何疑问，</w:t>
      </w:r>
      <w:r>
        <w:rPr>
          <w:rFonts w:hint="eastAsia" w:ascii="宋体" w:hAnsi="宋体" w:eastAsia="宋体" w:cs="宋体"/>
          <w:bCs/>
          <w:color w:val="auto"/>
          <w:kern w:val="2"/>
          <w:szCs w:val="21"/>
          <w:highlight w:val="none"/>
        </w:rPr>
        <w:t>采购人或</w:t>
      </w:r>
      <w:r>
        <w:rPr>
          <w:rFonts w:hint="eastAsia" w:ascii="宋体" w:hAnsi="宋体" w:eastAsia="宋体" w:cs="宋体"/>
          <w:bCs/>
          <w:color w:val="auto"/>
          <w:kern w:val="2"/>
          <w:szCs w:val="21"/>
          <w:highlight w:val="none"/>
          <w:lang w:val="zh-CN"/>
        </w:rPr>
        <w:t>采购代理机构可不予答复。</w:t>
      </w:r>
    </w:p>
    <w:p w14:paraId="6F446DEB">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评标结果异议</w:t>
      </w:r>
      <w:r>
        <w:rPr>
          <w:rFonts w:hint="eastAsia" w:ascii="宋体" w:hAnsi="宋体" w:eastAsia="宋体" w:cs="宋体"/>
          <w:color w:val="auto"/>
          <w:szCs w:val="21"/>
          <w:highlight w:val="none"/>
        </w:rPr>
        <w:t xml:space="preserve">   </w:t>
      </w:r>
    </w:p>
    <w:p w14:paraId="37F8D743">
      <w:pPr>
        <w:widowControl w:val="0"/>
        <w:tabs>
          <w:tab w:val="left" w:pos="907"/>
        </w:tabs>
        <w:adjustRightInd/>
        <w:snapToGrid/>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投标人或者其他利害关系人对评标结果有异议的，应当在中标候选人公示期间向采购代理机构以书面的形式提出，并将完整的异议书面材料原件送达采购代理机构，逾期则视为对评标结果无异议。超出提交异议截止时间而提出的任何疑问，采购代理机构可不予答复。</w:t>
      </w:r>
    </w:p>
    <w:p w14:paraId="37E83CFB">
      <w:pPr>
        <w:widowControl w:val="0"/>
        <w:tabs>
          <w:tab w:val="left" w:pos="907"/>
        </w:tabs>
        <w:adjustRightInd/>
        <w:snapToGrid/>
        <w:ind w:firstLine="420" w:firstLineChars="200"/>
        <w:jc w:val="both"/>
        <w:rPr>
          <w:rFonts w:hint="eastAsia" w:ascii="宋体" w:hAnsi="宋体" w:eastAsia="宋体" w:cs="宋体"/>
          <w:color w:val="auto"/>
          <w:kern w:val="2"/>
          <w:szCs w:val="21"/>
          <w:highlight w:val="none"/>
          <w:lang w:val="zh-CN"/>
        </w:rPr>
      </w:pPr>
      <w:r>
        <w:rPr>
          <w:rFonts w:hint="eastAsia" w:ascii="宋体" w:hAnsi="宋体" w:eastAsia="宋体" w:cs="宋体"/>
          <w:color w:val="auto"/>
          <w:kern w:val="2"/>
          <w:szCs w:val="21"/>
          <w:highlight w:val="none"/>
          <w:lang w:val="zh-CN"/>
        </w:rPr>
        <w:t>采购代理机构将拒收未能提供完整异议书面材料的异议，完整的异议书面材料必须同时包含：异议书（加盖法人公章，并注明联系人、联系电话、联系地址）、授权提交异议的法定代表人授权书原件、反映异议人主体资格的营业执照复印件（加盖法人公章）、以及合法来源的证据证明材料。</w:t>
      </w:r>
    </w:p>
    <w:p w14:paraId="6CD4BD8A">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以联合体形式参加采购活动的，其异议应当由组成联合体的所有投标人共同提出。</w:t>
      </w:r>
    </w:p>
    <w:p w14:paraId="0D6FD5A4">
      <w:pPr>
        <w:rPr>
          <w:rFonts w:hint="eastAsia" w:ascii="宋体" w:hAnsi="宋体" w:eastAsia="宋体" w:cs="宋体"/>
          <w:color w:val="auto"/>
          <w:highlight w:val="none"/>
        </w:rPr>
      </w:pPr>
    </w:p>
    <w:p w14:paraId="30E81B43">
      <w:pPr>
        <w:pStyle w:val="4"/>
        <w:numPr>
          <w:ilvl w:val="0"/>
          <w:numId w:val="3"/>
        </w:numPr>
        <w:spacing w:before="0" w:after="0" w:line="360" w:lineRule="auto"/>
        <w:jc w:val="center"/>
        <w:rPr>
          <w:rFonts w:hint="eastAsia" w:ascii="宋体" w:hAnsi="宋体" w:eastAsia="宋体" w:cs="宋体"/>
          <w:color w:val="auto"/>
          <w:highlight w:val="none"/>
        </w:rPr>
      </w:pPr>
      <w:bookmarkStart w:id="169" w:name="_Toc18965"/>
      <w:bookmarkStart w:id="170" w:name="_Toc26042"/>
      <w:r>
        <w:rPr>
          <w:rFonts w:hint="eastAsia" w:ascii="宋体" w:hAnsi="宋体" w:eastAsia="宋体" w:cs="宋体"/>
          <w:color w:val="auto"/>
          <w:highlight w:val="none"/>
        </w:rPr>
        <w:t>其他</w:t>
      </w:r>
      <w:bookmarkEnd w:id="169"/>
      <w:bookmarkEnd w:id="170"/>
    </w:p>
    <w:p w14:paraId="4D252CD1">
      <w:pPr>
        <w:pStyle w:val="5"/>
        <w:widowControl w:val="0"/>
        <w:numPr>
          <w:ilvl w:val="0"/>
          <w:numId w:val="4"/>
        </w:numPr>
        <w:overflowPunct w:val="0"/>
        <w:rPr>
          <w:rFonts w:hint="eastAsia" w:ascii="宋体" w:hAnsi="宋体" w:eastAsia="宋体" w:cs="宋体"/>
          <w:color w:val="auto"/>
          <w:sz w:val="21"/>
          <w:szCs w:val="21"/>
          <w:highlight w:val="none"/>
        </w:rPr>
      </w:pPr>
      <w:bookmarkStart w:id="171" w:name="_Toc1784"/>
      <w:bookmarkStart w:id="172" w:name="_Toc1587"/>
      <w:r>
        <w:rPr>
          <w:rFonts w:hint="eastAsia" w:ascii="宋体" w:hAnsi="宋体" w:eastAsia="宋体" w:cs="宋体"/>
          <w:color w:val="auto"/>
          <w:sz w:val="21"/>
          <w:szCs w:val="21"/>
          <w:highlight w:val="none"/>
        </w:rPr>
        <w:t>采购文件的解释权</w:t>
      </w:r>
      <w:bookmarkEnd w:id="171"/>
      <w:bookmarkEnd w:id="172"/>
    </w:p>
    <w:p w14:paraId="139D087C">
      <w:pPr>
        <w:pStyle w:val="42"/>
        <w:widowControl w:val="0"/>
        <w:numPr>
          <w:ilvl w:val="0"/>
          <w:numId w:val="5"/>
        </w:numPr>
        <w:tabs>
          <w:tab w:val="left" w:pos="907"/>
        </w:tabs>
        <w:adjustRightInd/>
        <w:snapToGrid/>
        <w:ind w:firstLineChars="0"/>
        <w:jc w:val="both"/>
        <w:rPr>
          <w:rFonts w:hint="eastAsia" w:ascii="宋体" w:hAnsi="宋体" w:eastAsia="宋体" w:cs="宋体"/>
          <w:vanish/>
          <w:color w:val="auto"/>
          <w:szCs w:val="21"/>
          <w:highlight w:val="none"/>
        </w:rPr>
      </w:pPr>
    </w:p>
    <w:p w14:paraId="2036FD32">
      <w:pPr>
        <w:widowControl w:val="0"/>
        <w:numPr>
          <w:ilvl w:val="1"/>
          <w:numId w:val="4"/>
        </w:numPr>
        <w:overflowPunct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本采购文件是根据国家有关法律、法规以及采购管理有关规定和参照国际惯例编制，解释权属本采购代理机构。</w:t>
      </w:r>
    </w:p>
    <w:p w14:paraId="7BF58469">
      <w:pPr>
        <w:widowControl w:val="0"/>
        <w:numPr>
          <w:ilvl w:val="1"/>
          <w:numId w:val="10"/>
        </w:numPr>
        <w:tabs>
          <w:tab w:val="left" w:pos="907"/>
        </w:tabs>
        <w:adjustRightInd/>
        <w:snapToGrid/>
        <w:spacing w:line="360" w:lineRule="exact"/>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34E31818">
      <w:pPr>
        <w:pStyle w:val="2"/>
        <w:spacing w:before="0" w:after="0" w:line="240" w:lineRule="auto"/>
        <w:rPr>
          <w:rFonts w:hint="eastAsia" w:ascii="宋体" w:hAnsi="宋体" w:eastAsia="宋体" w:cs="宋体"/>
          <w:color w:val="auto"/>
          <w:sz w:val="28"/>
          <w:szCs w:val="28"/>
          <w:highlight w:val="none"/>
        </w:rPr>
      </w:pPr>
      <w:bookmarkStart w:id="173" w:name="_Toc12345"/>
      <w:r>
        <w:rPr>
          <w:rFonts w:hint="eastAsia" w:ascii="宋体" w:hAnsi="宋体" w:eastAsia="宋体" w:cs="宋体"/>
          <w:color w:val="auto"/>
          <w:sz w:val="28"/>
          <w:szCs w:val="28"/>
          <w:highlight w:val="none"/>
        </w:rPr>
        <w:t>第五部分  合同条款格式</w:t>
      </w:r>
      <w:bookmarkEnd w:id="173"/>
      <w:bookmarkStart w:id="174" w:name="_Toc15636"/>
    </w:p>
    <w:bookmarkEnd w:id="174"/>
    <w:p w14:paraId="11CA2CE5">
      <w:pPr>
        <w:rPr>
          <w:rFonts w:hint="eastAsia" w:ascii="宋体" w:hAnsi="宋体" w:eastAsia="宋体" w:cs="宋体"/>
          <w:color w:val="auto"/>
          <w:highlight w:val="none"/>
          <w:lang w:bidi="zh-CN"/>
        </w:rPr>
      </w:pPr>
      <w:bookmarkStart w:id="175" w:name="_Hlt109815959"/>
      <w:bookmarkEnd w:id="175"/>
    </w:p>
    <w:p w14:paraId="6B68757B">
      <w:pPr>
        <w:jc w:val="center"/>
        <w:rPr>
          <w:rFonts w:hint="eastAsia" w:ascii="宋体" w:hAnsi="宋体" w:eastAsia="宋体" w:cs="宋体"/>
          <w:color w:val="auto"/>
          <w:sz w:val="21"/>
          <w:szCs w:val="21"/>
          <w:highlight w:val="none"/>
          <w:u w:val="single"/>
        </w:rPr>
      </w:pPr>
    </w:p>
    <w:p w14:paraId="4294117E">
      <w:pPr>
        <w:widowControl w:val="0"/>
        <w:snapToGrid w:val="0"/>
        <w:spacing w:before="0" w:beforeAutospacing="0" w:after="0" w:afterAutospacing="0" w:line="360" w:lineRule="auto"/>
        <w:ind w:left="0" w:right="0"/>
        <w:jc w:val="center"/>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lang w:val="en-US" w:eastAsia="zh-CN"/>
        </w:rPr>
        <w:t>合同编号：</w:t>
      </w:r>
    </w:p>
    <w:p w14:paraId="602445E0">
      <w:pPr>
        <w:widowControl w:val="0"/>
        <w:snapToGrid w:val="0"/>
        <w:spacing w:before="0" w:beforeAutospacing="0" w:after="0" w:afterAutospacing="0" w:line="360" w:lineRule="auto"/>
        <w:ind w:left="0" w:right="0"/>
        <w:jc w:val="center"/>
        <w:rPr>
          <w:rFonts w:hint="eastAsia" w:ascii="宋体" w:hAnsi="宋体" w:eastAsia="宋体" w:cs="宋体"/>
          <w:b/>
          <w:bCs w:val="0"/>
          <w:color w:val="auto"/>
          <w:kern w:val="2"/>
          <w:sz w:val="52"/>
          <w:szCs w:val="52"/>
          <w:highlight w:val="none"/>
        </w:rPr>
      </w:pPr>
      <w:r>
        <w:rPr>
          <w:rFonts w:hint="eastAsia" w:ascii="宋体" w:hAnsi="宋体" w:eastAsia="宋体" w:cs="宋体"/>
          <w:b/>
          <w:bCs w:val="0"/>
          <w:color w:val="auto"/>
          <w:kern w:val="2"/>
          <w:sz w:val="52"/>
          <w:szCs w:val="52"/>
          <w:highlight w:val="none"/>
          <w:lang w:val="en-US" w:eastAsia="zh-CN"/>
        </w:rPr>
        <w:t xml:space="preserve"> </w:t>
      </w:r>
    </w:p>
    <w:p w14:paraId="0C947E36">
      <w:pPr>
        <w:widowControl w:val="0"/>
        <w:snapToGrid w:val="0"/>
        <w:spacing w:before="0" w:beforeAutospacing="0" w:after="0" w:afterAutospacing="0" w:line="360" w:lineRule="auto"/>
        <w:ind w:left="0" w:right="0"/>
        <w:jc w:val="center"/>
        <w:rPr>
          <w:rFonts w:hint="eastAsia" w:ascii="宋体" w:hAnsi="宋体" w:eastAsia="宋体" w:cs="宋体"/>
          <w:b/>
          <w:bCs w:val="0"/>
          <w:color w:val="auto"/>
          <w:kern w:val="2"/>
          <w:sz w:val="52"/>
          <w:szCs w:val="52"/>
          <w:highlight w:val="none"/>
        </w:rPr>
      </w:pPr>
      <w:r>
        <w:rPr>
          <w:rFonts w:hint="eastAsia" w:ascii="宋体" w:hAnsi="宋体" w:eastAsia="宋体" w:cs="宋体"/>
          <w:b/>
          <w:bCs w:val="0"/>
          <w:color w:val="auto"/>
          <w:kern w:val="2"/>
          <w:sz w:val="52"/>
          <w:szCs w:val="52"/>
          <w:highlight w:val="none"/>
          <w:lang w:val="en-US" w:eastAsia="zh-CN"/>
        </w:rPr>
        <w:t xml:space="preserve"> </w:t>
      </w:r>
    </w:p>
    <w:p w14:paraId="5AA4734D">
      <w:pPr>
        <w:widowControl w:val="0"/>
        <w:snapToGrid w:val="0"/>
        <w:spacing w:before="0" w:beforeAutospacing="0" w:after="0" w:afterAutospacing="0" w:line="360" w:lineRule="auto"/>
        <w:ind w:left="0" w:right="0"/>
        <w:jc w:val="center"/>
        <w:rPr>
          <w:rFonts w:hint="eastAsia" w:ascii="宋体" w:hAnsi="宋体" w:eastAsia="宋体" w:cs="宋体"/>
          <w:bCs/>
          <w:color w:val="auto"/>
          <w:kern w:val="2"/>
          <w:sz w:val="52"/>
          <w:szCs w:val="52"/>
          <w:highlight w:val="none"/>
        </w:rPr>
      </w:pPr>
      <w:r>
        <w:rPr>
          <w:rFonts w:hint="eastAsia" w:ascii="宋体" w:hAnsi="宋体" w:cs="宋体"/>
          <w:bCs/>
          <w:color w:val="auto"/>
          <w:kern w:val="2"/>
          <w:sz w:val="52"/>
          <w:szCs w:val="52"/>
          <w:highlight w:val="none"/>
          <w:lang w:eastAsia="zh-CN"/>
        </w:rPr>
        <w:t>东莞市海心沙环保热电厂2027-2028年度锅炉和尾气系统施工清包工程服务采购项目（重新采购）</w:t>
      </w:r>
      <w:r>
        <w:rPr>
          <w:rFonts w:hint="eastAsia" w:ascii="宋体" w:hAnsi="宋体" w:eastAsia="宋体" w:cs="宋体"/>
          <w:bCs/>
          <w:color w:val="auto"/>
          <w:kern w:val="2"/>
          <w:sz w:val="52"/>
          <w:szCs w:val="52"/>
          <w:highlight w:val="none"/>
          <w:lang w:val="en-US" w:eastAsia="zh-CN"/>
        </w:rPr>
        <w:t>合同</w:t>
      </w:r>
    </w:p>
    <w:p w14:paraId="4F5BDE78">
      <w:pPr>
        <w:pStyle w:val="27"/>
        <w:widowControl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7A31F71E">
      <w:pPr>
        <w:pStyle w:val="27"/>
        <w:widowControl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7B1907C9">
      <w:pPr>
        <w:pStyle w:val="27"/>
        <w:widowControl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30BEA004">
      <w:pPr>
        <w:pStyle w:val="27"/>
        <w:widowControl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6773FA56">
      <w:pPr>
        <w:pStyle w:val="27"/>
        <w:widowControl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1C58F834">
      <w:pPr>
        <w:pStyle w:val="27"/>
        <w:widowControl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56CDF4A2">
      <w:pPr>
        <w:pStyle w:val="27"/>
        <w:widowControl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0D9EFD09">
      <w:pPr>
        <w:widowControl w:val="0"/>
        <w:snapToGrid w:val="0"/>
        <w:spacing w:before="0" w:beforeAutospacing="0" w:after="0" w:afterAutospacing="0" w:line="360" w:lineRule="auto"/>
        <w:ind w:left="0" w:right="0" w:firstLine="2240" w:firstLineChars="700"/>
        <w:jc w:val="both"/>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rPr>
        <w:t>甲方：</w:t>
      </w:r>
      <w:r>
        <w:rPr>
          <w:rFonts w:hint="eastAsia" w:ascii="宋体" w:hAnsi="宋体" w:eastAsia="宋体" w:cs="宋体"/>
          <w:color w:val="auto"/>
          <w:kern w:val="2"/>
          <w:sz w:val="32"/>
          <w:szCs w:val="32"/>
          <w:highlight w:val="none"/>
          <w:u w:val="single"/>
          <w:lang w:val="en-US" w:eastAsia="zh-CN"/>
        </w:rPr>
        <w:t xml:space="preserve">东莞市新东元环保投资有限公司  </w:t>
      </w:r>
    </w:p>
    <w:p w14:paraId="75368DC1">
      <w:pPr>
        <w:widowControl w:val="0"/>
        <w:snapToGrid w:val="0"/>
        <w:spacing w:before="0" w:beforeAutospacing="0" w:after="0" w:afterAutospacing="0" w:line="360" w:lineRule="auto"/>
        <w:ind w:left="0" w:right="0" w:firstLine="2240" w:firstLineChars="700"/>
        <w:jc w:val="both"/>
        <w:rPr>
          <w:rFonts w:hint="eastAsia" w:ascii="宋体" w:hAnsi="宋体" w:eastAsia="宋体" w:cs="宋体"/>
          <w:b/>
          <w:bCs w:val="0"/>
          <w:color w:val="auto"/>
          <w:kern w:val="2"/>
          <w:sz w:val="32"/>
          <w:szCs w:val="32"/>
          <w:highlight w:val="none"/>
        </w:rPr>
      </w:pPr>
      <w:r>
        <w:rPr>
          <w:rFonts w:hint="eastAsia" w:ascii="宋体" w:hAnsi="宋体" w:eastAsia="宋体" w:cs="宋体"/>
          <w:color w:val="auto"/>
          <w:kern w:val="2"/>
          <w:sz w:val="32"/>
          <w:szCs w:val="32"/>
          <w:highlight w:val="none"/>
          <w:lang w:val="en-US" w:eastAsia="zh-CN"/>
        </w:rPr>
        <w:t>乙方：</w:t>
      </w:r>
      <w:r>
        <w:rPr>
          <w:rFonts w:hint="eastAsia" w:ascii="宋体" w:hAnsi="宋体" w:eastAsia="宋体" w:cs="宋体"/>
          <w:color w:val="auto"/>
          <w:kern w:val="2"/>
          <w:sz w:val="32"/>
          <w:szCs w:val="32"/>
          <w:highlight w:val="none"/>
          <w:u w:val="single"/>
          <w:lang w:val="en-US" w:eastAsia="zh-CN"/>
        </w:rPr>
        <w:t xml:space="preserve">                              </w:t>
      </w:r>
    </w:p>
    <w:p w14:paraId="31EF790F">
      <w:pPr>
        <w:pStyle w:val="27"/>
        <w:widowControl w:val="0"/>
        <w:snapToGrid w:val="0"/>
        <w:spacing w:before="0" w:beforeAutospacing="0" w:after="0" w:afterAutospacing="0" w:line="360" w:lineRule="auto"/>
        <w:ind w:left="0" w:right="0"/>
        <w:jc w:val="center"/>
        <w:rPr>
          <w:rFonts w:hint="eastAsia" w:ascii="宋体" w:hAnsi="宋体" w:eastAsia="宋体" w:cs="宋体"/>
          <w:color w:val="auto"/>
          <w:kern w:val="2"/>
          <w:sz w:val="32"/>
          <w:szCs w:val="32"/>
          <w:highlight w:val="none"/>
          <w:lang w:val="en-US" w:eastAsia="zh-CN"/>
        </w:rPr>
      </w:pPr>
    </w:p>
    <w:p w14:paraId="593CA760">
      <w:pPr>
        <w:pStyle w:val="27"/>
        <w:widowControl w:val="0"/>
        <w:snapToGrid w:val="0"/>
        <w:spacing w:before="0" w:beforeAutospacing="0" w:after="0" w:afterAutospacing="0" w:line="360" w:lineRule="auto"/>
        <w:ind w:left="0" w:right="0"/>
        <w:jc w:val="center"/>
        <w:rPr>
          <w:rFonts w:hint="eastAsia" w:ascii="宋体" w:hAnsi="宋体" w:eastAsia="宋体" w:cs="宋体"/>
          <w:color w:val="auto"/>
          <w:kern w:val="2"/>
          <w:sz w:val="32"/>
          <w:szCs w:val="32"/>
          <w:highlight w:val="none"/>
          <w:lang w:val="en-US" w:eastAsia="zh-CN"/>
        </w:rPr>
      </w:pPr>
    </w:p>
    <w:p w14:paraId="1FC509D5">
      <w:pPr>
        <w:pStyle w:val="27"/>
        <w:widowControl w:val="0"/>
        <w:snapToGrid w:val="0"/>
        <w:spacing w:before="0" w:beforeAutospacing="0" w:after="0" w:afterAutospacing="0" w:line="360" w:lineRule="auto"/>
        <w:ind w:left="0" w:right="0"/>
        <w:jc w:val="center"/>
        <w:rPr>
          <w:rFonts w:hint="eastAsia" w:ascii="宋体" w:hAnsi="宋体" w:eastAsia="宋体" w:cs="宋体"/>
          <w:color w:val="auto"/>
          <w:kern w:val="2"/>
          <w:sz w:val="32"/>
          <w:szCs w:val="32"/>
          <w:highlight w:val="none"/>
          <w:lang w:val="en-US" w:eastAsia="zh-CN"/>
        </w:rPr>
      </w:pPr>
    </w:p>
    <w:p w14:paraId="042BED10">
      <w:pPr>
        <w:pStyle w:val="27"/>
        <w:widowControl w:val="0"/>
        <w:snapToGrid w:val="0"/>
        <w:spacing w:before="0" w:beforeAutospacing="0" w:after="0" w:afterAutospacing="0" w:line="360" w:lineRule="auto"/>
        <w:ind w:left="0" w:right="0"/>
        <w:jc w:val="cente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rPr>
        <w:t>2026年   月   日</w:t>
      </w:r>
    </w:p>
    <w:p w14:paraId="641DEE18">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25420B2E">
      <w:pPr>
        <w:widowControl w:val="0"/>
        <w:spacing w:before="0" w:beforeAutospacing="0" w:after="0" w:afterAutospacing="0" w:line="360" w:lineRule="auto"/>
        <w:ind w:left="0" w:right="0" w:firstLine="424" w:firstLineChars="202"/>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br w:type="page"/>
      </w:r>
      <w:r>
        <w:rPr>
          <w:rFonts w:hint="eastAsia" w:ascii="宋体" w:hAnsi="宋体" w:eastAsia="宋体" w:cs="宋体"/>
          <w:color w:val="auto"/>
          <w:kern w:val="2"/>
          <w:sz w:val="21"/>
          <w:szCs w:val="21"/>
          <w:highlight w:val="none"/>
          <w:lang w:val="en-US" w:eastAsia="zh-CN"/>
        </w:rPr>
        <w:t>依照《中华人民共和国民法典》以及相关法律法规，甲、乙双方在平等自愿，友好协商的基础上就乙方为甲方提供东莞市海心沙资源综合利用中心环保热电厂锅炉和尾气系统</w:t>
      </w:r>
      <w:r>
        <w:rPr>
          <w:rFonts w:hint="eastAsia" w:ascii="宋体" w:hAnsi="宋体" w:eastAsia="宋体" w:cs="宋体"/>
          <w:color w:val="auto"/>
          <w:kern w:val="2"/>
          <w:sz w:val="21"/>
          <w:szCs w:val="21"/>
          <w:highlight w:val="none"/>
          <w:u w:val="single"/>
          <w:lang w:val="en-US" w:eastAsia="zh-CN"/>
        </w:rPr>
        <w:t>施工清包工程服务</w:t>
      </w:r>
      <w:r>
        <w:rPr>
          <w:rFonts w:hint="eastAsia" w:ascii="宋体" w:hAnsi="宋体" w:eastAsia="宋体" w:cs="宋体"/>
          <w:color w:val="auto"/>
          <w:kern w:val="2"/>
          <w:sz w:val="21"/>
          <w:szCs w:val="21"/>
          <w:highlight w:val="none"/>
          <w:lang w:val="en-US" w:eastAsia="zh-CN"/>
        </w:rPr>
        <w:t>的相关事项签订本合同。</w:t>
      </w:r>
    </w:p>
    <w:p w14:paraId="3CA14B51">
      <w:pPr>
        <w:widowControl w:val="0"/>
        <w:adjustRightInd w:val="0"/>
        <w:snapToGrid w:val="0"/>
        <w:spacing w:before="0" w:beforeAutospacing="0" w:after="0" w:afterAutospacing="0" w:line="360" w:lineRule="auto"/>
        <w:ind w:left="0" w:right="0"/>
        <w:jc w:val="center"/>
        <w:rPr>
          <w:rFonts w:hint="eastAsia" w:ascii="宋体" w:hAnsi="宋体" w:eastAsia="宋体" w:cs="宋体"/>
          <w:b w:val="0"/>
          <w:bCs/>
          <w:color w:val="auto"/>
          <w:spacing w:val="-12"/>
          <w:kern w:val="2"/>
          <w:sz w:val="21"/>
          <w:szCs w:val="21"/>
          <w:highlight w:val="none"/>
        </w:rPr>
      </w:pPr>
      <w:r>
        <w:rPr>
          <w:rFonts w:hint="eastAsia" w:ascii="宋体" w:hAnsi="宋体" w:eastAsia="宋体" w:cs="宋体"/>
          <w:b w:val="0"/>
          <w:bCs/>
          <w:color w:val="auto"/>
          <w:spacing w:val="-12"/>
          <w:kern w:val="2"/>
          <w:sz w:val="21"/>
          <w:szCs w:val="21"/>
          <w:highlight w:val="none"/>
          <w:lang w:val="en-US" w:eastAsia="zh-CN"/>
        </w:rPr>
        <w:t xml:space="preserve"> </w:t>
      </w:r>
    </w:p>
    <w:p w14:paraId="32946B8C">
      <w:pPr>
        <w:bidi w:val="0"/>
        <w:rPr>
          <w:rFonts w:hint="eastAsia" w:ascii="宋体" w:hAnsi="宋体" w:eastAsia="宋体" w:cs="宋体"/>
          <w:b/>
          <w:bCs/>
          <w:color w:val="auto"/>
          <w:kern w:val="2"/>
          <w:szCs w:val="21"/>
          <w:highlight w:val="none"/>
        </w:rPr>
      </w:pPr>
      <w:bookmarkStart w:id="176" w:name="_Toc8940"/>
      <w:r>
        <w:rPr>
          <w:rFonts w:hint="eastAsia" w:ascii="宋体" w:hAnsi="宋体" w:eastAsia="宋体" w:cs="宋体"/>
          <w:b/>
          <w:bCs w:val="0"/>
          <w:color w:val="auto"/>
          <w:highlight w:val="none"/>
          <w:lang w:val="en-US" w:eastAsia="zh-CN"/>
        </w:rPr>
        <w:t>一、总则</w:t>
      </w:r>
      <w:bookmarkEnd w:id="176"/>
    </w:p>
    <w:p w14:paraId="45B6192F">
      <w:pPr>
        <w:widowControl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1.本</w:t>
      </w:r>
      <w:r>
        <w:rPr>
          <w:rFonts w:hint="eastAsia" w:ascii="宋体" w:hAnsi="宋体" w:cs="宋体"/>
          <w:color w:val="auto"/>
          <w:kern w:val="2"/>
          <w:sz w:val="21"/>
          <w:szCs w:val="21"/>
          <w:highlight w:val="none"/>
          <w:lang w:val="en-US" w:eastAsia="zh-CN"/>
        </w:rPr>
        <w:t>合同</w:t>
      </w:r>
      <w:r>
        <w:rPr>
          <w:rFonts w:hint="eastAsia" w:ascii="宋体" w:hAnsi="宋体" w:eastAsia="宋体" w:cs="宋体"/>
          <w:color w:val="auto"/>
          <w:kern w:val="2"/>
          <w:sz w:val="21"/>
          <w:szCs w:val="21"/>
          <w:highlight w:val="none"/>
        </w:rPr>
        <w:t>仅适用于海心沙资源综合利用中心环保热电厂项目（以下简称“项目”）锅炉和尾气系统施工清包工程服务采购。</w:t>
      </w:r>
    </w:p>
    <w:p w14:paraId="63DB4314">
      <w:pPr>
        <w:widowControl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2.本</w:t>
      </w:r>
      <w:r>
        <w:rPr>
          <w:rFonts w:hint="eastAsia" w:ascii="宋体" w:hAnsi="宋体" w:cs="宋体"/>
          <w:color w:val="auto"/>
          <w:kern w:val="2"/>
          <w:sz w:val="21"/>
          <w:szCs w:val="21"/>
          <w:highlight w:val="none"/>
          <w:lang w:val="en-US" w:eastAsia="zh-CN"/>
        </w:rPr>
        <w:t>合同</w:t>
      </w:r>
      <w:r>
        <w:rPr>
          <w:rFonts w:hint="eastAsia" w:ascii="宋体" w:hAnsi="宋体" w:eastAsia="宋体" w:cs="宋体"/>
          <w:color w:val="auto"/>
          <w:kern w:val="2"/>
          <w:sz w:val="21"/>
          <w:szCs w:val="21"/>
          <w:highlight w:val="none"/>
        </w:rPr>
        <w:t>仅对海心沙资源综合利用中心环保热电厂项目锅炉和尾气系统施工清包工程服务采购项目的内容、</w:t>
      </w:r>
      <w:r>
        <w:rPr>
          <w:rFonts w:hint="eastAsia" w:ascii="宋体" w:hAnsi="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的人员配置及技术要求等方面提出了相关的规定。</w:t>
      </w:r>
    </w:p>
    <w:p w14:paraId="232F34C5">
      <w:pPr>
        <w:widowControl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3.本</w:t>
      </w:r>
      <w:r>
        <w:rPr>
          <w:rFonts w:hint="eastAsia" w:ascii="宋体" w:hAnsi="宋体" w:cs="宋体"/>
          <w:color w:val="auto"/>
          <w:kern w:val="2"/>
          <w:sz w:val="21"/>
          <w:szCs w:val="21"/>
          <w:highlight w:val="none"/>
          <w:lang w:val="en-US" w:eastAsia="zh-CN"/>
        </w:rPr>
        <w:t>合同</w:t>
      </w:r>
      <w:r>
        <w:rPr>
          <w:rFonts w:hint="eastAsia" w:ascii="宋体" w:hAnsi="宋体" w:eastAsia="宋体" w:cs="宋体"/>
          <w:color w:val="auto"/>
          <w:kern w:val="2"/>
          <w:sz w:val="21"/>
          <w:szCs w:val="21"/>
          <w:highlight w:val="none"/>
        </w:rPr>
        <w:t>提出的是最低限度的技术要求，并未对一切技术细节作出规定，也未充分引述有关标准和规范的条文。</w:t>
      </w:r>
      <w:r>
        <w:rPr>
          <w:rFonts w:hint="eastAsia" w:ascii="宋体" w:hAnsi="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应提供符合本需求书的服务，同时还应满足相应的国家行业标准的要求。</w:t>
      </w:r>
    </w:p>
    <w:p w14:paraId="591EDE1A">
      <w:pPr>
        <w:widowControl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w:t>
      </w:r>
      <w:r>
        <w:rPr>
          <w:rFonts w:hint="eastAsia" w:ascii="宋体" w:hAnsi="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应按照投标文件技术规范的相关内容做出全面响应，内容应包括技术规范上所有条款，并最大限度的满足或优于本</w:t>
      </w:r>
      <w:r>
        <w:rPr>
          <w:rFonts w:hint="eastAsia" w:ascii="宋体" w:hAnsi="宋体" w:cs="宋体"/>
          <w:color w:val="auto"/>
          <w:kern w:val="2"/>
          <w:sz w:val="21"/>
          <w:szCs w:val="21"/>
          <w:highlight w:val="none"/>
          <w:lang w:val="en-US" w:eastAsia="zh-CN"/>
        </w:rPr>
        <w:t>合同</w:t>
      </w:r>
      <w:r>
        <w:rPr>
          <w:rFonts w:hint="eastAsia" w:ascii="宋体" w:hAnsi="宋体" w:eastAsia="宋体" w:cs="宋体"/>
          <w:color w:val="auto"/>
          <w:kern w:val="2"/>
          <w:sz w:val="21"/>
          <w:szCs w:val="21"/>
          <w:highlight w:val="none"/>
        </w:rPr>
        <w:t>技术规范条款的要求。</w:t>
      </w:r>
    </w:p>
    <w:p w14:paraId="1A9E8753">
      <w:pPr>
        <w:widowControl w:val="0"/>
        <w:adjustRightInd w:val="0"/>
        <w:snapToGri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5.如果</w:t>
      </w:r>
      <w:r>
        <w:rPr>
          <w:rFonts w:hint="eastAsia" w:ascii="宋体" w:hAnsi="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没有以书面形式对本</w:t>
      </w:r>
      <w:r>
        <w:rPr>
          <w:rFonts w:hint="eastAsia" w:ascii="宋体" w:hAnsi="宋体" w:cs="宋体"/>
          <w:color w:val="auto"/>
          <w:kern w:val="2"/>
          <w:sz w:val="21"/>
          <w:szCs w:val="21"/>
          <w:highlight w:val="none"/>
          <w:lang w:val="en-US" w:eastAsia="zh-CN"/>
        </w:rPr>
        <w:t>合同技术</w:t>
      </w:r>
      <w:r>
        <w:rPr>
          <w:rFonts w:hint="eastAsia" w:ascii="宋体" w:hAnsi="宋体" w:eastAsia="宋体" w:cs="宋体"/>
          <w:color w:val="auto"/>
          <w:kern w:val="2"/>
          <w:sz w:val="21"/>
          <w:szCs w:val="21"/>
          <w:highlight w:val="none"/>
        </w:rPr>
        <w:t>规范书条文提出异议，则意味着</w:t>
      </w:r>
      <w:r>
        <w:rPr>
          <w:rFonts w:hint="eastAsia" w:ascii="宋体" w:hAnsi="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提供的服务完全符合本</w:t>
      </w:r>
      <w:r>
        <w:rPr>
          <w:rFonts w:hint="eastAsia" w:ascii="宋体" w:hAnsi="宋体" w:cs="宋体"/>
          <w:color w:val="auto"/>
          <w:kern w:val="2"/>
          <w:sz w:val="21"/>
          <w:szCs w:val="21"/>
          <w:highlight w:val="none"/>
          <w:lang w:val="en-US" w:eastAsia="zh-CN"/>
        </w:rPr>
        <w:t>合同技术</w:t>
      </w:r>
      <w:r>
        <w:rPr>
          <w:rFonts w:hint="eastAsia" w:ascii="宋体" w:hAnsi="宋体" w:eastAsia="宋体" w:cs="宋体"/>
          <w:color w:val="auto"/>
          <w:kern w:val="2"/>
          <w:sz w:val="21"/>
          <w:szCs w:val="21"/>
          <w:highlight w:val="none"/>
        </w:rPr>
        <w:t>规范书的要求。</w:t>
      </w:r>
    </w:p>
    <w:p w14:paraId="37DE74F3">
      <w:pPr>
        <w:bidi w:val="0"/>
        <w:rPr>
          <w:rFonts w:hint="eastAsia" w:ascii="宋体" w:hAnsi="宋体" w:eastAsia="宋体" w:cs="宋体"/>
          <w:b/>
          <w:bCs/>
          <w:color w:val="auto"/>
          <w:kern w:val="2"/>
          <w:szCs w:val="21"/>
          <w:highlight w:val="none"/>
        </w:rPr>
      </w:pPr>
      <w:bookmarkStart w:id="177" w:name="_Toc18077"/>
      <w:r>
        <w:rPr>
          <w:rFonts w:hint="eastAsia" w:ascii="宋体" w:hAnsi="宋体" w:eastAsia="宋体" w:cs="宋体"/>
          <w:b/>
          <w:bCs/>
          <w:color w:val="auto"/>
          <w:highlight w:val="none"/>
          <w:lang w:val="en-US" w:eastAsia="zh-CN"/>
        </w:rPr>
        <w:t>二、工程概况：</w:t>
      </w:r>
      <w:bookmarkEnd w:id="177"/>
    </w:p>
    <w:p w14:paraId="039A2E07">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1.工程名称：东莞市海心沙环保热电厂2027~2028年度锅炉和尾气系统施工清包工程服务采购项目。</w:t>
      </w:r>
    </w:p>
    <w:p w14:paraId="02B4FD0E">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2.工程地址：东莞市新东元环保投资有限公司。</w:t>
      </w:r>
    </w:p>
    <w:p w14:paraId="047A8CB2">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3.项目规模：</w:t>
      </w:r>
    </w:p>
    <w:p w14:paraId="1EC32A51">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总处理规模为处理生活垃圾和一般工业垃圾2250吨，年处理垃圾82.125万吨，设置3条日处理能力为750吨的焚烧线及对应配套系统（包括烟气净化系统、湿法系统、SCR脱硝系统、飞灰螯合稳定化系统、给排水系统等），2台40MW纯凝式汽轮发电机组。项目用地总面积为6.96公顷。</w:t>
      </w:r>
    </w:p>
    <w:p w14:paraId="05CD022C">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4.承包范围：</w:t>
      </w:r>
    </w:p>
    <w:p w14:paraId="1576085E">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本发包工程的范围见</w:t>
      </w:r>
      <w:r>
        <w:rPr>
          <w:rFonts w:hint="eastAsia" w:ascii="宋体" w:hAnsi="宋体" w:cs="宋体"/>
          <w:color w:val="auto"/>
          <w:kern w:val="0"/>
          <w:sz w:val="21"/>
          <w:szCs w:val="21"/>
          <w:highlight w:val="none"/>
          <w:lang w:val="en-US" w:eastAsia="zh-CN"/>
        </w:rPr>
        <w:t>附件四</w:t>
      </w:r>
      <w:r>
        <w:rPr>
          <w:rFonts w:hint="eastAsia" w:ascii="宋体" w:hAnsi="宋体" w:eastAsia="宋体" w:cs="宋体"/>
          <w:color w:val="auto"/>
          <w:kern w:val="0"/>
          <w:sz w:val="21"/>
          <w:szCs w:val="21"/>
          <w:highlight w:val="none"/>
        </w:rPr>
        <w:t>《锅炉与尾气系统施工项目清单</w:t>
      </w:r>
      <w:r>
        <w:rPr>
          <w:rFonts w:hint="eastAsia" w:ascii="宋体" w:hAnsi="宋体" w:cs="宋体"/>
          <w:color w:val="auto"/>
          <w:kern w:val="0"/>
          <w:sz w:val="21"/>
          <w:szCs w:val="21"/>
          <w:highlight w:val="none"/>
          <w:lang w:val="en-US" w:eastAsia="zh-CN"/>
        </w:rPr>
        <w:t>及技术要求</w:t>
      </w:r>
      <w:r>
        <w:rPr>
          <w:rFonts w:hint="eastAsia" w:ascii="宋体" w:hAnsi="宋体" w:eastAsia="宋体" w:cs="宋体"/>
          <w:color w:val="auto"/>
          <w:kern w:val="0"/>
          <w:sz w:val="21"/>
          <w:szCs w:val="21"/>
          <w:highlight w:val="none"/>
        </w:rPr>
        <w:t>》。</w:t>
      </w:r>
    </w:p>
    <w:p w14:paraId="001D209D">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5.承包方式：清包工</w:t>
      </w:r>
    </w:p>
    <w:p w14:paraId="5D197731">
      <w:pPr>
        <w:bidi w:val="0"/>
        <w:rPr>
          <w:rFonts w:hint="eastAsia" w:ascii="宋体" w:hAnsi="宋体" w:eastAsia="宋体" w:cs="宋体"/>
          <w:b/>
          <w:bCs/>
          <w:color w:val="auto"/>
          <w:kern w:val="2"/>
          <w:szCs w:val="21"/>
          <w:highlight w:val="none"/>
        </w:rPr>
      </w:pPr>
      <w:bookmarkStart w:id="178" w:name="_Toc10206"/>
      <w:r>
        <w:rPr>
          <w:rFonts w:hint="eastAsia" w:ascii="宋体" w:hAnsi="宋体" w:eastAsia="宋体" w:cs="宋体"/>
          <w:b/>
          <w:bCs/>
          <w:color w:val="auto"/>
          <w:highlight w:val="none"/>
          <w:lang w:val="en-US" w:eastAsia="zh-CN"/>
        </w:rPr>
        <w:t>三、工期要求：</w:t>
      </w:r>
      <w:bookmarkEnd w:id="178"/>
    </w:p>
    <w:p w14:paraId="31861DF4">
      <w:pPr>
        <w:widowControl/>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本合同</w:t>
      </w:r>
      <w:r>
        <w:rPr>
          <w:rFonts w:hint="default" w:ascii="宋体" w:hAnsi="宋体" w:eastAsia="宋体" w:cs="宋体"/>
          <w:color w:val="auto"/>
          <w:kern w:val="0"/>
          <w:sz w:val="21"/>
          <w:szCs w:val="21"/>
          <w:highlight w:val="none"/>
          <w:lang w:val="en-US" w:eastAsia="zh-CN"/>
        </w:rPr>
        <w:t>服务期两年，服务期从2027年1月7日至2029年1月6日止</w:t>
      </w:r>
      <w:r>
        <w:rPr>
          <w:rFonts w:hint="eastAsia" w:ascii="宋体" w:hAnsi="宋体" w:eastAsia="宋体" w:cs="宋体"/>
          <w:color w:val="auto"/>
          <w:kern w:val="0"/>
          <w:sz w:val="21"/>
          <w:szCs w:val="21"/>
          <w:highlight w:val="none"/>
          <w:lang w:val="en-US" w:eastAsia="zh-CN"/>
        </w:rPr>
        <w:t>。</w:t>
      </w:r>
    </w:p>
    <w:p w14:paraId="7A7BEFDE">
      <w:pPr>
        <w:widowControl/>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1.开工日期：具体时间以</w:t>
      </w:r>
      <w:r>
        <w:rPr>
          <w:rFonts w:hint="eastAsia" w:ascii="宋体" w:hAnsi="宋体" w:eastAsia="宋体" w:cs="宋体"/>
          <w:color w:val="auto"/>
          <w:kern w:val="0"/>
          <w:sz w:val="21"/>
          <w:szCs w:val="21"/>
          <w:highlight w:val="none"/>
          <w:lang w:eastAsia="zh-CN"/>
        </w:rPr>
        <w:t>甲方</w:t>
      </w:r>
      <w:r>
        <w:rPr>
          <w:rFonts w:hint="eastAsia" w:ascii="宋体" w:hAnsi="宋体" w:eastAsia="宋体" w:cs="宋体"/>
          <w:color w:val="auto"/>
          <w:kern w:val="0"/>
          <w:sz w:val="21"/>
          <w:szCs w:val="21"/>
          <w:highlight w:val="none"/>
        </w:rPr>
        <w:t>通知为准。</w:t>
      </w:r>
    </w:p>
    <w:p w14:paraId="6800F5D2">
      <w:pPr>
        <w:widowControl/>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2.工期：每台次锅炉与尾气系统施工工程根据每次实际施工工程量分为以下三种工程类别。</w:t>
      </w:r>
    </w:p>
    <w:p w14:paraId="57581306">
      <w:pPr>
        <w:widowControl/>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大型施工工程：主要施工内容为大面积受热面管道更换（如：管道更换数量超过200根或管排数量超过100片）；工期：15天—25天。</w:t>
      </w:r>
    </w:p>
    <w:p w14:paraId="489DA66F">
      <w:pPr>
        <w:widowControl/>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中型施工工程：部分受热面管道更换（如：管道更换小于200根大于10根或管排数量小于100片）；工期：12天—15天。</w:t>
      </w:r>
    </w:p>
    <w:p w14:paraId="54472F3B">
      <w:pPr>
        <w:widowControl/>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常规性施工工程：锅炉及尾气常规性施工工程；工期：8天—12天。</w:t>
      </w:r>
    </w:p>
    <w:p w14:paraId="59B42A63">
      <w:pPr>
        <w:widowControl/>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3.竣工日期指</w:t>
      </w:r>
      <w:r>
        <w:rPr>
          <w:rFonts w:hint="eastAsia" w:ascii="宋体" w:hAnsi="宋体" w:eastAsia="宋体" w:cs="宋体"/>
          <w:color w:val="auto"/>
          <w:kern w:val="0"/>
          <w:sz w:val="21"/>
          <w:szCs w:val="21"/>
          <w:highlight w:val="none"/>
          <w:lang w:eastAsia="zh-CN"/>
        </w:rPr>
        <w:t>乙方</w:t>
      </w:r>
      <w:r>
        <w:rPr>
          <w:rFonts w:hint="eastAsia" w:ascii="宋体" w:hAnsi="宋体" w:eastAsia="宋体" w:cs="宋体"/>
          <w:color w:val="auto"/>
          <w:kern w:val="0"/>
          <w:sz w:val="21"/>
          <w:szCs w:val="21"/>
          <w:highlight w:val="none"/>
        </w:rPr>
        <w:t>已完成</w:t>
      </w:r>
      <w:r>
        <w:rPr>
          <w:rFonts w:hint="eastAsia" w:ascii="宋体" w:hAnsi="宋体" w:eastAsia="宋体" w:cs="宋体"/>
          <w:color w:val="auto"/>
          <w:kern w:val="0"/>
          <w:sz w:val="21"/>
          <w:szCs w:val="21"/>
          <w:highlight w:val="none"/>
          <w:lang w:eastAsia="zh-CN"/>
        </w:rPr>
        <w:t>甲方</w:t>
      </w:r>
      <w:r>
        <w:rPr>
          <w:rFonts w:hint="eastAsia" w:ascii="宋体" w:hAnsi="宋体" w:eastAsia="宋体" w:cs="宋体"/>
          <w:color w:val="auto"/>
          <w:kern w:val="0"/>
          <w:sz w:val="21"/>
          <w:szCs w:val="21"/>
          <w:highlight w:val="none"/>
        </w:rPr>
        <w:t>指定的</w:t>
      </w:r>
      <w:r>
        <w:rPr>
          <w:rFonts w:hint="eastAsia" w:ascii="宋体" w:hAnsi="宋体" w:cs="宋体"/>
          <w:color w:val="auto"/>
          <w:kern w:val="0"/>
          <w:sz w:val="21"/>
          <w:szCs w:val="21"/>
          <w:highlight w:val="none"/>
          <w:lang w:val="en-US" w:eastAsia="zh-CN"/>
        </w:rPr>
        <w:t>附件四</w:t>
      </w:r>
      <w:r>
        <w:rPr>
          <w:rFonts w:hint="eastAsia" w:ascii="宋体" w:hAnsi="宋体" w:eastAsia="宋体" w:cs="宋体"/>
          <w:color w:val="auto"/>
          <w:kern w:val="0"/>
          <w:sz w:val="21"/>
          <w:szCs w:val="21"/>
          <w:highlight w:val="none"/>
        </w:rPr>
        <w:t>《锅炉与尾气系统施工项目清单</w:t>
      </w:r>
      <w:r>
        <w:rPr>
          <w:rFonts w:hint="eastAsia" w:ascii="宋体" w:hAnsi="宋体" w:cs="宋体"/>
          <w:color w:val="auto"/>
          <w:kern w:val="0"/>
          <w:sz w:val="21"/>
          <w:szCs w:val="21"/>
          <w:highlight w:val="none"/>
          <w:lang w:val="en-US" w:eastAsia="zh-CN"/>
        </w:rPr>
        <w:t>及技术要求</w:t>
      </w:r>
      <w:r>
        <w:rPr>
          <w:rFonts w:hint="eastAsia" w:ascii="宋体" w:hAnsi="宋体" w:eastAsia="宋体" w:cs="宋体"/>
          <w:color w:val="auto"/>
          <w:kern w:val="0"/>
          <w:sz w:val="21"/>
          <w:szCs w:val="21"/>
          <w:highlight w:val="none"/>
        </w:rPr>
        <w:t>》，锅炉及尾气系统运行指标均达到良好并办理完竣工验收签证。</w:t>
      </w:r>
    </w:p>
    <w:p w14:paraId="7C7904B5">
      <w:pPr>
        <w:widowControl/>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如果发生不可预见的事项或工程量需要调整而影响工期时，工期由双方协商进行合理调整，乙方应当在前述事项发生后3个工作日内向甲方提交书面工期调整申请及佐证材料，逾期未提交的，视为该事项不影响工期，乙方不得再主张工期顺延。若</w:t>
      </w:r>
      <w:r>
        <w:rPr>
          <w:rFonts w:hint="eastAsia" w:ascii="宋体" w:hAnsi="宋体" w:eastAsia="宋体" w:cs="宋体"/>
          <w:color w:val="auto"/>
          <w:kern w:val="0"/>
          <w:sz w:val="21"/>
          <w:szCs w:val="21"/>
          <w:highlight w:val="none"/>
          <w:lang w:eastAsia="zh-CN"/>
        </w:rPr>
        <w:t>乙方</w:t>
      </w:r>
      <w:r>
        <w:rPr>
          <w:rFonts w:hint="eastAsia" w:ascii="宋体" w:hAnsi="宋体" w:eastAsia="宋体" w:cs="宋体"/>
          <w:color w:val="auto"/>
          <w:kern w:val="0"/>
          <w:sz w:val="21"/>
          <w:szCs w:val="21"/>
          <w:highlight w:val="none"/>
        </w:rPr>
        <w:t>的施工进度未能满足</w:t>
      </w:r>
      <w:r>
        <w:rPr>
          <w:rFonts w:hint="eastAsia" w:ascii="宋体" w:hAnsi="宋体" w:eastAsia="宋体" w:cs="宋体"/>
          <w:color w:val="auto"/>
          <w:kern w:val="0"/>
          <w:sz w:val="21"/>
          <w:szCs w:val="21"/>
          <w:highlight w:val="none"/>
          <w:lang w:eastAsia="zh-CN"/>
        </w:rPr>
        <w:t>甲方</w:t>
      </w:r>
      <w:r>
        <w:rPr>
          <w:rFonts w:hint="eastAsia" w:ascii="宋体" w:hAnsi="宋体" w:eastAsia="宋体" w:cs="宋体"/>
          <w:color w:val="auto"/>
          <w:kern w:val="0"/>
          <w:sz w:val="21"/>
          <w:szCs w:val="21"/>
          <w:highlight w:val="none"/>
        </w:rPr>
        <w:t>（业主）的要求，</w:t>
      </w:r>
      <w:r>
        <w:rPr>
          <w:rFonts w:hint="eastAsia" w:ascii="宋体" w:hAnsi="宋体" w:eastAsia="宋体" w:cs="宋体"/>
          <w:color w:val="auto"/>
          <w:kern w:val="0"/>
          <w:sz w:val="21"/>
          <w:szCs w:val="21"/>
          <w:highlight w:val="none"/>
          <w:lang w:eastAsia="zh-CN"/>
        </w:rPr>
        <w:t>甲方</w:t>
      </w:r>
      <w:r>
        <w:rPr>
          <w:rFonts w:hint="eastAsia" w:ascii="宋体" w:hAnsi="宋体" w:eastAsia="宋体" w:cs="宋体"/>
          <w:color w:val="auto"/>
          <w:kern w:val="0"/>
          <w:sz w:val="21"/>
          <w:szCs w:val="21"/>
          <w:highlight w:val="none"/>
        </w:rPr>
        <w:t>有权终止合同。</w:t>
      </w:r>
    </w:p>
    <w:p w14:paraId="438B3264">
      <w:pPr>
        <w:bidi w:val="0"/>
        <w:rPr>
          <w:rFonts w:hint="eastAsia" w:ascii="宋体" w:hAnsi="宋体" w:eastAsia="宋体" w:cs="宋体"/>
          <w:b/>
          <w:bCs/>
          <w:color w:val="auto"/>
          <w:kern w:val="2"/>
          <w:szCs w:val="21"/>
          <w:highlight w:val="none"/>
        </w:rPr>
      </w:pPr>
      <w:bookmarkStart w:id="179" w:name="_Toc7698"/>
      <w:r>
        <w:rPr>
          <w:rFonts w:hint="eastAsia" w:ascii="宋体" w:hAnsi="宋体" w:eastAsia="宋体" w:cs="宋体"/>
          <w:b/>
          <w:bCs/>
          <w:color w:val="auto"/>
          <w:highlight w:val="none"/>
          <w:lang w:val="en-US" w:eastAsia="zh-CN"/>
        </w:rPr>
        <w:t>四、质量及技术要求：</w:t>
      </w:r>
      <w:bookmarkEnd w:id="179"/>
    </w:p>
    <w:p w14:paraId="094617E6">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1.（80）电技字第26号 DL/T 748.8 DL/T 748.8 电力工业技术管理法规。</w:t>
      </w:r>
    </w:p>
    <w:p w14:paraId="17D6230B">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2.电安生[1994] 227号  电业安全工作规程（热力和机械部分）。</w:t>
      </w:r>
    </w:p>
    <w:p w14:paraId="25CE3605">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3.DL/T 5047  电力建设施工及验收技术规范（锅炉机组篇）。</w:t>
      </w:r>
    </w:p>
    <w:p w14:paraId="1F8D458C">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4.DL/T5069-1996 《电力建设施工及验收技术规范》。</w:t>
      </w:r>
    </w:p>
    <w:p w14:paraId="557F029C">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5.工程质量要求参照合同附件</w:t>
      </w:r>
      <w:r>
        <w:rPr>
          <w:rFonts w:hint="eastAsia" w:ascii="宋体" w:hAnsi="宋体" w:cs="宋体"/>
          <w:color w:val="auto"/>
          <w:kern w:val="0"/>
          <w:sz w:val="21"/>
          <w:szCs w:val="21"/>
          <w:highlight w:val="none"/>
          <w:lang w:val="en-US" w:eastAsia="zh-CN"/>
        </w:rPr>
        <w:t>四</w:t>
      </w:r>
      <w:r>
        <w:rPr>
          <w:rFonts w:hint="eastAsia" w:ascii="宋体" w:hAnsi="宋体" w:eastAsia="宋体" w:cs="宋体"/>
          <w:color w:val="auto"/>
          <w:kern w:val="0"/>
          <w:sz w:val="21"/>
          <w:szCs w:val="21"/>
          <w:highlight w:val="none"/>
        </w:rPr>
        <w:t>《锅炉与尾气系统施工项目清单</w:t>
      </w:r>
      <w:r>
        <w:rPr>
          <w:rFonts w:hint="eastAsia" w:ascii="宋体" w:hAnsi="宋体" w:cs="宋体"/>
          <w:color w:val="auto"/>
          <w:kern w:val="0"/>
          <w:sz w:val="21"/>
          <w:szCs w:val="21"/>
          <w:highlight w:val="none"/>
          <w:lang w:val="en-US" w:eastAsia="zh-CN"/>
        </w:rPr>
        <w:t>及技术要求</w:t>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val="en-US" w:eastAsia="zh-CN"/>
        </w:rPr>
        <w:t>中</w:t>
      </w:r>
      <w:r>
        <w:rPr>
          <w:rFonts w:hint="eastAsia" w:ascii="宋体" w:hAnsi="宋体" w:eastAsia="宋体" w:cs="宋体"/>
          <w:color w:val="auto"/>
          <w:kern w:val="2"/>
          <w:sz w:val="21"/>
          <w:szCs w:val="21"/>
          <w:highlight w:val="none"/>
        </w:rPr>
        <w:t>每台锅炉及其尾气系统施工项目主要质量要求及原厂设计要求。</w:t>
      </w:r>
    </w:p>
    <w:p w14:paraId="7CB66A29">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应严格按照图纸及规范进行施工，因不按照图纸及规范施工所造成的返工及材料损失，</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负全部责任，工期不予延后，对于因此所发生的损失，</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有权直接在</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工程款中扣除。</w:t>
      </w:r>
    </w:p>
    <w:p w14:paraId="0F94E82A">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7.由于</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施工质量导致而发生的一切费用由</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承担，工期不予延期，在施工中如</w:t>
      </w:r>
      <w:r>
        <w:rPr>
          <w:rFonts w:hint="eastAsia" w:ascii="宋体" w:hAnsi="宋体" w:cs="宋体"/>
          <w:color w:val="auto"/>
          <w:kern w:val="2"/>
          <w:sz w:val="21"/>
          <w:szCs w:val="21"/>
          <w:highlight w:val="none"/>
          <w:lang w:val="en-US" w:eastAsia="zh-CN"/>
        </w:rPr>
        <w:t>因</w:t>
      </w:r>
      <w:r>
        <w:rPr>
          <w:rFonts w:hint="eastAsia" w:ascii="宋体" w:hAnsi="宋体" w:eastAsia="宋体" w:cs="宋体"/>
          <w:color w:val="auto"/>
          <w:kern w:val="2"/>
          <w:sz w:val="21"/>
          <w:szCs w:val="21"/>
          <w:highlight w:val="none"/>
          <w:lang w:eastAsia="zh-CN"/>
        </w:rPr>
        <w:t>乙方</w:t>
      </w:r>
      <w:r>
        <w:rPr>
          <w:rFonts w:hint="eastAsia" w:ascii="宋体" w:hAnsi="宋体" w:cs="宋体"/>
          <w:color w:val="auto"/>
          <w:kern w:val="2"/>
          <w:sz w:val="21"/>
          <w:szCs w:val="21"/>
          <w:highlight w:val="none"/>
          <w:lang w:val="en-US" w:eastAsia="zh-CN"/>
        </w:rPr>
        <w:t>原因导致</w:t>
      </w:r>
      <w:r>
        <w:rPr>
          <w:rFonts w:hint="eastAsia" w:ascii="宋体" w:hAnsi="宋体" w:eastAsia="宋体" w:cs="宋体"/>
          <w:color w:val="auto"/>
          <w:kern w:val="2"/>
          <w:sz w:val="21"/>
          <w:szCs w:val="21"/>
          <w:highlight w:val="none"/>
        </w:rPr>
        <w:t>施工进度和质量达不到业主或监理的要求，</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有权要求</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整改或退场，所完成工程量不予结算。</w:t>
      </w:r>
    </w:p>
    <w:p w14:paraId="5D0D4ECF">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rPr>
        <w:t>停炉次日起白天开始搭设脚手架，（停炉时间约为当日0：00点），每个通道的工作面须在1天内完成搭设，第一、二、三、水平烟道的总搭设绝对工期不超过4天。根据工期需要，</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须随时配合拆除脚手架，每个通道的拆除时间不得超过8小时。若</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的施工进度未能满足</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（业主）的要求，</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有权终止合同。</w:t>
      </w:r>
    </w:p>
    <w:p w14:paraId="3AFE0F61">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9.对已完工各项施工项目内容，</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须执行三级验收签字确认程序。</w:t>
      </w:r>
    </w:p>
    <w:p w14:paraId="7A42A23B">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lang w:eastAsia="zh-CN"/>
        </w:rPr>
      </w:pPr>
      <w:r>
        <w:rPr>
          <w:rFonts w:hint="eastAsia" w:ascii="宋体" w:hAnsi="宋体" w:cs="宋体"/>
          <w:color w:val="auto"/>
          <w:kern w:val="2"/>
          <w:sz w:val="21"/>
          <w:szCs w:val="21"/>
          <w:highlight w:val="none"/>
          <w:lang w:val="en-US" w:eastAsia="zh-CN"/>
        </w:rPr>
        <w:t>10.合同</w:t>
      </w:r>
      <w:r>
        <w:rPr>
          <w:rFonts w:hint="eastAsia" w:ascii="宋体" w:hAnsi="宋体" w:eastAsia="宋体" w:cs="宋体"/>
          <w:color w:val="auto"/>
          <w:kern w:val="2"/>
          <w:sz w:val="21"/>
          <w:szCs w:val="21"/>
          <w:highlight w:val="none"/>
        </w:rPr>
        <w:t>综合单价包干已涵盖为完成该项目内容所需的一切人工费用，具体包括但不限于：人工操作费、辅助工费、相关连接构件（如螺栓、卡扣、套管等）的拆除与安装费，以及为满足施工要求而采取的所有辅助措施（如临时支撑、二次搬运、定位调整、清场清理等）所产生的人工成本，</w:t>
      </w:r>
      <w:r>
        <w:rPr>
          <w:rFonts w:hint="eastAsia" w:ascii="宋体" w:hAnsi="宋体" w:cs="宋体"/>
          <w:color w:val="auto"/>
          <w:kern w:val="2"/>
          <w:sz w:val="21"/>
          <w:szCs w:val="21"/>
          <w:highlight w:val="none"/>
          <w:lang w:val="en-US" w:eastAsia="zh-CN"/>
        </w:rPr>
        <w:t>甲方</w:t>
      </w:r>
      <w:r>
        <w:rPr>
          <w:rFonts w:hint="eastAsia" w:ascii="宋体" w:hAnsi="宋体" w:eastAsia="宋体" w:cs="宋体"/>
          <w:color w:val="auto"/>
          <w:kern w:val="2"/>
          <w:sz w:val="21"/>
          <w:szCs w:val="21"/>
          <w:highlight w:val="none"/>
        </w:rPr>
        <w:t>不再就上述任何项目另行支付费用</w:t>
      </w:r>
      <w:r>
        <w:rPr>
          <w:rFonts w:hint="eastAsia" w:ascii="宋体" w:hAnsi="宋体" w:cs="宋体"/>
          <w:color w:val="auto"/>
          <w:kern w:val="2"/>
          <w:sz w:val="21"/>
          <w:szCs w:val="21"/>
          <w:highlight w:val="none"/>
          <w:lang w:eastAsia="zh-CN"/>
        </w:rPr>
        <w:t>。</w:t>
      </w:r>
    </w:p>
    <w:p w14:paraId="2329A698">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cs="宋体"/>
          <w:color w:val="auto"/>
          <w:kern w:val="2"/>
          <w:sz w:val="21"/>
          <w:szCs w:val="21"/>
          <w:highlight w:val="none"/>
          <w:lang w:val="en-US" w:eastAsia="zh-CN"/>
        </w:rPr>
        <w:t>11.</w:t>
      </w:r>
      <w:r>
        <w:rPr>
          <w:rFonts w:hint="eastAsia" w:ascii="宋体" w:hAnsi="宋体" w:eastAsia="宋体" w:cs="宋体"/>
          <w:color w:val="auto"/>
          <w:kern w:val="2"/>
          <w:sz w:val="21"/>
          <w:szCs w:val="21"/>
          <w:highlight w:val="none"/>
        </w:rPr>
        <w:t>锅炉与尾气系统施工项目清单及技术要求</w:t>
      </w:r>
      <w:r>
        <w:rPr>
          <w:rFonts w:hint="eastAsia" w:ascii="宋体" w:hAnsi="宋体" w:cs="宋体"/>
          <w:color w:val="auto"/>
          <w:kern w:val="2"/>
          <w:sz w:val="21"/>
          <w:szCs w:val="21"/>
          <w:highlight w:val="none"/>
          <w:lang w:eastAsia="zh-CN"/>
        </w:rPr>
        <w:t>（</w:t>
      </w:r>
      <w:r>
        <w:rPr>
          <w:rFonts w:hint="eastAsia" w:ascii="宋体" w:hAnsi="宋体" w:cs="宋体"/>
          <w:color w:val="auto"/>
          <w:kern w:val="2"/>
          <w:sz w:val="21"/>
          <w:szCs w:val="21"/>
          <w:highlight w:val="none"/>
          <w:lang w:val="en-US" w:eastAsia="zh-CN"/>
        </w:rPr>
        <w:t>详见附件四）</w:t>
      </w:r>
      <w:r>
        <w:rPr>
          <w:rFonts w:hint="eastAsia" w:ascii="宋体" w:hAnsi="宋体" w:eastAsia="宋体" w:cs="宋体"/>
          <w:color w:val="auto"/>
          <w:kern w:val="2"/>
          <w:sz w:val="21"/>
          <w:szCs w:val="21"/>
          <w:highlight w:val="none"/>
        </w:rPr>
        <w:t>。</w:t>
      </w:r>
    </w:p>
    <w:p w14:paraId="1417314E">
      <w:pPr>
        <w:widowControl w:val="0"/>
        <w:autoSpaceDE w:val="0"/>
        <w:autoSpaceDN w:val="0"/>
        <w:adjustRightInd w:val="0"/>
        <w:spacing w:before="0" w:beforeAutospacing="0" w:after="0" w:afterAutospacing="0"/>
        <w:ind w:left="0" w:right="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7BC92817">
      <w:pPr>
        <w:numPr>
          <w:ilvl w:val="0"/>
          <w:numId w:val="11"/>
        </w:numPr>
        <w:bidi w:val="0"/>
        <w:rPr>
          <w:rFonts w:hint="eastAsia" w:ascii="宋体" w:hAnsi="宋体" w:cs="宋体"/>
          <w:b w:val="0"/>
          <w:bCs w:val="0"/>
          <w:color w:val="auto"/>
          <w:highlight w:val="none"/>
          <w:lang w:val="en-US" w:eastAsia="zh-CN"/>
        </w:rPr>
      </w:pPr>
      <w:bookmarkStart w:id="180" w:name="_Toc12481"/>
      <w:r>
        <w:rPr>
          <w:rFonts w:hint="eastAsia" w:ascii="宋体" w:hAnsi="宋体" w:eastAsia="宋体" w:cs="宋体"/>
          <w:b/>
          <w:bCs/>
          <w:color w:val="auto"/>
          <w:highlight w:val="none"/>
          <w:lang w:val="en-US" w:eastAsia="zh-CN"/>
        </w:rPr>
        <w:t>施工项目及服务内容：（详见本合同附件五：施工项目及服务内容）</w:t>
      </w:r>
      <w:bookmarkEnd w:id="180"/>
      <w:r>
        <w:rPr>
          <w:rFonts w:hint="eastAsia" w:ascii="宋体" w:hAnsi="宋体" w:cs="宋体"/>
          <w:b w:val="0"/>
          <w:bCs w:val="0"/>
          <w:color w:val="auto"/>
          <w:highlight w:val="none"/>
          <w:lang w:val="en-US" w:eastAsia="zh-CN"/>
        </w:rPr>
        <w:t>。甲乙双方明确，</w:t>
      </w:r>
      <w:r>
        <w:rPr>
          <w:rFonts w:hint="eastAsia" w:ascii="宋体" w:hAnsi="宋体" w:cs="宋体"/>
          <w:b w:val="0"/>
          <w:bCs w:val="0"/>
          <w:color w:val="auto"/>
          <w:highlight w:val="none"/>
        </w:rPr>
        <w:t>特殊项目由</w:t>
      </w:r>
      <w:r>
        <w:rPr>
          <w:rFonts w:hint="eastAsia" w:ascii="宋体" w:hAnsi="宋体" w:cs="宋体"/>
          <w:b w:val="0"/>
          <w:bCs w:val="0"/>
          <w:color w:val="auto"/>
          <w:highlight w:val="none"/>
          <w:lang w:val="en-US" w:eastAsia="zh-CN"/>
        </w:rPr>
        <w:t>甲方</w:t>
      </w:r>
      <w:r>
        <w:rPr>
          <w:rFonts w:hint="eastAsia" w:ascii="宋体" w:hAnsi="宋体" w:cs="宋体"/>
          <w:b w:val="0"/>
          <w:bCs w:val="0"/>
          <w:color w:val="auto"/>
          <w:highlight w:val="none"/>
        </w:rPr>
        <w:t>根据项目实际情况决定是否交由</w:t>
      </w:r>
      <w:r>
        <w:rPr>
          <w:rFonts w:hint="eastAsia" w:ascii="宋体" w:hAnsi="宋体" w:cs="宋体"/>
          <w:b w:val="0"/>
          <w:bCs w:val="0"/>
          <w:color w:val="auto"/>
          <w:highlight w:val="none"/>
          <w:lang w:val="en-US" w:eastAsia="zh-CN"/>
        </w:rPr>
        <w:t>乙方</w:t>
      </w:r>
      <w:r>
        <w:rPr>
          <w:rFonts w:hint="eastAsia" w:ascii="宋体" w:hAnsi="宋体" w:cs="宋体"/>
          <w:b w:val="0"/>
          <w:bCs w:val="0"/>
          <w:color w:val="auto"/>
          <w:highlight w:val="none"/>
        </w:rPr>
        <w:t>施工</w:t>
      </w:r>
      <w:r>
        <w:rPr>
          <w:rFonts w:hint="eastAsia" w:ascii="宋体" w:hAnsi="宋体" w:cs="宋体"/>
          <w:b w:val="0"/>
          <w:bCs w:val="0"/>
          <w:color w:val="auto"/>
          <w:highlight w:val="none"/>
          <w:lang w:eastAsia="zh-CN"/>
        </w:rPr>
        <w:t>，</w:t>
      </w:r>
      <w:r>
        <w:rPr>
          <w:rFonts w:hint="eastAsia" w:ascii="宋体" w:hAnsi="宋体" w:cs="宋体"/>
          <w:b w:val="0"/>
          <w:bCs w:val="0"/>
          <w:color w:val="auto"/>
          <w:highlight w:val="none"/>
          <w:lang w:val="en-US" w:eastAsia="zh-CN"/>
        </w:rPr>
        <w:t>采购文件及本合同相关约定均不视为对乙方工作量的承诺。</w:t>
      </w:r>
    </w:p>
    <w:p w14:paraId="058991FD">
      <w:pPr>
        <w:bidi w:val="0"/>
        <w:rPr>
          <w:rFonts w:hint="eastAsia" w:ascii="宋体" w:hAnsi="宋体" w:eastAsia="宋体" w:cs="宋体"/>
          <w:b/>
          <w:bCs/>
          <w:color w:val="auto"/>
          <w:kern w:val="2"/>
          <w:szCs w:val="21"/>
          <w:highlight w:val="none"/>
        </w:rPr>
      </w:pPr>
      <w:bookmarkStart w:id="181" w:name="_Toc3906"/>
      <w:r>
        <w:rPr>
          <w:rFonts w:hint="eastAsia" w:ascii="宋体" w:hAnsi="宋体" w:eastAsia="宋体" w:cs="宋体"/>
          <w:b/>
          <w:bCs/>
          <w:color w:val="auto"/>
          <w:highlight w:val="none"/>
          <w:lang w:val="en-US" w:eastAsia="zh-CN"/>
        </w:rPr>
        <w:t>六、安全文明施工要求：</w:t>
      </w:r>
      <w:bookmarkEnd w:id="181"/>
    </w:p>
    <w:p w14:paraId="2883A3F5">
      <w:pPr>
        <w:widowControl w:val="0"/>
        <w:spacing w:before="0" w:beforeAutospacing="0" w:after="0" w:afterAutospacing="0" w:line="360" w:lineRule="auto"/>
        <w:ind w:left="0" w:right="0"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进场施工前，应与</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签订施工安全协议。接受</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生技部的安全教育，严格履行安全协议，</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管理人员应负责向全体施工人员进行安全技术交底。由于</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未能遵守和违反安全协议，造成的一切后果由</w:t>
      </w:r>
      <w:r>
        <w:rPr>
          <w:rFonts w:hint="eastAsia" w:ascii="宋体" w:hAnsi="宋体" w:eastAsia="宋体" w:cs="宋体"/>
          <w:color w:val="auto"/>
          <w:kern w:val="2"/>
          <w:sz w:val="21"/>
          <w:szCs w:val="21"/>
          <w:highlight w:val="none"/>
          <w:lang w:eastAsia="zh-CN"/>
        </w:rPr>
        <w:t>乙方</w:t>
      </w:r>
      <w:r>
        <w:rPr>
          <w:rFonts w:hint="eastAsia" w:ascii="宋体" w:hAnsi="宋体" w:eastAsia="宋体" w:cs="宋体"/>
          <w:color w:val="auto"/>
          <w:kern w:val="2"/>
          <w:sz w:val="21"/>
          <w:szCs w:val="21"/>
          <w:highlight w:val="none"/>
        </w:rPr>
        <w:t>负责，并承担全部费用。</w:t>
      </w:r>
    </w:p>
    <w:p w14:paraId="79C6BADE">
      <w:pPr>
        <w:widowControl w:val="0"/>
        <w:spacing w:before="0" w:beforeAutospacing="0" w:after="0" w:afterAutospacing="0" w:line="360" w:lineRule="auto"/>
        <w:ind w:left="0" w:right="0"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2.施工完成后的卫生验收时间为3天。</w:t>
      </w:r>
    </w:p>
    <w:p w14:paraId="348A07DA">
      <w:pPr>
        <w:widowControl w:val="0"/>
        <w:spacing w:before="0" w:beforeAutospacing="0" w:after="0" w:afterAutospacing="0" w:line="360" w:lineRule="auto"/>
        <w:ind w:left="0" w:right="0" w:firstLine="367" w:firstLineChars="17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3.施工前双方对需要施工的区域进行卫生验收，施工结束后</w:t>
      </w:r>
      <w:r>
        <w:rPr>
          <w:rFonts w:hint="eastAsia" w:ascii="宋体" w:hAnsi="宋体" w:eastAsia="宋体" w:cs="宋体"/>
          <w:color w:val="auto"/>
          <w:kern w:val="2"/>
          <w:sz w:val="21"/>
          <w:szCs w:val="21"/>
          <w:highlight w:val="none"/>
          <w:lang w:eastAsia="zh-CN"/>
        </w:rPr>
        <w:t>甲方</w:t>
      </w:r>
      <w:r>
        <w:rPr>
          <w:rFonts w:hint="eastAsia" w:ascii="宋体" w:hAnsi="宋体" w:eastAsia="宋体" w:cs="宋体"/>
          <w:color w:val="auto"/>
          <w:kern w:val="2"/>
          <w:sz w:val="21"/>
          <w:szCs w:val="21"/>
          <w:highlight w:val="none"/>
        </w:rPr>
        <w:t>根据施工前的卫生标准进行文明卫生验收。</w:t>
      </w:r>
    </w:p>
    <w:p w14:paraId="08296BD6">
      <w:pPr>
        <w:bidi w:val="0"/>
        <w:rPr>
          <w:rFonts w:hint="eastAsia" w:ascii="宋体" w:hAnsi="宋体" w:eastAsia="宋体" w:cs="宋体"/>
          <w:b/>
          <w:bCs/>
          <w:color w:val="auto"/>
          <w:kern w:val="2"/>
          <w:szCs w:val="21"/>
          <w:highlight w:val="none"/>
        </w:rPr>
      </w:pPr>
      <w:bookmarkStart w:id="182" w:name="_Toc3266"/>
      <w:r>
        <w:rPr>
          <w:rFonts w:hint="eastAsia" w:ascii="宋体" w:hAnsi="宋体" w:eastAsia="宋体" w:cs="宋体"/>
          <w:b/>
          <w:bCs/>
          <w:color w:val="auto"/>
          <w:highlight w:val="none"/>
          <w:lang w:val="en-US" w:eastAsia="zh-CN"/>
        </w:rPr>
        <w:t>七、双方义务：</w:t>
      </w:r>
      <w:bookmarkEnd w:id="182"/>
    </w:p>
    <w:p w14:paraId="5373C436">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（一）甲方义务：</w:t>
      </w:r>
    </w:p>
    <w:p w14:paraId="2335377D">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向乙方提供有关工程范围内的施工图纸及技术资料。</w:t>
      </w:r>
    </w:p>
    <w:p w14:paraId="4C2EE1D3">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组织技术人员进行施工方案会审。</w:t>
      </w:r>
    </w:p>
    <w:p w14:paraId="46BFB9AF">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组织施工项目竣工验收。</w:t>
      </w:r>
    </w:p>
    <w:p w14:paraId="2D222D90">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负责对工程质量</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进度</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安全，进行监督和检查。</w:t>
      </w:r>
    </w:p>
    <w:p w14:paraId="033DBF28">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施工过程所需的主要材料由甲方提供；</w:t>
      </w:r>
    </w:p>
    <w:p w14:paraId="1F2D8F9D">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施工过程中，电力</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水</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压缩空气由甲方供应至施工现场；</w:t>
      </w:r>
    </w:p>
    <w:p w14:paraId="6AFBEE51">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应提前准备施工所需的备品备件及所有主材。</w:t>
      </w:r>
    </w:p>
    <w:p w14:paraId="56AD4392">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锅炉与尾气系统常规及特殊施工项目的辅材（必须符合国标要求）由乙方提供，外判及技改工程的辅材由甲方提供。</w:t>
      </w:r>
    </w:p>
    <w:p w14:paraId="565142A8">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甲方专业工程师必须提前签发热力工作票及动火票，并做好安全隔离措施。</w:t>
      </w:r>
    </w:p>
    <w:p w14:paraId="30B7686F">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（二）乙方义务：</w:t>
      </w:r>
    </w:p>
    <w:p w14:paraId="5B317B80">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负责编制本项目范围的施工方案和施工进度计划及安全措施，并经甲方认可，作为甲方对工程施工监督和检查的依据，并按期实施。甲方对施工方案</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进度计划及安全措施的认可，不免除乙方应当承担的工程质量</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安全</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工期相关全部责任。</w:t>
      </w:r>
    </w:p>
    <w:p w14:paraId="455B6BB0">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负责完成开工前工</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料（其中锅炉与尾气系统常规及特殊施工项目的辅材由乙方提供）</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机（焊机</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角磨机</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扭力扳手等检修常用机具和小型机械设备由乙方提供）等各项准备工作，遵守政府有关部门对施工场地交通</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施工噪音以及安全生产等的管理规定。</w:t>
      </w:r>
    </w:p>
    <w:p w14:paraId="334026FF">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严格按照设计</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厂家图纸进行施工。在确保工程质量和安全的前提下按合同约定的工期完成本项目工作。</w:t>
      </w:r>
    </w:p>
    <w:p w14:paraId="491C6134">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负责本工程所有人员施工及培训。</w:t>
      </w:r>
    </w:p>
    <w:p w14:paraId="0E518CE9">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负责对甲方的生产场地</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环境卫生进行保护，对造成损坏的照价赔偿。</w:t>
      </w:r>
    </w:p>
    <w:p w14:paraId="439DD0E3">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负责每天对施工场地进行清理及清洁。</w:t>
      </w:r>
    </w:p>
    <w:p w14:paraId="6C6A58FC">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负责编制竣工报告，并向甲方提供一式两份。</w:t>
      </w:r>
    </w:p>
    <w:p w14:paraId="30B35032">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按期缴清第三方运营监管单位以及甲方对乙方施工违章的所有罚款金额。</w:t>
      </w:r>
    </w:p>
    <w:p w14:paraId="005CBDA7">
      <w:pPr>
        <w:widowControl w:val="0"/>
        <w:numPr>
          <w:ilvl w:val="0"/>
          <w:numId w:val="0"/>
        </w:numPr>
        <w:adjustRightInd w:val="0"/>
        <w:spacing w:before="0" w:beforeAutospacing="0" w:after="0" w:afterAutospacing="0" w:line="360" w:lineRule="auto"/>
        <w:ind w:left="0" w:leftChars="0" w:right="0" w:rightChars="0" w:firstLine="367" w:firstLineChars="175"/>
        <w:jc w:val="left"/>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合同期内需内检时，负责特检院协调工作，保证内检合格，费用按本次大修（含配合大修发生的外判）结算款3%计算；合同期内2028年三台锅炉全停时负责特检院协调工作，保证符合特种设备检测的相关规定，如需办理《特种设备使用登记证》，则保证申办成功，以上工作的费用按本次大修（含配合大修发生的外判）结算款3%计算。</w:t>
      </w:r>
    </w:p>
    <w:p w14:paraId="5EBF162B">
      <w:pPr>
        <w:widowControl w:val="0"/>
        <w:numPr>
          <w:ilvl w:val="0"/>
          <w:numId w:val="0"/>
        </w:numPr>
        <w:spacing w:before="0"/>
        <w:ind w:left="0" w:firstLine="367" w:firstLineChars="175"/>
        <w:textAlignment w:val="baseline"/>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w:t>
      </w:r>
      <w:r>
        <w:rPr>
          <w:rFonts w:hint="eastAsia" w:ascii="宋体" w:hAnsi="宋体" w:cs="宋体"/>
          <w:color w:val="auto"/>
          <w:kern w:val="2"/>
          <w:sz w:val="21"/>
          <w:szCs w:val="21"/>
          <w:highlight w:val="none"/>
          <w:lang w:val="en-US" w:eastAsia="zh-CN"/>
        </w:rPr>
        <w:t>.合同价格</w:t>
      </w:r>
      <w:r>
        <w:rPr>
          <w:rFonts w:hint="eastAsia" w:ascii="宋体" w:hAnsi="宋体" w:eastAsia="宋体" w:cs="宋体"/>
          <w:color w:val="auto"/>
          <w:kern w:val="2"/>
          <w:sz w:val="21"/>
          <w:szCs w:val="21"/>
          <w:highlight w:val="none"/>
          <w:lang w:val="en-US" w:eastAsia="zh-CN"/>
        </w:rPr>
        <w:t>中</w:t>
      </w:r>
      <w:r>
        <w:rPr>
          <w:rFonts w:hint="eastAsia" w:ascii="宋体" w:hAnsi="宋体" w:cs="宋体"/>
          <w:color w:val="auto"/>
          <w:kern w:val="2"/>
          <w:sz w:val="21"/>
          <w:szCs w:val="21"/>
          <w:highlight w:val="none"/>
          <w:lang w:val="en-US" w:eastAsia="zh-CN"/>
        </w:rPr>
        <w:t>已</w:t>
      </w:r>
      <w:r>
        <w:rPr>
          <w:rFonts w:hint="eastAsia" w:ascii="宋体" w:hAnsi="宋体" w:eastAsia="宋体" w:cs="宋体"/>
          <w:color w:val="auto"/>
          <w:kern w:val="2"/>
          <w:sz w:val="21"/>
          <w:szCs w:val="21"/>
          <w:highlight w:val="none"/>
          <w:lang w:val="en-US" w:eastAsia="zh-CN"/>
        </w:rPr>
        <w:t>含春节或节假日施工费用。</w:t>
      </w:r>
    </w:p>
    <w:p w14:paraId="254671E1">
      <w:pPr>
        <w:widowControl w:val="0"/>
        <w:numPr>
          <w:ilvl w:val="0"/>
          <w:numId w:val="0"/>
        </w:numPr>
        <w:spacing w:before="0"/>
        <w:ind w:left="0" w:firstLine="367" w:firstLineChars="175"/>
        <w:textAlignment w:val="baseline"/>
        <w:rPr>
          <w:rFonts w:hint="eastAsia"/>
          <w:color w:val="auto"/>
          <w:szCs w:val="21"/>
          <w:highlight w:val="none"/>
        </w:rPr>
      </w:pPr>
      <w:r>
        <w:rPr>
          <w:rFonts w:hint="eastAsia" w:ascii="宋体" w:hAnsi="宋体" w:cs="宋体"/>
          <w:color w:val="auto"/>
          <w:kern w:val="2"/>
          <w:sz w:val="21"/>
          <w:szCs w:val="21"/>
          <w:highlight w:val="none"/>
          <w:lang w:val="en-US" w:eastAsia="zh-CN"/>
        </w:rPr>
        <w:t>11.</w:t>
      </w:r>
      <w:r>
        <w:rPr>
          <w:rFonts w:hint="eastAsia"/>
          <w:color w:val="auto"/>
          <w:szCs w:val="21"/>
          <w:highlight w:val="none"/>
        </w:rPr>
        <w:t>保险购买要求</w:t>
      </w:r>
    </w:p>
    <w:p w14:paraId="6EB16A81">
      <w:pPr>
        <w:widowControl w:val="0"/>
        <w:numPr>
          <w:ilvl w:val="0"/>
          <w:numId w:val="0"/>
        </w:numPr>
        <w:spacing w:before="0"/>
        <w:ind w:left="0" w:firstLine="367" w:firstLineChars="175"/>
        <w:textAlignment w:val="baseline"/>
        <w:rPr>
          <w:rFonts w:hint="eastAsia"/>
          <w:color w:val="auto"/>
          <w:szCs w:val="21"/>
          <w:highlight w:val="none"/>
        </w:rPr>
      </w:pPr>
      <w:r>
        <w:rPr>
          <w:rFonts w:hint="eastAsia"/>
          <w:color w:val="auto"/>
          <w:szCs w:val="21"/>
          <w:highlight w:val="none"/>
        </w:rPr>
        <w:t>（1）乙方应依甲方施工要求配备具有相应资质及从业资格的工作人员，并依法为全部进场施工人员缴纳工伤保险，同时投保人身意外伤害商业保险。该商业保险项下，被保险人因意外伤害导致身故的保险赔付金额不得低于人民币</w:t>
      </w:r>
      <w:r>
        <w:rPr>
          <w:rFonts w:hint="eastAsia"/>
          <w:color w:val="auto"/>
          <w:szCs w:val="21"/>
          <w:highlight w:val="none"/>
          <w:lang w:eastAsia="zh-CN"/>
        </w:rPr>
        <w:t>1</w:t>
      </w:r>
      <w:r>
        <w:rPr>
          <w:rFonts w:hint="eastAsia"/>
          <w:color w:val="auto"/>
          <w:szCs w:val="21"/>
          <w:highlight w:val="none"/>
          <w:lang w:val="en-US" w:eastAsia="zh-CN"/>
        </w:rPr>
        <w:t>00</w:t>
      </w:r>
      <w:r>
        <w:rPr>
          <w:rFonts w:hint="eastAsia"/>
          <w:color w:val="auto"/>
          <w:szCs w:val="21"/>
          <w:highlight w:val="none"/>
        </w:rPr>
        <w:t>万元/人。</w:t>
      </w:r>
    </w:p>
    <w:p w14:paraId="35E78055">
      <w:pPr>
        <w:widowControl w:val="0"/>
        <w:numPr>
          <w:ilvl w:val="0"/>
          <w:numId w:val="0"/>
        </w:numPr>
        <w:spacing w:before="0"/>
        <w:ind w:left="0" w:firstLine="367" w:firstLineChars="175"/>
        <w:textAlignment w:val="baseline"/>
        <w:rPr>
          <w:rFonts w:hint="eastAsia"/>
          <w:color w:val="auto"/>
          <w:szCs w:val="21"/>
          <w:highlight w:val="none"/>
        </w:rPr>
      </w:pPr>
      <w:r>
        <w:rPr>
          <w:rFonts w:hint="eastAsia"/>
          <w:color w:val="auto"/>
          <w:szCs w:val="21"/>
          <w:highlight w:val="none"/>
        </w:rPr>
        <w:t>（2）上述两项保险的保险期间应完整覆盖本合同有效期及本工程全部工期，包括但不限于进场准备、现场施工作业及退场收尾等全部阶段。保险费用已计入本合同服务费总价，由乙方承担，甲方不再另行支付。</w:t>
      </w:r>
    </w:p>
    <w:p w14:paraId="265458FF">
      <w:pPr>
        <w:widowControl w:val="0"/>
        <w:numPr>
          <w:ilvl w:val="0"/>
          <w:numId w:val="0"/>
        </w:numPr>
        <w:spacing w:before="0"/>
        <w:ind w:left="0" w:firstLine="367" w:firstLineChars="175"/>
        <w:textAlignment w:val="baseline"/>
        <w:rPr>
          <w:rFonts w:hint="eastAsia"/>
          <w:color w:val="auto"/>
          <w:szCs w:val="21"/>
          <w:highlight w:val="none"/>
        </w:rPr>
      </w:pPr>
      <w:r>
        <w:rPr>
          <w:rFonts w:hint="eastAsia"/>
          <w:color w:val="auto"/>
          <w:szCs w:val="21"/>
          <w:highlight w:val="none"/>
        </w:rPr>
        <w:t>（3）进场前强制投保义务。乙方人员进场施工前，须先行完成本条第11.1款约定之两项保险投保手续，并向甲方提交合法有效的保险购买凭证（包括但不限于保单、保险发票、被保险人清单等）。进场人员须与保单载明之被保险人员一一对应，未投保人员或投保金额不足人员一律禁止进场作业。</w:t>
      </w:r>
    </w:p>
    <w:p w14:paraId="7FF1C5BD">
      <w:pPr>
        <w:widowControl w:val="0"/>
        <w:numPr>
          <w:ilvl w:val="0"/>
          <w:numId w:val="0"/>
        </w:numPr>
        <w:spacing w:before="0"/>
        <w:ind w:left="0" w:firstLine="367" w:firstLineChars="175"/>
        <w:textAlignment w:val="baseline"/>
        <w:rPr>
          <w:rFonts w:hint="eastAsia"/>
          <w:color w:val="auto"/>
          <w:szCs w:val="21"/>
          <w:highlight w:val="none"/>
        </w:rPr>
      </w:pPr>
      <w:r>
        <w:rPr>
          <w:rFonts w:hint="eastAsia"/>
          <w:color w:val="auto"/>
          <w:szCs w:val="21"/>
          <w:highlight w:val="none"/>
        </w:rPr>
        <w:t>（4）保险期间届满前，若因工程工期顺延导致保险期间不足以覆盖全部作业周期的，乙方应于原保险期间届满前至少三个工作日办理续保手续，并将更新后的保险凭证报送甲方备案，严禁脱保、漏保或保险空档期间施工作业。</w:t>
      </w:r>
    </w:p>
    <w:p w14:paraId="1FADB382">
      <w:pPr>
        <w:widowControl w:val="0"/>
        <w:numPr>
          <w:ilvl w:val="0"/>
          <w:numId w:val="0"/>
        </w:numPr>
        <w:spacing w:before="0"/>
        <w:ind w:left="0" w:firstLine="367" w:firstLineChars="175"/>
        <w:textAlignment w:val="baseline"/>
        <w:rPr>
          <w:rFonts w:hint="eastAsia"/>
          <w:color w:val="auto"/>
          <w:szCs w:val="21"/>
          <w:highlight w:val="none"/>
        </w:rPr>
      </w:pPr>
      <w:r>
        <w:rPr>
          <w:rFonts w:hint="eastAsia"/>
          <w:color w:val="auto"/>
          <w:szCs w:val="21"/>
          <w:highlight w:val="none"/>
        </w:rPr>
        <w:t>（5）施工作业人员发生增减或变动的，乙方应于变动发生后一个工作日内完成保险人员信息变更手续，并将变更后的保单凭证报送甲方，确保全部在场作业人员始终处于有效保险覆盖之下。</w:t>
      </w:r>
    </w:p>
    <w:p w14:paraId="5001CEBA">
      <w:pPr>
        <w:widowControl w:val="0"/>
        <w:numPr>
          <w:ilvl w:val="0"/>
          <w:numId w:val="0"/>
        </w:numPr>
        <w:spacing w:before="0"/>
        <w:ind w:left="0" w:firstLine="367" w:firstLineChars="175"/>
        <w:textAlignment w:val="baseline"/>
        <w:rPr>
          <w:rFonts w:hint="eastAsia"/>
          <w:color w:val="auto"/>
          <w:highlight w:val="none"/>
        </w:rPr>
      </w:pPr>
      <w:r>
        <w:rPr>
          <w:rFonts w:hint="eastAsia"/>
          <w:color w:val="auto"/>
          <w:szCs w:val="21"/>
          <w:highlight w:val="none"/>
        </w:rPr>
        <w:t>（6）乙方违反本条任一约定的，甲方有权拒绝乙方或相关未投保人员进场施工，并有权要求乙方限期整改。因乙方未依法投保或保险不符合约定导致的一切法律责任及经济损失，均由乙方承担。乙方限期未整改的，甲方有权要求解除本合同，并要求乙方支付相当于该合同金额20%的违约金，如还违约金不足以覆盖甲方的全部损失，甲方有权继续追偿。</w:t>
      </w:r>
    </w:p>
    <w:p w14:paraId="5907D26F">
      <w:pPr>
        <w:bidi w:val="0"/>
        <w:rPr>
          <w:rFonts w:hint="eastAsia" w:ascii="宋体" w:hAnsi="宋体" w:eastAsia="宋体" w:cs="宋体"/>
          <w:b/>
          <w:bCs/>
          <w:color w:val="auto"/>
          <w:kern w:val="2"/>
          <w:szCs w:val="21"/>
          <w:highlight w:val="none"/>
        </w:rPr>
      </w:pPr>
      <w:bookmarkStart w:id="183" w:name="_Toc29484"/>
      <w:r>
        <w:rPr>
          <w:rFonts w:hint="eastAsia" w:ascii="宋体" w:hAnsi="宋体" w:eastAsia="宋体" w:cs="宋体"/>
          <w:b/>
          <w:bCs/>
          <w:color w:val="auto"/>
          <w:highlight w:val="none"/>
          <w:lang w:val="en-US" w:eastAsia="zh-CN"/>
        </w:rPr>
        <w:t>八、施工现场管理：</w:t>
      </w:r>
      <w:bookmarkEnd w:id="183"/>
    </w:p>
    <w:p w14:paraId="3A66686F">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锅炉与尾气大修期间必须配备常驻现场技术管理人员，并配备专职安全管理人员。乙方需及时清理自身施工区域的施工垃圾，做到工完场清，若由于乙方的原因没有及时清运施工垃圾，甲方有权清理或有权委托第三方清理，因此产生的费用和责任全部由乙方承担，甲方有权从工程款中直接扣减。</w:t>
      </w:r>
    </w:p>
    <w:p w14:paraId="17D49ECB">
      <w:pPr>
        <w:widowControl/>
        <w:spacing w:before="0" w:beforeAutospacing="0" w:after="0" w:afterAutospacing="0" w:line="360" w:lineRule="auto"/>
        <w:ind w:left="0" w:right="0"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2.乙方确定的现场负责人必须随时配合参加业主、监理及甲方组织的有关施工生产、安全、质量等方面的例会，对于乙方人员无故迟到、缺席，甲方将视情节给予处罚。</w:t>
      </w:r>
    </w:p>
    <w:p w14:paraId="249AFA6D">
      <w:pPr>
        <w:bidi w:val="0"/>
        <w:rPr>
          <w:rFonts w:hint="eastAsia" w:ascii="宋体" w:hAnsi="宋体" w:eastAsia="宋体" w:cs="宋体"/>
          <w:b/>
          <w:bCs/>
          <w:color w:val="auto"/>
          <w:kern w:val="2"/>
          <w:szCs w:val="21"/>
          <w:highlight w:val="none"/>
        </w:rPr>
      </w:pPr>
      <w:bookmarkStart w:id="184" w:name="_Toc25950"/>
      <w:r>
        <w:rPr>
          <w:rFonts w:hint="eastAsia" w:ascii="宋体" w:hAnsi="宋体" w:eastAsia="宋体" w:cs="宋体"/>
          <w:b/>
          <w:bCs/>
          <w:color w:val="auto"/>
          <w:highlight w:val="none"/>
          <w:lang w:val="en-US" w:eastAsia="zh-CN"/>
        </w:rPr>
        <w:t>九、其它规定：</w:t>
      </w:r>
      <w:bookmarkEnd w:id="184"/>
    </w:p>
    <w:p w14:paraId="5BA32711">
      <w:pPr>
        <w:widowControl w:val="0"/>
        <w:spacing w:before="0" w:beforeAutospacing="0" w:after="0" w:afterAutospacing="0" w:line="360" w:lineRule="auto"/>
        <w:ind w:left="0" w:right="0" w:firstLine="367" w:firstLineChars="175"/>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1.合同执行期间，因乙方责任造成甲方或第三方损失，所有损失由乙方完全负责。</w:t>
      </w:r>
    </w:p>
    <w:p w14:paraId="78AA6BFD">
      <w:pPr>
        <w:widowControl w:val="0"/>
        <w:spacing w:before="0" w:beforeAutospacing="0" w:after="0" w:afterAutospacing="0" w:line="360" w:lineRule="auto"/>
        <w:ind w:left="0" w:right="0" w:firstLine="367" w:firstLineChars="175"/>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锅炉施工部分（常规项目及特殊项目），除施工过程中发现施工现场有重大的缺陷、甲方接受工程延期外，因乙方原因造成工程延期，每超期一日按壹万元罚款；甲方有权单方终止合同，每次大修后根据情况进行履约评价（附件3），评价不合格的甲方有权单方终止合同。</w:t>
      </w:r>
    </w:p>
    <w:p w14:paraId="5BDC8464">
      <w:pPr>
        <w:widowControl w:val="0"/>
        <w:spacing w:before="0" w:beforeAutospacing="0" w:after="0" w:afterAutospacing="0" w:line="360" w:lineRule="auto"/>
        <w:ind w:left="0" w:right="0" w:firstLine="367" w:firstLineChars="175"/>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3.因脚手架搭拆工作属特种高危作业，施工前脚手架搭拆班组须经甲方审核后方可进厂施工，乙方如若未按上述执行，一切后果由乙方承担。</w:t>
      </w:r>
    </w:p>
    <w:p w14:paraId="6285B54F">
      <w:pPr>
        <w:widowControl w:val="0"/>
        <w:spacing w:before="0" w:beforeAutospacing="0" w:after="0" w:afterAutospacing="0" w:line="360" w:lineRule="auto"/>
        <w:ind w:left="0" w:right="0" w:firstLine="367" w:firstLineChars="175"/>
        <w:jc w:val="both"/>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乙方在承包工程服务中，实施总承包的施工单位不得将工程转包和分包给不具备安全生产条件的或者相应资质的单位和个人；乙方进行分包的，乙方应确保分包人具有相应的资质和能力，并取得甲方同意。工程分包不减轻或免除乙方的责任和义务，乙方和分包人就分包工程向</w:t>
      </w:r>
      <w:r>
        <w:rPr>
          <w:rFonts w:hint="eastAsia" w:ascii="宋体" w:hAnsi="宋体" w:cs="宋体"/>
          <w:color w:val="auto"/>
          <w:kern w:val="2"/>
          <w:sz w:val="21"/>
          <w:szCs w:val="21"/>
          <w:highlight w:val="none"/>
          <w:lang w:val="en-US" w:eastAsia="zh-CN"/>
        </w:rPr>
        <w:t>甲方</w:t>
      </w:r>
      <w:r>
        <w:rPr>
          <w:rFonts w:hint="eastAsia" w:ascii="宋体" w:hAnsi="宋体" w:eastAsia="宋体" w:cs="宋体"/>
          <w:color w:val="auto"/>
          <w:kern w:val="2"/>
          <w:sz w:val="21"/>
          <w:szCs w:val="21"/>
          <w:highlight w:val="none"/>
          <w:lang w:val="en-US" w:eastAsia="zh-CN"/>
        </w:rPr>
        <w:t>承担连带责任。</w:t>
      </w:r>
    </w:p>
    <w:p w14:paraId="5C61FCD2">
      <w:pPr>
        <w:widowControl w:val="0"/>
        <w:spacing w:before="0"/>
        <w:ind w:left="0" w:firstLine="367" w:firstLineChars="175"/>
        <w:jc w:val="both"/>
        <w:rPr>
          <w:rFonts w:hint="eastAsia" w:ascii="宋体" w:hAnsi="宋体" w:cs="宋体"/>
          <w:color w:val="auto"/>
          <w:kern w:val="2"/>
          <w:szCs w:val="21"/>
          <w:highlight w:val="none"/>
          <w:lang w:val="en-US"/>
        </w:rPr>
      </w:pPr>
      <w:r>
        <w:rPr>
          <w:rFonts w:hint="eastAsia" w:cs="宋体"/>
          <w:color w:val="auto"/>
          <w:kern w:val="2"/>
          <w:sz w:val="21"/>
          <w:szCs w:val="21"/>
          <w:highlight w:val="none"/>
          <w:lang w:val="en-US" w:eastAsia="zh-CN"/>
        </w:rPr>
        <w:t>5.乙方人员进场前，乙方应</w:t>
      </w:r>
      <w:r>
        <w:rPr>
          <w:rFonts w:hint="eastAsia" w:ascii="宋体" w:hAnsi="宋体" w:cs="宋体"/>
          <w:color w:val="auto"/>
          <w:kern w:val="2"/>
          <w:sz w:val="21"/>
          <w:szCs w:val="21"/>
          <w:highlight w:val="none"/>
          <w:lang w:val="en-US" w:eastAsia="zh-CN"/>
        </w:rPr>
        <w:t>至少提前7个工作日将其</w:t>
      </w:r>
      <w:r>
        <w:rPr>
          <w:rFonts w:hint="eastAsia" w:ascii="宋体" w:hAnsi="宋体" w:cs="宋体"/>
          <w:color w:val="auto"/>
          <w:kern w:val="2"/>
          <w:sz w:val="21"/>
          <w:szCs w:val="21"/>
          <w:highlight w:val="none"/>
        </w:rPr>
        <w:t>具有的相关证件原件送</w:t>
      </w:r>
      <w:r>
        <w:rPr>
          <w:rFonts w:hint="eastAsia" w:ascii="宋体" w:hAnsi="宋体" w:cs="宋体"/>
          <w:color w:val="auto"/>
          <w:kern w:val="2"/>
          <w:sz w:val="21"/>
          <w:szCs w:val="21"/>
          <w:highlight w:val="none"/>
          <w:lang w:val="en-US" w:eastAsia="zh-CN"/>
        </w:rPr>
        <w:t>甲方</w:t>
      </w:r>
      <w:r>
        <w:rPr>
          <w:rFonts w:hint="eastAsia" w:ascii="宋体" w:hAnsi="宋体" w:cs="宋体"/>
          <w:color w:val="auto"/>
          <w:kern w:val="2"/>
          <w:sz w:val="21"/>
          <w:szCs w:val="21"/>
          <w:highlight w:val="none"/>
        </w:rPr>
        <w:t>核验</w:t>
      </w:r>
      <w:r>
        <w:rPr>
          <w:rFonts w:hint="eastAsia" w:ascii="宋体" w:hAnsi="宋体" w:cs="宋体"/>
          <w:color w:val="auto"/>
          <w:kern w:val="2"/>
          <w:sz w:val="21"/>
          <w:szCs w:val="21"/>
          <w:highlight w:val="none"/>
          <w:lang w:val="en-US" w:eastAsia="zh-CN"/>
        </w:rPr>
        <w:t>确认</w:t>
      </w:r>
      <w:r>
        <w:rPr>
          <w:rFonts w:hint="eastAsia" w:ascii="宋体" w:hAnsi="宋体" w:cs="宋体"/>
          <w:color w:val="auto"/>
          <w:kern w:val="2"/>
          <w:sz w:val="21"/>
          <w:szCs w:val="21"/>
          <w:highlight w:val="none"/>
        </w:rPr>
        <w:t>。</w:t>
      </w:r>
      <w:r>
        <w:rPr>
          <w:rFonts w:hint="eastAsia" w:ascii="宋体" w:hAnsi="宋体" w:cs="宋体"/>
          <w:color w:val="auto"/>
          <w:kern w:val="2"/>
          <w:sz w:val="21"/>
          <w:szCs w:val="21"/>
          <w:highlight w:val="none"/>
          <w:lang w:val="en-US" w:eastAsia="zh-CN"/>
        </w:rPr>
        <w:t>乙方投标时承诺的拟投人员须投入本项目，如因客观情况须变更进场人员，乙方应至少提前7个工作日向甲方办理变更申请手续并经甲方同意，且乙方更换后人员的数量和标准不得低于投标文件及本合同约定的标准，否则乙方应按本合同第十三条约定承担违约责任。</w:t>
      </w:r>
    </w:p>
    <w:p w14:paraId="252603EB">
      <w:pPr>
        <w:bidi w:val="0"/>
        <w:rPr>
          <w:rFonts w:hint="eastAsia" w:ascii="宋体" w:hAnsi="宋体" w:eastAsia="宋体" w:cs="宋体"/>
          <w:b/>
          <w:bCs/>
          <w:color w:val="auto"/>
          <w:highlight w:val="none"/>
          <w:lang w:val="en-US" w:eastAsia="zh-CN"/>
        </w:rPr>
      </w:pPr>
      <w:bookmarkStart w:id="185" w:name="_Toc6122"/>
      <w:r>
        <w:rPr>
          <w:rFonts w:hint="eastAsia" w:ascii="宋体" w:hAnsi="宋体" w:eastAsia="宋体" w:cs="宋体"/>
          <w:b/>
          <w:bCs/>
          <w:color w:val="auto"/>
          <w:highlight w:val="none"/>
          <w:lang w:val="en-US" w:eastAsia="zh-CN"/>
        </w:rPr>
        <w:t>十、合同价款的支付与结算</w:t>
      </w:r>
      <w:bookmarkEnd w:id="185"/>
    </w:p>
    <w:p w14:paraId="58965881">
      <w:pPr>
        <w:pStyle w:val="10"/>
        <w:spacing w:before="0"/>
        <w:ind w:left="0" w:firstLine="420" w:firstLineChars="200"/>
        <w:rPr>
          <w:rFonts w:hint="eastAsia"/>
          <w:color w:val="auto"/>
          <w:kern w:val="2"/>
          <w:sz w:val="21"/>
          <w:szCs w:val="21"/>
          <w:highlight w:val="none"/>
          <w:lang w:val="en-US" w:bidi="ar-SA"/>
        </w:rPr>
      </w:pPr>
      <w:r>
        <w:rPr>
          <w:rFonts w:hint="eastAsia"/>
          <w:color w:val="auto"/>
          <w:kern w:val="2"/>
          <w:sz w:val="21"/>
          <w:szCs w:val="21"/>
          <w:highlight w:val="none"/>
          <w:lang w:val="en-US" w:eastAsia="zh-CN" w:bidi="ar-SA"/>
        </w:rPr>
        <w:t>1</w:t>
      </w:r>
      <w:r>
        <w:rPr>
          <w:rFonts w:hint="eastAsia"/>
          <w:color w:val="auto"/>
          <w:kern w:val="2"/>
          <w:sz w:val="21"/>
          <w:szCs w:val="21"/>
          <w:highlight w:val="none"/>
          <w:lang w:val="en-US" w:bidi="ar-SA"/>
        </w:rPr>
        <w:t>.</w:t>
      </w:r>
      <w:r>
        <w:rPr>
          <w:rFonts w:hint="eastAsia"/>
          <w:color w:val="auto"/>
          <w:kern w:val="2"/>
          <w:sz w:val="21"/>
          <w:szCs w:val="21"/>
          <w:highlight w:val="none"/>
          <w:lang w:val="en-US" w:eastAsia="zh-CN" w:bidi="ar-SA"/>
        </w:rPr>
        <w:t>乙方在采购合同签署之日起7个日历日</w:t>
      </w:r>
      <w:r>
        <w:rPr>
          <w:rFonts w:hint="eastAsia"/>
          <w:color w:val="auto"/>
          <w:kern w:val="2"/>
          <w:sz w:val="21"/>
          <w:szCs w:val="21"/>
          <w:highlight w:val="none"/>
          <w:lang w:val="en-US" w:bidi="ar-SA"/>
        </w:rPr>
        <w:t>内向采购人提交履约担保，担保形式为不可撤销银行保函或履约保证金，金额为暂定合同金额的10%（即￥1,400,000.00元）。履约担保有效期应覆盖自合同签订之日起至项目服务期满、验收合格并完成结算后，双方签字之日起7天内保持有效。</w:t>
      </w:r>
    </w:p>
    <w:p w14:paraId="2B76240E">
      <w:pPr>
        <w:pStyle w:val="10"/>
        <w:spacing w:before="0"/>
        <w:ind w:left="0" w:firstLine="420" w:firstLineChars="200"/>
        <w:rPr>
          <w:rFonts w:hint="eastAsia"/>
          <w:color w:val="auto"/>
          <w:kern w:val="2"/>
          <w:sz w:val="21"/>
          <w:szCs w:val="21"/>
          <w:highlight w:val="none"/>
          <w:lang w:val="en-US" w:eastAsia="zh-CN" w:bidi="ar-SA"/>
        </w:rPr>
      </w:pPr>
      <w:r>
        <w:rPr>
          <w:rFonts w:hint="eastAsia"/>
          <w:color w:val="auto"/>
          <w:kern w:val="2"/>
          <w:sz w:val="21"/>
          <w:szCs w:val="21"/>
          <w:highlight w:val="none"/>
          <w:lang w:val="en-US" w:bidi="ar-SA"/>
        </w:rPr>
        <w:t>履约担保</w:t>
      </w:r>
      <w:r>
        <w:rPr>
          <w:rFonts w:hint="eastAsia" w:ascii="宋体" w:hAnsi="宋体" w:eastAsia="宋体" w:cs="宋体"/>
          <w:color w:val="auto"/>
          <w:sz w:val="21"/>
          <w:szCs w:val="21"/>
          <w:highlight w:val="none"/>
        </w:rPr>
        <w:t>作为乙方在履约过程中违约金、罚款或其他应承担费用的扣罚来源之一。履约保证金返还申请时间为本项目合同履行完毕后，甲方最后一次验收合格之日，乙方在没有任何违约的情况下提交退款申请，收到乙方申请后30个日历日内，甲方一次性无息退回</w:t>
      </w:r>
      <w:r>
        <w:rPr>
          <w:rFonts w:hint="eastAsia"/>
          <w:color w:val="auto"/>
          <w:kern w:val="2"/>
          <w:sz w:val="21"/>
          <w:szCs w:val="21"/>
          <w:highlight w:val="none"/>
          <w:lang w:val="en-US" w:bidi="ar-SA"/>
        </w:rPr>
        <w:t>。若本合同因乙方违约导致提前终止或解除，甲方有权没收履约保证金（或向银行申请索赔，乙方不得以任何理由要求甲方退回相关款项）</w:t>
      </w:r>
      <w:r>
        <w:rPr>
          <w:rFonts w:hint="eastAsia"/>
          <w:color w:val="auto"/>
          <w:kern w:val="2"/>
          <w:sz w:val="21"/>
          <w:szCs w:val="21"/>
          <w:highlight w:val="none"/>
          <w:lang w:val="en-US" w:eastAsia="zh-CN" w:bidi="ar-SA"/>
        </w:rPr>
        <w:t>。</w:t>
      </w:r>
    </w:p>
    <w:p w14:paraId="3C9DA32E">
      <w:pPr>
        <w:pStyle w:val="10"/>
        <w:spacing w:before="0"/>
        <w:ind w:left="0" w:firstLine="420" w:firstLineChars="200"/>
        <w:rPr>
          <w:rFonts w:hint="eastAsia" w:eastAsia="宋体"/>
          <w:color w:val="auto"/>
          <w:kern w:val="2"/>
          <w:sz w:val="21"/>
          <w:szCs w:val="21"/>
          <w:highlight w:val="none"/>
          <w:lang w:val="en-US" w:eastAsia="zh-CN" w:bidi="ar-SA"/>
        </w:rPr>
      </w:pPr>
      <w:r>
        <w:rPr>
          <w:rFonts w:hint="eastAsia"/>
          <w:color w:val="auto"/>
          <w:kern w:val="2"/>
          <w:sz w:val="21"/>
          <w:szCs w:val="21"/>
          <w:highlight w:val="none"/>
          <w:lang w:val="en-US" w:bidi="ar-SA"/>
        </w:rPr>
        <w:t>乙方未在合同约定的期限向甲方提交银行保函或履约保证金的，甲方的付款时间可相对顺延</w:t>
      </w:r>
      <w:r>
        <w:rPr>
          <w:rFonts w:hint="eastAsia"/>
          <w:color w:val="auto"/>
          <w:kern w:val="2"/>
          <w:sz w:val="21"/>
          <w:szCs w:val="21"/>
          <w:highlight w:val="none"/>
          <w:lang w:val="en-US" w:eastAsia="zh-CN" w:bidi="ar-SA"/>
        </w:rPr>
        <w:t>。</w:t>
      </w:r>
    </w:p>
    <w:p w14:paraId="28A8E8A8">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lang w:eastAsia="zh-CN"/>
        </w:rPr>
      </w:pPr>
      <w:r>
        <w:rPr>
          <w:rFonts w:hint="eastAsia" w:ascii="宋体" w:hAnsi="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lang w:val="en-US" w:eastAsia="zh-CN"/>
        </w:rPr>
        <w:t>合同价款:本工程承包方式采用“</w:t>
      </w:r>
      <w:r>
        <w:rPr>
          <w:rFonts w:hint="eastAsia" w:ascii="宋体" w:hAnsi="宋体" w:eastAsia="宋体" w:cs="宋体"/>
          <w:color w:val="auto"/>
          <w:highlight w:val="none"/>
          <w:lang w:val="en-US" w:eastAsia="zh-CN"/>
        </w:rPr>
        <w:t>常规项</w:t>
      </w:r>
      <w:r>
        <w:rPr>
          <w:rFonts w:hint="eastAsia" w:ascii="宋体" w:hAnsi="宋体" w:eastAsia="宋体" w:cs="宋体"/>
          <w:color w:val="auto"/>
          <w:kern w:val="2"/>
          <w:sz w:val="21"/>
          <w:szCs w:val="21"/>
          <w:highlight w:val="none"/>
          <w:lang w:val="en-US" w:eastAsia="zh-CN"/>
        </w:rPr>
        <w:t>价格包干，其它项（特殊项与日常项）按实结算”，合同</w:t>
      </w:r>
      <w:r>
        <w:rPr>
          <w:rFonts w:hint="eastAsia" w:ascii="宋体" w:hAnsi="宋体" w:cs="宋体"/>
          <w:color w:val="auto"/>
          <w:kern w:val="2"/>
          <w:sz w:val="21"/>
          <w:szCs w:val="21"/>
          <w:highlight w:val="none"/>
          <w:lang w:val="en-US" w:eastAsia="zh-CN"/>
        </w:rPr>
        <w:t>单</w:t>
      </w:r>
      <w:r>
        <w:rPr>
          <w:rFonts w:hint="eastAsia" w:ascii="宋体" w:hAnsi="宋体" w:eastAsia="宋体" w:cs="宋体"/>
          <w:color w:val="auto"/>
          <w:kern w:val="2"/>
          <w:sz w:val="21"/>
          <w:szCs w:val="21"/>
          <w:highlight w:val="none"/>
          <w:lang w:val="en-US" w:eastAsia="zh-CN"/>
        </w:rPr>
        <w:t>年度含税暂定</w:t>
      </w:r>
      <w:r>
        <w:rPr>
          <w:rFonts w:hint="eastAsia" w:ascii="宋体" w:hAnsi="宋体" w:cs="宋体"/>
          <w:color w:val="auto"/>
          <w:kern w:val="2"/>
          <w:sz w:val="21"/>
          <w:szCs w:val="21"/>
          <w:highlight w:val="none"/>
          <w:lang w:val="en-US" w:eastAsia="zh-CN"/>
        </w:rPr>
        <w:t>预算</w:t>
      </w:r>
      <w:r>
        <w:rPr>
          <w:rFonts w:hint="eastAsia" w:ascii="宋体" w:hAnsi="宋体" w:eastAsia="宋体" w:cs="宋体"/>
          <w:color w:val="auto"/>
          <w:kern w:val="2"/>
          <w:sz w:val="21"/>
          <w:szCs w:val="21"/>
          <w:highlight w:val="none"/>
          <w:lang w:val="en-US" w:eastAsia="zh-CN"/>
        </w:rPr>
        <w:t>为￥</w:t>
      </w:r>
      <w:r>
        <w:rPr>
          <w:rFonts w:hint="eastAsia" w:ascii="宋体" w:hAnsi="宋体" w:cs="宋体"/>
          <w:color w:val="auto"/>
          <w:kern w:val="2"/>
          <w:sz w:val="21"/>
          <w:szCs w:val="21"/>
          <w:highlight w:val="none"/>
          <w:u w:val="single"/>
          <w:lang w:val="en-US" w:eastAsia="zh-CN"/>
        </w:rPr>
        <w:t>7,000,000.00</w:t>
      </w:r>
      <w:r>
        <w:rPr>
          <w:rFonts w:hint="eastAsia" w:ascii="宋体" w:hAnsi="宋体" w:eastAsia="宋体" w:cs="宋体"/>
          <w:color w:val="auto"/>
          <w:kern w:val="2"/>
          <w:sz w:val="21"/>
          <w:szCs w:val="21"/>
          <w:highlight w:val="none"/>
          <w:lang w:val="en-US" w:eastAsia="zh-CN"/>
        </w:rPr>
        <w:t>元</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合同暂定</w:t>
      </w:r>
      <w:r>
        <w:rPr>
          <w:rFonts w:hint="eastAsia" w:ascii="宋体" w:hAnsi="宋体" w:cs="宋体"/>
          <w:color w:val="auto"/>
          <w:kern w:val="2"/>
          <w:sz w:val="21"/>
          <w:szCs w:val="21"/>
          <w:highlight w:val="none"/>
          <w:lang w:val="en-US" w:eastAsia="zh-CN"/>
        </w:rPr>
        <w:t>总额</w:t>
      </w:r>
      <w:r>
        <w:rPr>
          <w:rFonts w:hint="eastAsia" w:ascii="宋体" w:hAnsi="宋体" w:eastAsia="宋体" w:cs="宋体"/>
          <w:color w:val="auto"/>
          <w:kern w:val="2"/>
          <w:sz w:val="21"/>
          <w:szCs w:val="21"/>
          <w:highlight w:val="none"/>
          <w:lang w:val="en-US" w:eastAsia="zh-CN"/>
        </w:rPr>
        <w:t>为￥</w:t>
      </w:r>
      <w:r>
        <w:rPr>
          <w:rFonts w:hint="eastAsia" w:ascii="宋体" w:hAnsi="宋体" w:cs="宋体"/>
          <w:color w:val="auto"/>
          <w:kern w:val="2"/>
          <w:sz w:val="21"/>
          <w:szCs w:val="21"/>
          <w:highlight w:val="none"/>
          <w:lang w:val="en-US" w:eastAsia="zh-CN"/>
        </w:rPr>
        <w:t>14</w:t>
      </w:r>
      <w:r>
        <w:rPr>
          <w:rFonts w:hint="eastAsia" w:ascii="宋体" w:hAnsi="宋体" w:eastAsia="宋体" w:cs="宋体"/>
          <w:color w:val="auto"/>
          <w:kern w:val="2"/>
          <w:sz w:val="21"/>
          <w:szCs w:val="21"/>
          <w:highlight w:val="none"/>
          <w:lang w:val="en-US" w:eastAsia="zh-CN"/>
        </w:rPr>
        <w:t>,000,000.00元(</w:t>
      </w:r>
      <w:r>
        <w:rPr>
          <w:rFonts w:hint="eastAsia" w:ascii="宋体" w:hAnsi="宋体" w:cs="宋体"/>
          <w:color w:val="auto"/>
          <w:kern w:val="2"/>
          <w:sz w:val="21"/>
          <w:szCs w:val="21"/>
          <w:highlight w:val="none"/>
          <w:lang w:val="en-US" w:eastAsia="zh-CN"/>
        </w:rPr>
        <w:t>以上价格均</w:t>
      </w:r>
      <w:r>
        <w:rPr>
          <w:rFonts w:hint="eastAsia" w:ascii="宋体" w:hAnsi="宋体" w:eastAsia="宋体" w:cs="宋体"/>
          <w:color w:val="auto"/>
          <w:kern w:val="2"/>
          <w:sz w:val="21"/>
          <w:szCs w:val="21"/>
          <w:highlight w:val="none"/>
          <w:lang w:val="en-US" w:eastAsia="zh-CN"/>
        </w:rPr>
        <w:t>含</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%增值税)</w:t>
      </w:r>
      <w:r>
        <w:rPr>
          <w:rFonts w:hint="eastAsia" w:ascii="宋体" w:hAnsi="宋体" w:cs="宋体"/>
          <w:color w:val="auto"/>
          <w:kern w:val="2"/>
          <w:sz w:val="21"/>
          <w:szCs w:val="21"/>
          <w:highlight w:val="none"/>
          <w:lang w:val="en-US" w:eastAsia="zh-CN"/>
        </w:rPr>
        <w:t>。</w:t>
      </w:r>
      <w:r>
        <w:rPr>
          <w:rFonts w:hint="eastAsia" w:ascii="宋体" w:hAnsi="宋体" w:eastAsia="宋体" w:cs="宋体"/>
          <w:color w:val="auto"/>
          <w:kern w:val="2"/>
          <w:sz w:val="21"/>
          <w:szCs w:val="21"/>
          <w:highlight w:val="none"/>
          <w:lang w:val="en-US" w:eastAsia="zh-CN"/>
        </w:rPr>
        <w:t>发票类型：增值税专用发票，大写:人民币</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，无论市场工、料、机发生任何变化，各施工项目不含税单价固定包干，不再作任何调整;增值税率为</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%，按国家相关规定据实调整。</w:t>
      </w:r>
    </w:p>
    <w:p w14:paraId="0CC3C86D">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val="en-US" w:eastAsia="zh-CN"/>
        </w:rPr>
        <w:t>结算方式:</w:t>
      </w:r>
    </w:p>
    <w:p w14:paraId="5F459D4D">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锅炉施工工程(常规项目及特殊项目)、日常项、外判工程、小型施工工程结算方式:按合同附件《付款方式及相关资料办理流程》办理。乙方请款时，须提供结算期内有效的工人工资发放证明材料，否则甲方有权延期付款</w:t>
      </w:r>
      <w:r>
        <w:rPr>
          <w:rFonts w:hint="eastAsia" w:ascii="宋体" w:hAnsi="宋体" w:cs="宋体"/>
          <w:color w:val="auto"/>
          <w:kern w:val="2"/>
          <w:sz w:val="21"/>
          <w:szCs w:val="21"/>
          <w:highlight w:val="none"/>
          <w:lang w:val="en-US" w:eastAsia="zh-CN"/>
        </w:rPr>
        <w:t>，且甲方延期付款不承担任何违约责任</w:t>
      </w:r>
      <w:r>
        <w:rPr>
          <w:rFonts w:hint="eastAsia" w:ascii="宋体" w:hAnsi="宋体" w:eastAsia="宋体" w:cs="宋体"/>
          <w:color w:val="auto"/>
          <w:kern w:val="2"/>
          <w:sz w:val="21"/>
          <w:szCs w:val="21"/>
          <w:highlight w:val="none"/>
          <w:lang w:val="en-US" w:eastAsia="zh-CN"/>
        </w:rPr>
        <w:t>。</w:t>
      </w:r>
    </w:p>
    <w:p w14:paraId="03ECBA64">
      <w:pPr>
        <w:widowControl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val="en-US" w:eastAsia="zh-CN"/>
        </w:rPr>
        <w:t>付款方式:</w:t>
      </w:r>
    </w:p>
    <w:p w14:paraId="145D75DB">
      <w:pPr>
        <w:spacing w:line="360" w:lineRule="auto"/>
        <w:ind w:firstLine="367" w:firstLineChars="175"/>
        <w:rPr>
          <w:rFonts w:hint="eastAsia" w:ascii="宋体" w:hAnsi="宋体" w:eastAsia="宋体" w:cs="宋体"/>
          <w:color w:val="auto"/>
          <w:sz w:val="21"/>
          <w:highlight w:val="none"/>
        </w:rPr>
      </w:pPr>
      <w:r>
        <w:rPr>
          <w:rFonts w:hint="eastAsia" w:ascii="宋体" w:hAnsi="宋体" w:eastAsia="宋体" w:cs="宋体"/>
          <w:color w:val="auto"/>
          <w:sz w:val="21"/>
          <w:highlight w:val="none"/>
        </w:rPr>
        <w:t>（1）锅炉施工工程（常规项目及特殊项目）：</w:t>
      </w:r>
      <w:r>
        <w:rPr>
          <w:rFonts w:hint="eastAsia" w:ascii="宋体" w:hAnsi="宋体" w:cs="宋体"/>
          <w:color w:val="auto"/>
          <w:sz w:val="21"/>
          <w:highlight w:val="none"/>
          <w:lang w:val="en-US" w:eastAsia="zh-CN"/>
        </w:rPr>
        <w:t>甲方凭</w:t>
      </w:r>
      <w:r>
        <w:rPr>
          <w:rFonts w:hint="eastAsia" w:ascii="宋体" w:hAnsi="宋体" w:eastAsia="宋体" w:cs="宋体"/>
          <w:color w:val="auto"/>
          <w:sz w:val="21"/>
          <w:highlight w:val="none"/>
          <w:lang w:val="en-US" w:eastAsia="zh-CN"/>
        </w:rPr>
        <w:t>乙方</w:t>
      </w:r>
      <w:r>
        <w:rPr>
          <w:rFonts w:hint="eastAsia" w:ascii="宋体" w:hAnsi="宋体" w:cs="宋体"/>
          <w:color w:val="auto"/>
          <w:sz w:val="21"/>
          <w:highlight w:val="none"/>
          <w:lang w:val="en-US" w:eastAsia="zh-CN"/>
        </w:rPr>
        <w:t>提交的</w:t>
      </w:r>
      <w:r>
        <w:rPr>
          <w:rFonts w:hint="eastAsia" w:ascii="宋体" w:hAnsi="宋体" w:eastAsia="宋体" w:cs="宋体"/>
          <w:color w:val="auto"/>
          <w:sz w:val="21"/>
          <w:highlight w:val="none"/>
        </w:rPr>
        <w:t>请款函、工程竣工验收证明、工程量确认单、工程验收</w:t>
      </w:r>
      <w:r>
        <w:rPr>
          <w:rFonts w:hint="eastAsia" w:ascii="宋体" w:hAnsi="宋体" w:eastAsia="宋体" w:cs="宋体"/>
          <w:color w:val="auto"/>
          <w:sz w:val="21"/>
          <w:highlight w:val="none"/>
          <w:lang w:val="en-US" w:eastAsia="zh-CN"/>
        </w:rPr>
        <w:t>核算单</w:t>
      </w:r>
      <w:r>
        <w:rPr>
          <w:rFonts w:hint="eastAsia" w:ascii="宋体" w:hAnsi="宋体" w:eastAsia="宋体" w:cs="宋体"/>
          <w:color w:val="auto"/>
          <w:sz w:val="21"/>
          <w:highlight w:val="none"/>
        </w:rPr>
        <w:t>及对应金额的合格发票等单据，向</w:t>
      </w:r>
      <w:r>
        <w:rPr>
          <w:rFonts w:hint="eastAsia" w:ascii="宋体" w:hAnsi="宋体" w:eastAsia="宋体" w:cs="宋体"/>
          <w:color w:val="auto"/>
          <w:sz w:val="21"/>
          <w:highlight w:val="none"/>
          <w:lang w:eastAsia="zh-CN"/>
        </w:rPr>
        <w:t>乙方</w:t>
      </w:r>
      <w:r>
        <w:rPr>
          <w:rFonts w:hint="eastAsia" w:ascii="宋体" w:hAnsi="宋体" w:eastAsia="宋体" w:cs="宋体"/>
          <w:color w:val="auto"/>
          <w:sz w:val="21"/>
          <w:highlight w:val="none"/>
        </w:rPr>
        <w:t>支付95%的实际</w:t>
      </w:r>
      <w:r>
        <w:rPr>
          <w:rFonts w:hint="eastAsia" w:ascii="宋体" w:hAnsi="宋体" w:eastAsia="宋体" w:cs="宋体"/>
          <w:color w:val="auto"/>
          <w:sz w:val="21"/>
          <w:highlight w:val="none"/>
          <w:lang w:val="en-US" w:eastAsia="zh-CN"/>
        </w:rPr>
        <w:t>核算</w:t>
      </w:r>
      <w:r>
        <w:rPr>
          <w:rFonts w:hint="eastAsia" w:ascii="宋体" w:hAnsi="宋体" w:eastAsia="宋体" w:cs="宋体"/>
          <w:color w:val="auto"/>
          <w:sz w:val="21"/>
          <w:highlight w:val="none"/>
        </w:rPr>
        <w:t>金额作为工程验收</w:t>
      </w:r>
      <w:r>
        <w:rPr>
          <w:rFonts w:hint="eastAsia" w:ascii="宋体" w:hAnsi="宋体" w:eastAsia="宋体" w:cs="宋体"/>
          <w:color w:val="auto"/>
          <w:sz w:val="21"/>
          <w:highlight w:val="none"/>
          <w:lang w:val="en-US" w:eastAsia="zh-CN"/>
        </w:rPr>
        <w:t>进度</w:t>
      </w:r>
      <w:r>
        <w:rPr>
          <w:rFonts w:hint="eastAsia" w:ascii="宋体" w:hAnsi="宋体" w:eastAsia="宋体" w:cs="宋体"/>
          <w:color w:val="auto"/>
          <w:sz w:val="21"/>
          <w:highlight w:val="none"/>
        </w:rPr>
        <w:t>款；质保期为6个月，自设备正常满负荷连续运行72小时之日起计算。</w:t>
      </w:r>
    </w:p>
    <w:p w14:paraId="15522710">
      <w:pPr>
        <w:spacing w:line="360" w:lineRule="auto"/>
        <w:ind w:firstLine="367" w:firstLineChars="175"/>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sz w:val="21"/>
          <w:szCs w:val="24"/>
          <w:highlight w:val="none"/>
        </w:rPr>
        <w:t>日常配合项目，月度外判工程及小型施工工程</w:t>
      </w:r>
      <w:r>
        <w:rPr>
          <w:rFonts w:hint="eastAsia" w:ascii="宋体" w:hAnsi="宋体" w:eastAsia="宋体" w:cs="宋体"/>
          <w:color w:val="auto"/>
          <w:highlight w:val="none"/>
        </w:rPr>
        <w:t>：按月支付，</w:t>
      </w:r>
      <w:r>
        <w:rPr>
          <w:rFonts w:hint="eastAsia" w:ascii="宋体" w:hAnsi="宋体" w:eastAsia="宋体" w:cs="宋体"/>
          <w:color w:val="auto"/>
          <w:highlight w:val="none"/>
          <w:lang w:eastAsia="zh-CN"/>
        </w:rPr>
        <w:t>甲方</w:t>
      </w:r>
      <w:r>
        <w:rPr>
          <w:rFonts w:hint="eastAsia" w:ascii="宋体" w:hAnsi="宋体" w:eastAsia="宋体" w:cs="宋体"/>
          <w:color w:val="auto"/>
          <w:highlight w:val="none"/>
        </w:rPr>
        <w:t>凭</w:t>
      </w:r>
      <w:r>
        <w:rPr>
          <w:rFonts w:hint="eastAsia" w:ascii="宋体" w:hAnsi="宋体" w:cs="宋体"/>
          <w:color w:val="auto"/>
          <w:highlight w:val="none"/>
          <w:lang w:val="en-US" w:eastAsia="zh-CN"/>
        </w:rPr>
        <w:t>乙方提交的</w:t>
      </w:r>
      <w:r>
        <w:rPr>
          <w:rFonts w:hint="eastAsia" w:ascii="宋体" w:hAnsi="宋体" w:eastAsia="宋体" w:cs="宋体"/>
          <w:color w:val="auto"/>
          <w:highlight w:val="none"/>
        </w:rPr>
        <w:t>请款函、工程竣工验收证明、工程量确认单、工程验收</w:t>
      </w:r>
      <w:r>
        <w:rPr>
          <w:rFonts w:hint="eastAsia" w:ascii="宋体" w:hAnsi="宋体" w:eastAsia="宋体" w:cs="宋体"/>
          <w:color w:val="auto"/>
          <w:sz w:val="21"/>
          <w:highlight w:val="none"/>
          <w:lang w:val="en-US" w:eastAsia="zh-CN"/>
        </w:rPr>
        <w:t>核算单</w:t>
      </w:r>
      <w:r>
        <w:rPr>
          <w:rFonts w:hint="eastAsia" w:ascii="宋体" w:hAnsi="宋体" w:eastAsia="宋体" w:cs="宋体"/>
          <w:color w:val="auto"/>
          <w:highlight w:val="none"/>
        </w:rPr>
        <w:t>及对应金额的合格发票等单据，向</w:t>
      </w:r>
      <w:r>
        <w:rPr>
          <w:rFonts w:hint="eastAsia" w:ascii="宋体" w:hAnsi="宋体" w:eastAsia="宋体" w:cs="宋体"/>
          <w:color w:val="auto"/>
          <w:highlight w:val="none"/>
          <w:lang w:eastAsia="zh-CN"/>
        </w:rPr>
        <w:t>乙方</w:t>
      </w:r>
      <w:r>
        <w:rPr>
          <w:rFonts w:hint="eastAsia" w:ascii="宋体" w:hAnsi="宋体" w:eastAsia="宋体" w:cs="宋体"/>
          <w:color w:val="auto"/>
          <w:highlight w:val="none"/>
        </w:rPr>
        <w:t>支付</w:t>
      </w:r>
      <w:r>
        <w:rPr>
          <w:rFonts w:hint="eastAsia" w:ascii="宋体" w:hAnsi="宋体" w:eastAsia="宋体" w:cs="宋体"/>
          <w:color w:val="auto"/>
          <w:highlight w:val="none"/>
          <w:lang w:val="en-US" w:eastAsia="zh-CN"/>
        </w:rPr>
        <w:t>95</w:t>
      </w:r>
      <w:r>
        <w:rPr>
          <w:rFonts w:hint="eastAsia" w:ascii="宋体" w:hAnsi="宋体" w:eastAsia="宋体" w:cs="宋体"/>
          <w:color w:val="auto"/>
          <w:highlight w:val="none"/>
        </w:rPr>
        <w:t>%的上一个月实际</w:t>
      </w:r>
      <w:r>
        <w:rPr>
          <w:rFonts w:hint="eastAsia" w:ascii="宋体" w:hAnsi="宋体" w:eastAsia="宋体" w:cs="宋体"/>
          <w:color w:val="auto"/>
          <w:highlight w:val="none"/>
          <w:lang w:val="en-US" w:eastAsia="zh-CN"/>
        </w:rPr>
        <w:t>核算</w:t>
      </w:r>
      <w:r>
        <w:rPr>
          <w:rFonts w:hint="eastAsia" w:ascii="宋体" w:hAnsi="宋体" w:eastAsia="宋体" w:cs="宋体"/>
          <w:color w:val="auto"/>
          <w:highlight w:val="none"/>
        </w:rPr>
        <w:t>金额作为工程验收</w:t>
      </w:r>
      <w:r>
        <w:rPr>
          <w:rFonts w:hint="eastAsia" w:ascii="宋体" w:hAnsi="宋体" w:eastAsia="宋体" w:cs="宋体"/>
          <w:color w:val="auto"/>
          <w:sz w:val="21"/>
          <w:highlight w:val="none"/>
          <w:lang w:val="en-US" w:eastAsia="zh-CN"/>
        </w:rPr>
        <w:t>进度</w:t>
      </w:r>
      <w:r>
        <w:rPr>
          <w:rFonts w:hint="eastAsia" w:ascii="宋体" w:hAnsi="宋体" w:eastAsia="宋体" w:cs="宋体"/>
          <w:color w:val="auto"/>
          <w:highlight w:val="none"/>
        </w:rPr>
        <w:t>款，质保期为6个月，质保期自该工程完工并经</w:t>
      </w:r>
      <w:r>
        <w:rPr>
          <w:rFonts w:hint="eastAsia" w:ascii="宋体" w:hAnsi="宋体" w:eastAsia="宋体" w:cs="宋体"/>
          <w:color w:val="auto"/>
          <w:highlight w:val="none"/>
          <w:lang w:eastAsia="zh-CN"/>
        </w:rPr>
        <w:t>甲方</w:t>
      </w:r>
      <w:r>
        <w:rPr>
          <w:rFonts w:hint="eastAsia" w:ascii="宋体" w:hAnsi="宋体" w:eastAsia="宋体" w:cs="宋体"/>
          <w:color w:val="auto"/>
          <w:highlight w:val="none"/>
        </w:rPr>
        <w:t>验收合格后起算。</w:t>
      </w:r>
    </w:p>
    <w:p w14:paraId="7EFACD1F">
      <w:pPr>
        <w:spacing w:line="360" w:lineRule="auto"/>
        <w:ind w:firstLine="367" w:firstLineChars="175"/>
        <w:rPr>
          <w:rFonts w:hint="eastAsia" w:ascii="宋体" w:hAnsi="宋体" w:eastAsia="宋体" w:cs="宋体"/>
          <w:color w:val="auto"/>
          <w:highlight w:val="none"/>
          <w:lang w:val="en-US" w:eastAsia="zh-CN"/>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合同期结束后乙方提交结算资料至甲方单位，双方确认结算资料无异议后办理结算。</w:t>
      </w:r>
      <w:r>
        <w:rPr>
          <w:rFonts w:hint="eastAsia" w:ascii="宋体" w:hAnsi="宋体" w:eastAsia="宋体" w:cs="宋体"/>
          <w:color w:val="auto"/>
          <w:sz w:val="21"/>
          <w:highlight w:val="none"/>
        </w:rPr>
        <w:t>质保期结束，甲方确认无工程质量问题且乙方已完全履行完毕本合同项下所有义务（包括但不限于质量保修义务、违约责任承担、损失赔偿义务等）的，</w:t>
      </w:r>
      <w:r>
        <w:rPr>
          <w:rFonts w:hint="eastAsia" w:ascii="宋体" w:hAnsi="宋体" w:eastAsia="宋体" w:cs="宋体"/>
          <w:color w:val="auto"/>
          <w:sz w:val="21"/>
          <w:highlight w:val="none"/>
          <w:lang w:eastAsia="zh-CN"/>
        </w:rPr>
        <w:t>30天内付清合同结算款</w:t>
      </w:r>
      <w:r>
        <w:rPr>
          <w:rFonts w:hint="eastAsia" w:ascii="宋体" w:hAnsi="宋体" w:eastAsia="宋体" w:cs="宋体"/>
          <w:color w:val="auto"/>
          <w:highlight w:val="none"/>
          <w:lang w:val="en-US" w:eastAsia="zh-CN"/>
        </w:rPr>
        <w:t>。</w:t>
      </w:r>
    </w:p>
    <w:p w14:paraId="72F03684">
      <w:pPr>
        <w:bidi w:val="0"/>
        <w:rPr>
          <w:rFonts w:hint="eastAsia" w:ascii="宋体" w:hAnsi="宋体" w:eastAsia="宋体" w:cs="宋体"/>
          <w:b/>
          <w:bCs/>
          <w:color w:val="auto"/>
          <w:kern w:val="2"/>
          <w:szCs w:val="21"/>
          <w:highlight w:val="none"/>
        </w:rPr>
      </w:pPr>
      <w:bookmarkStart w:id="186" w:name="_Toc14481"/>
      <w:r>
        <w:rPr>
          <w:rFonts w:hint="eastAsia" w:ascii="宋体" w:hAnsi="宋体" w:eastAsia="宋体" w:cs="宋体"/>
          <w:b/>
          <w:bCs/>
          <w:color w:val="auto"/>
          <w:highlight w:val="none"/>
          <w:lang w:val="en-US" w:eastAsia="zh-CN"/>
        </w:rPr>
        <w:t>十一、验收</w:t>
      </w:r>
      <w:bookmarkEnd w:id="186"/>
    </w:p>
    <w:p w14:paraId="18808CBD">
      <w:pPr>
        <w:widowControl w:val="0"/>
        <w:numPr>
          <w:ilvl w:val="0"/>
          <w:numId w:val="12"/>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技术工作质量要求：优良（详见本合同附件四：锅炉与尾气系统施工项目清单及技术要求）。</w:t>
      </w:r>
    </w:p>
    <w:p w14:paraId="536355A0">
      <w:pPr>
        <w:widowControl w:val="0"/>
        <w:numPr>
          <w:ilvl w:val="0"/>
          <w:numId w:val="12"/>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乙方完成技术工作的形式：依次完成锅炉和尾气系统施工清包工程服务，且各项控制指标达到标准要求（详见本合同附件四：锅炉与尾气系统施工项目清单及技术要求）。</w:t>
      </w:r>
    </w:p>
    <w:p w14:paraId="0E344728">
      <w:pPr>
        <w:widowControl w:val="0"/>
        <w:numPr>
          <w:ilvl w:val="0"/>
          <w:numId w:val="12"/>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技术工作成果的验收：启动委员会按照锅炉和尾气系统的验收规范及标准进行各项工作的验收。</w:t>
      </w:r>
    </w:p>
    <w:p w14:paraId="01FA7371">
      <w:pPr>
        <w:widowControl w:val="0"/>
        <w:numPr>
          <w:ilvl w:val="0"/>
          <w:numId w:val="12"/>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乙方交付甲方验收报告和技术文件的方式（详见本合同附件四：锅炉与尾气系统施工项目清单及技术要求）。</w:t>
      </w:r>
    </w:p>
    <w:p w14:paraId="0D9B5E3B">
      <w:pPr>
        <w:widowControl w:val="0"/>
        <w:numPr>
          <w:ilvl w:val="0"/>
          <w:numId w:val="12"/>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乙方在验收报告经甲方批准后，向甲方提交结算报告。</w:t>
      </w:r>
    </w:p>
    <w:p w14:paraId="2B3A1F72">
      <w:pPr>
        <w:bidi w:val="0"/>
        <w:rPr>
          <w:rFonts w:hint="eastAsia" w:ascii="宋体" w:hAnsi="宋体" w:eastAsia="宋体" w:cs="宋体"/>
          <w:b/>
          <w:bCs/>
          <w:color w:val="auto"/>
          <w:kern w:val="2"/>
          <w:szCs w:val="21"/>
          <w:highlight w:val="none"/>
        </w:rPr>
      </w:pPr>
      <w:bookmarkStart w:id="187" w:name="_Toc29349"/>
      <w:r>
        <w:rPr>
          <w:rFonts w:hint="eastAsia" w:ascii="宋体" w:hAnsi="宋体" w:eastAsia="宋体" w:cs="宋体"/>
          <w:b/>
          <w:bCs/>
          <w:color w:val="auto"/>
          <w:highlight w:val="none"/>
          <w:lang w:val="en-US" w:eastAsia="zh-CN"/>
        </w:rPr>
        <w:t>十二、安全施工与保险</w:t>
      </w:r>
      <w:bookmarkEnd w:id="187"/>
    </w:p>
    <w:p w14:paraId="6EB39037">
      <w:pPr>
        <w:widowControl w:val="0"/>
        <w:numPr>
          <w:ilvl w:val="0"/>
          <w:numId w:val="13"/>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乙方应按有关规定，采取严格的安全防护措施，承担由于自身安全措施不力造成事故的责任和因此发生的费用。因其它原因造成的伤亡事故，由责任方承担责任和有关费用。</w:t>
      </w:r>
    </w:p>
    <w:p w14:paraId="5EEB6AE2">
      <w:pPr>
        <w:widowControl w:val="0"/>
        <w:numPr>
          <w:ilvl w:val="0"/>
          <w:numId w:val="13"/>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发生重大伤亡事故，乙方应按有关规定立即上报有关部门并通知甲方代表。同时按政府有关部门要求处理。甲方为抢救提供便利条件。发生的费用由事故责任方承担。</w:t>
      </w:r>
    </w:p>
    <w:p w14:paraId="502A7F48">
      <w:pPr>
        <w:widowControl w:val="0"/>
        <w:numPr>
          <w:ilvl w:val="0"/>
          <w:numId w:val="13"/>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cs="宋体"/>
          <w:color w:val="auto"/>
          <w:kern w:val="2"/>
          <w:sz w:val="21"/>
          <w:szCs w:val="21"/>
          <w:highlight w:val="none"/>
          <w:lang w:val="en-US" w:eastAsia="zh-CN"/>
        </w:rPr>
        <w:t>乙方需按照本协议第七条第（二）款第11项约定购买保险</w:t>
      </w:r>
      <w:r>
        <w:rPr>
          <w:rFonts w:hint="eastAsia" w:ascii="宋体" w:hAnsi="宋体" w:eastAsia="宋体" w:cs="宋体"/>
          <w:color w:val="auto"/>
          <w:kern w:val="2"/>
          <w:sz w:val="21"/>
          <w:szCs w:val="21"/>
          <w:highlight w:val="none"/>
          <w:lang w:val="en-US" w:eastAsia="zh-CN"/>
        </w:rPr>
        <w:t>，并承担相应费用，由于乙方未办理保险而导致的相应损失概由乙方承担。乙方承诺：乙方在施工过程中对第三人造成的损害或者造成自身损害的，产生的相应责任与后果由乙方负责，即或是，受损第三方通过法律途径向甲方主张赔偿获赔后，甲方可要求乙方给予等额款项的补偿。</w:t>
      </w:r>
    </w:p>
    <w:p w14:paraId="07015468">
      <w:pPr>
        <w:bidi w:val="0"/>
        <w:rPr>
          <w:rFonts w:hint="eastAsia" w:ascii="宋体" w:hAnsi="宋体" w:eastAsia="宋体" w:cs="宋体"/>
          <w:b/>
          <w:bCs/>
          <w:color w:val="auto"/>
          <w:kern w:val="2"/>
          <w:szCs w:val="21"/>
          <w:highlight w:val="none"/>
        </w:rPr>
      </w:pPr>
      <w:bookmarkStart w:id="188" w:name="_Toc24954"/>
      <w:r>
        <w:rPr>
          <w:rFonts w:hint="eastAsia" w:ascii="宋体" w:hAnsi="宋体" w:eastAsia="宋体" w:cs="宋体"/>
          <w:b/>
          <w:bCs/>
          <w:color w:val="auto"/>
          <w:highlight w:val="none"/>
          <w:lang w:val="en-US" w:eastAsia="zh-CN"/>
        </w:rPr>
        <w:t>十三、违约责任</w:t>
      </w:r>
      <w:bookmarkEnd w:id="188"/>
    </w:p>
    <w:p w14:paraId="1FFD1F5B">
      <w:pPr>
        <w:widowControl w:val="0"/>
        <w:numPr>
          <w:ilvl w:val="0"/>
          <w:numId w:val="14"/>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锅炉和尾气系统施工清包工程服务未达到合同要求的，乙方应负责返工、重作并承担因此而产生的相关费用，并支付合同暂定总额的5%作为违约金，甲方有权单方解除合同，并不支付不合格工程</w:t>
      </w:r>
      <w:r>
        <w:rPr>
          <w:rFonts w:hint="eastAsia" w:ascii="宋体" w:hAnsi="宋体" w:cs="宋体"/>
          <w:color w:val="auto"/>
          <w:kern w:val="2"/>
          <w:sz w:val="21"/>
          <w:szCs w:val="21"/>
          <w:highlight w:val="none"/>
          <w:lang w:val="en-US" w:eastAsia="zh-CN"/>
        </w:rPr>
        <w:t>对应</w:t>
      </w:r>
      <w:r>
        <w:rPr>
          <w:rFonts w:hint="eastAsia" w:ascii="宋体" w:hAnsi="宋体" w:eastAsia="宋体" w:cs="宋体"/>
          <w:color w:val="auto"/>
          <w:kern w:val="2"/>
          <w:sz w:val="21"/>
          <w:szCs w:val="21"/>
          <w:highlight w:val="none"/>
          <w:lang w:val="en-US" w:eastAsia="zh-CN"/>
        </w:rPr>
        <w:t>费用，已支付不合格工程对应</w:t>
      </w:r>
      <w:r>
        <w:rPr>
          <w:rFonts w:hint="eastAsia" w:ascii="宋体" w:hAnsi="宋体" w:cs="宋体"/>
          <w:color w:val="auto"/>
          <w:kern w:val="2"/>
          <w:sz w:val="21"/>
          <w:szCs w:val="21"/>
          <w:highlight w:val="none"/>
          <w:lang w:val="en-US" w:eastAsia="zh-CN"/>
        </w:rPr>
        <w:t>费用</w:t>
      </w:r>
      <w:r>
        <w:rPr>
          <w:rFonts w:hint="eastAsia" w:ascii="宋体" w:hAnsi="宋体" w:eastAsia="宋体" w:cs="宋体"/>
          <w:color w:val="auto"/>
          <w:kern w:val="2"/>
          <w:sz w:val="21"/>
          <w:szCs w:val="21"/>
          <w:highlight w:val="none"/>
          <w:lang w:val="en-US" w:eastAsia="zh-CN"/>
        </w:rPr>
        <w:t>甲方有权要求乙方立即返还。如经过一次返工后，再组织第二次验收时仍未达到合同要求的，乙方向甲方支付合同暂定总额的20%作为违约金，并承担由此给甲方造成的一切经济损失，甲方有权单方解除合同，并不支付不合格工程</w:t>
      </w:r>
      <w:r>
        <w:rPr>
          <w:rFonts w:hint="eastAsia" w:ascii="宋体" w:hAnsi="宋体" w:cs="宋体"/>
          <w:color w:val="auto"/>
          <w:kern w:val="2"/>
          <w:sz w:val="21"/>
          <w:szCs w:val="21"/>
          <w:highlight w:val="none"/>
          <w:lang w:val="en-US" w:eastAsia="zh-CN"/>
        </w:rPr>
        <w:t>对应</w:t>
      </w:r>
      <w:r>
        <w:rPr>
          <w:rFonts w:hint="eastAsia" w:ascii="宋体" w:hAnsi="宋体" w:eastAsia="宋体" w:cs="宋体"/>
          <w:color w:val="auto"/>
          <w:kern w:val="2"/>
          <w:sz w:val="21"/>
          <w:szCs w:val="21"/>
          <w:highlight w:val="none"/>
          <w:lang w:val="en-US" w:eastAsia="zh-CN"/>
        </w:rPr>
        <w:t>费用，已支付的不合格工程对应</w:t>
      </w:r>
      <w:r>
        <w:rPr>
          <w:rFonts w:hint="eastAsia" w:ascii="宋体" w:hAnsi="宋体" w:cs="宋体"/>
          <w:color w:val="auto"/>
          <w:kern w:val="2"/>
          <w:sz w:val="21"/>
          <w:szCs w:val="21"/>
          <w:highlight w:val="none"/>
          <w:lang w:val="en-US" w:eastAsia="zh-CN"/>
        </w:rPr>
        <w:t>费用</w:t>
      </w:r>
      <w:r>
        <w:rPr>
          <w:rFonts w:hint="eastAsia" w:ascii="宋体" w:hAnsi="宋体" w:eastAsia="宋体" w:cs="宋体"/>
          <w:color w:val="auto"/>
          <w:kern w:val="2"/>
          <w:sz w:val="21"/>
          <w:szCs w:val="21"/>
          <w:highlight w:val="none"/>
          <w:lang w:val="en-US" w:eastAsia="zh-CN"/>
        </w:rPr>
        <w:t>甲方有权要求乙方立即返还。</w:t>
      </w:r>
    </w:p>
    <w:p w14:paraId="10D99D30">
      <w:pPr>
        <w:widowControl w:val="0"/>
        <w:numPr>
          <w:ilvl w:val="0"/>
          <w:numId w:val="14"/>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由于政策变化，不可抗力以及甲乙双方之外原因导致工程停建或缓建，使合同不能继续履行时，乙方应妥善做好已完工程和设备的保护和移交工作；按甲方要求将自有设备和人员撤出施工场地。甲方应为乙方撤出提供便利条件，并按合同约定支付已完工程价款。</w:t>
      </w:r>
    </w:p>
    <w:p w14:paraId="0CF7901C">
      <w:pPr>
        <w:widowControl w:val="0"/>
        <w:numPr>
          <w:ilvl w:val="0"/>
          <w:numId w:val="14"/>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乙方有如下行为之一的，乙方应向甲方支付合同暂定总额的20%作为违约金，并赔偿因此给甲方造成的损失，甲方还有权单方解除本合同。</w:t>
      </w:r>
    </w:p>
    <w:p w14:paraId="5363B52D">
      <w:pPr>
        <w:widowControl w:val="0"/>
        <w:numPr>
          <w:ilvl w:val="1"/>
          <w:numId w:val="14"/>
        </w:numPr>
        <w:adjustRightInd w:val="0"/>
        <w:snapToGrid w:val="0"/>
        <w:spacing w:before="0" w:beforeAutospacing="0" w:after="0" w:afterAutospacing="0" w:line="360" w:lineRule="auto"/>
        <w:ind w:left="84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由于乙方原因未按进度计划施工或未按本合同“三、工期要求”约定的期限竣工的，且延期10天以上；</w:t>
      </w:r>
    </w:p>
    <w:p w14:paraId="3FE6B08A">
      <w:pPr>
        <w:widowControl w:val="0"/>
        <w:numPr>
          <w:ilvl w:val="1"/>
          <w:numId w:val="14"/>
        </w:numPr>
        <w:spacing w:before="0"/>
        <w:ind w:left="840" w:hanging="420"/>
        <w:jc w:val="both"/>
        <w:rPr>
          <w:rFonts w:hint="default"/>
          <w:color w:val="auto"/>
          <w:highlight w:val="none"/>
          <w:lang w:val="en-US"/>
        </w:rPr>
      </w:pPr>
      <w:r>
        <w:rPr>
          <w:rFonts w:hint="eastAsia" w:ascii="宋体" w:hAnsi="宋体" w:eastAsia="宋体" w:cs="宋体"/>
          <w:color w:val="auto"/>
          <w:kern w:val="2"/>
          <w:sz w:val="21"/>
          <w:szCs w:val="21"/>
          <w:highlight w:val="none"/>
          <w:lang w:val="en-US" w:eastAsia="zh-CN"/>
        </w:rPr>
        <w:t>乙方未能根据现场工程进度和甲方要求及时配备相关专业人员及设备正常进行工作的。</w:t>
      </w:r>
    </w:p>
    <w:p w14:paraId="1F80D49C">
      <w:pPr>
        <w:widowControl w:val="0"/>
        <w:numPr>
          <w:ilvl w:val="1"/>
          <w:numId w:val="14"/>
        </w:numPr>
        <w:spacing w:before="0"/>
        <w:ind w:left="840" w:hanging="420"/>
        <w:jc w:val="both"/>
        <w:rPr>
          <w:rFonts w:hint="default"/>
          <w:color w:val="auto"/>
          <w:highlight w:val="none"/>
          <w:lang w:val="en-US"/>
        </w:rPr>
      </w:pPr>
      <w:r>
        <w:rPr>
          <w:rFonts w:hint="eastAsia" w:cs="宋体"/>
          <w:color w:val="auto"/>
          <w:kern w:val="2"/>
          <w:sz w:val="21"/>
          <w:szCs w:val="21"/>
          <w:highlight w:val="none"/>
          <w:lang w:val="en-US" w:eastAsia="zh-CN" w:bidi="ar-SA"/>
        </w:rPr>
        <w:t>乙方更换投入项目人员未向甲方办理变更申请手续或变更后</w:t>
      </w:r>
      <w:r>
        <w:rPr>
          <w:rFonts w:hint="eastAsia"/>
          <w:color w:val="auto"/>
          <w:kern w:val="2"/>
          <w:sz w:val="21"/>
          <w:szCs w:val="21"/>
          <w:highlight w:val="none"/>
          <w:lang w:val="en-US" w:eastAsia="zh-CN" w:bidi="ar-SA"/>
        </w:rPr>
        <w:t>更换后人员的数量和标准低于投标文件及本合同约定的标准，经甲方催告后仍不纠正的。</w:t>
      </w:r>
    </w:p>
    <w:p w14:paraId="2CDA0B8D">
      <w:pPr>
        <w:widowControl w:val="0"/>
        <w:numPr>
          <w:ilvl w:val="1"/>
          <w:numId w:val="14"/>
        </w:numPr>
        <w:adjustRightInd/>
        <w:snapToGrid/>
        <w:spacing w:before="0" w:beforeAutospacing="0" w:after="0" w:afterAutospacing="0" w:line="360" w:lineRule="auto"/>
        <w:ind w:left="840" w:leftChars="0" w:right="0" w:rightChars="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法律约定甲方可解除合同的其他行为的。</w:t>
      </w:r>
    </w:p>
    <w:p w14:paraId="2D71ADD4">
      <w:pPr>
        <w:keepNext w:val="0"/>
        <w:keepLines w:val="0"/>
        <w:pageBreakBefore w:val="0"/>
        <w:widowControl w:val="0"/>
        <w:numPr>
          <w:ilvl w:val="0"/>
          <w:numId w:val="14"/>
        </w:numPr>
        <w:kinsoku/>
        <w:wordWrap/>
        <w:overflowPunct/>
        <w:topLinePunct w:val="0"/>
        <w:autoSpaceDE/>
        <w:autoSpaceDN/>
        <w:bidi w:val="0"/>
        <w:spacing w:before="0" w:beforeAutospacing="0" w:after="0" w:afterAutospacing="0" w:line="360" w:lineRule="auto"/>
        <w:ind w:left="420" w:right="0" w:hanging="420"/>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合同签订后，乙方不得放弃该项目的承包，不得转包或在未得到甲方书面同意的情况下分包。乙方有前述行为之一的，乙方应向甲方支付合同暂定总额的20%作为违约金，并且承担由此造成的经济损失，并立即解除转包、分包合同，甲方还有权解除本合同。</w:t>
      </w:r>
    </w:p>
    <w:p w14:paraId="1DC4CD2F">
      <w:pPr>
        <w:keepNext w:val="0"/>
        <w:keepLines w:val="0"/>
        <w:pageBreakBefore w:val="0"/>
        <w:widowControl w:val="0"/>
        <w:numPr>
          <w:ilvl w:val="0"/>
          <w:numId w:val="14"/>
        </w:numPr>
        <w:kinsoku/>
        <w:wordWrap/>
        <w:overflowPunct/>
        <w:topLinePunct w:val="0"/>
        <w:autoSpaceDE/>
        <w:autoSpaceDN/>
        <w:bidi w:val="0"/>
        <w:spacing w:before="0" w:beforeAutospacing="0" w:after="0" w:afterAutospacing="0" w:line="360" w:lineRule="auto"/>
        <w:ind w:left="420" w:right="0" w:hanging="420"/>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若甲方</w:t>
      </w:r>
      <w:r>
        <w:rPr>
          <w:rFonts w:hint="eastAsia" w:ascii="宋体" w:hAnsi="宋体" w:cs="宋体"/>
          <w:color w:val="auto"/>
          <w:kern w:val="2"/>
          <w:sz w:val="21"/>
          <w:szCs w:val="21"/>
          <w:highlight w:val="none"/>
          <w:lang w:val="en-US" w:eastAsia="zh-CN"/>
        </w:rPr>
        <w:t>无正当理由</w:t>
      </w:r>
      <w:r>
        <w:rPr>
          <w:rFonts w:hint="eastAsia" w:ascii="宋体" w:hAnsi="宋体" w:eastAsia="宋体" w:cs="宋体"/>
          <w:color w:val="auto"/>
          <w:kern w:val="2"/>
          <w:sz w:val="21"/>
          <w:szCs w:val="21"/>
          <w:highlight w:val="none"/>
          <w:lang w:val="en-US" w:eastAsia="zh-CN"/>
        </w:rPr>
        <w:t>延付乙方工程款时，但因乙方原因或付款前置条件未满足导致延迟支付的除外，每超过一周（超过三天按一周计算，三天以下则不计算。）甲方向乙方支付延付工程款金额</w:t>
      </w:r>
      <w:r>
        <w:rPr>
          <w:rFonts w:hint="eastAsia" w:ascii="宋体" w:hAnsi="宋体" w:eastAsia="宋体" w:cs="宋体"/>
          <w:color w:val="auto"/>
          <w:kern w:val="0"/>
          <w:sz w:val="21"/>
          <w:szCs w:val="21"/>
          <w:highlight w:val="none"/>
          <w:lang w:val="en-US" w:eastAsia="zh-CN"/>
        </w:rPr>
        <w:t>0.1%</w:t>
      </w:r>
      <w:r>
        <w:rPr>
          <w:rFonts w:hint="eastAsia" w:ascii="宋体" w:hAnsi="宋体" w:eastAsia="宋体" w:cs="宋体"/>
          <w:color w:val="auto"/>
          <w:kern w:val="2"/>
          <w:sz w:val="21"/>
          <w:szCs w:val="21"/>
          <w:highlight w:val="none"/>
          <w:lang w:val="en-US" w:eastAsia="zh-CN"/>
        </w:rPr>
        <w:t>比例的违约金，但</w:t>
      </w:r>
      <w:r>
        <w:rPr>
          <w:rFonts w:hint="eastAsia" w:ascii="宋体" w:hAnsi="宋体" w:eastAsia="宋体" w:cs="宋体"/>
          <w:color w:val="auto"/>
          <w:kern w:val="0"/>
          <w:sz w:val="21"/>
          <w:szCs w:val="21"/>
          <w:highlight w:val="none"/>
          <w:lang w:val="en-US" w:eastAsia="zh-CN"/>
        </w:rPr>
        <w:t>甲方承担的违约金总额不超过本合同总</w:t>
      </w:r>
      <w:r>
        <w:rPr>
          <w:rFonts w:hint="eastAsia" w:ascii="宋体" w:hAnsi="宋体" w:eastAsia="宋体" w:cs="宋体"/>
          <w:color w:val="auto"/>
          <w:kern w:val="2"/>
          <w:sz w:val="21"/>
          <w:szCs w:val="21"/>
          <w:highlight w:val="none"/>
          <w:lang w:val="en-US" w:eastAsia="zh-CN"/>
        </w:rPr>
        <w:t>价</w:t>
      </w:r>
      <w:r>
        <w:rPr>
          <w:rFonts w:hint="eastAsia" w:ascii="宋体" w:hAnsi="宋体" w:eastAsia="宋体" w:cs="宋体"/>
          <w:color w:val="auto"/>
          <w:kern w:val="0"/>
          <w:sz w:val="21"/>
          <w:szCs w:val="21"/>
          <w:highlight w:val="none"/>
          <w:lang w:val="en-US" w:eastAsia="zh-CN"/>
        </w:rPr>
        <w:t>的2%</w:t>
      </w:r>
      <w:r>
        <w:rPr>
          <w:rFonts w:hint="eastAsia" w:ascii="宋体" w:hAnsi="宋体" w:eastAsia="宋体" w:cs="宋体"/>
          <w:color w:val="auto"/>
          <w:kern w:val="2"/>
          <w:sz w:val="21"/>
          <w:szCs w:val="21"/>
          <w:highlight w:val="none"/>
          <w:lang w:val="en-US" w:eastAsia="zh-CN"/>
        </w:rPr>
        <w:t>。</w:t>
      </w:r>
    </w:p>
    <w:p w14:paraId="3CDF89EE">
      <w:pPr>
        <w:widowControl w:val="0"/>
        <w:numPr>
          <w:ilvl w:val="0"/>
          <w:numId w:val="14"/>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由于乙方原因，未按本合同“三、工期要求”约定的期限竣工，则每延迟一天按照合同</w:t>
      </w:r>
      <w:r>
        <w:rPr>
          <w:rFonts w:hint="eastAsia" w:ascii="宋体" w:hAnsi="宋体" w:eastAsia="宋体" w:cs="宋体"/>
          <w:color w:val="auto"/>
          <w:kern w:val="0"/>
          <w:sz w:val="21"/>
          <w:szCs w:val="21"/>
          <w:highlight w:val="none"/>
          <w:lang w:val="en-US" w:eastAsia="zh-CN"/>
        </w:rPr>
        <w:t>总价款的0.3%</w:t>
      </w:r>
      <w:r>
        <w:rPr>
          <w:rFonts w:hint="eastAsia" w:ascii="宋体" w:hAnsi="宋体" w:eastAsia="宋体" w:cs="宋体"/>
          <w:color w:val="auto"/>
          <w:kern w:val="2"/>
          <w:sz w:val="21"/>
          <w:szCs w:val="21"/>
          <w:highlight w:val="none"/>
          <w:lang w:val="en-US" w:eastAsia="zh-CN"/>
        </w:rPr>
        <w:t>比例向甲方支付违约金，本项违约金总额不超过合同总价的</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2"/>
          <w:sz w:val="21"/>
          <w:szCs w:val="21"/>
          <w:highlight w:val="none"/>
          <w:lang w:val="en-US" w:eastAsia="zh-CN"/>
        </w:rPr>
        <w:t>，并承担因此给甲方造成的一切损失。如乙方延迟竣工10天以上的，甲方有权根据本合同“九、其它规定”约定执行。</w:t>
      </w:r>
    </w:p>
    <w:p w14:paraId="0D131CB0">
      <w:pPr>
        <w:widowControl/>
        <w:numPr>
          <w:ilvl w:val="0"/>
          <w:numId w:val="14"/>
        </w:numPr>
        <w:spacing w:before="0" w:beforeAutospacing="0" w:after="0" w:afterAutospacing="0" w:line="360" w:lineRule="auto"/>
        <w:ind w:left="420" w:right="0" w:hanging="42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在甲方场所，乙方履行合同应当遵守甲方对于场所的各项管理规定，造成甲方或第三方人身安全或财产经济损失的，由乙方负责全额赔偿（甲方可直接在甲方应付款中扣除）。</w:t>
      </w:r>
    </w:p>
    <w:p w14:paraId="7394E7E8">
      <w:pPr>
        <w:widowControl/>
        <w:numPr>
          <w:ilvl w:val="0"/>
          <w:numId w:val="14"/>
        </w:numPr>
        <w:spacing w:before="0" w:beforeAutospacing="0" w:after="0" w:afterAutospacing="0" w:line="360" w:lineRule="auto"/>
        <w:ind w:left="420" w:right="0" w:hanging="42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乙方无正当理由拒不履行本合同约定，经甲方书面通知后，仍未在限期内整改的，甲方有权解除合同，乙方应向甲方退回所有已收取款项，且应按合同总付款的20%向甲方支付违约金。</w:t>
      </w:r>
    </w:p>
    <w:p w14:paraId="52968C6B">
      <w:pPr>
        <w:widowControl/>
        <w:numPr>
          <w:ilvl w:val="0"/>
          <w:numId w:val="14"/>
        </w:numPr>
        <w:spacing w:before="0" w:beforeAutospacing="0" w:after="0" w:afterAutospacing="0" w:line="360" w:lineRule="auto"/>
        <w:ind w:left="420" w:right="0" w:hanging="42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甲方依法律相关规定或本合同约定解除合同的，乙方所有人员、产品必须在甲方解除合同书面通知送达之日起3个工作日内撤离，逾期未撤离的，乙方应向甲方支付场地占用费500元/日。解除合同书面通知送达之日起，甲方无须对乙方的产品负保管义务和责任，若相关产品损坏或损毁，均由乙方自行承担损失。</w:t>
      </w:r>
    </w:p>
    <w:p w14:paraId="381C1269">
      <w:pPr>
        <w:widowControl/>
        <w:numPr>
          <w:ilvl w:val="0"/>
          <w:numId w:val="14"/>
        </w:numPr>
        <w:spacing w:before="0" w:beforeAutospacing="0" w:after="0" w:afterAutospacing="0" w:line="360" w:lineRule="auto"/>
        <w:ind w:left="420" w:right="0" w:hanging="42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2"/>
          <w:sz w:val="21"/>
          <w:szCs w:val="21"/>
          <w:highlight w:val="none"/>
          <w:lang w:val="en-US" w:eastAsia="zh-CN"/>
        </w:rPr>
        <w:t>因乙方违约而甲方主张权利产生的包括但不限于律师费</w:t>
      </w:r>
      <w:r>
        <w:rPr>
          <w:rFonts w:hint="eastAsia" w:ascii="宋体" w:hAnsi="宋体" w:eastAsia="宋体" w:cs="宋体"/>
          <w:color w:val="auto"/>
          <w:kern w:val="0"/>
          <w:sz w:val="21"/>
          <w:szCs w:val="21"/>
          <w:highlight w:val="none"/>
          <w:lang w:val="en-US" w:eastAsia="zh-CN"/>
        </w:rPr>
        <w:t>、诉讼费、保全费、保全担保费等一切费用，均由乙方承担。</w:t>
      </w:r>
    </w:p>
    <w:p w14:paraId="3B33A3E7">
      <w:pPr>
        <w:bidi w:val="0"/>
        <w:rPr>
          <w:rFonts w:hint="eastAsia" w:ascii="宋体" w:hAnsi="宋体" w:eastAsia="宋体" w:cs="宋体"/>
          <w:b/>
          <w:bCs/>
          <w:color w:val="auto"/>
          <w:kern w:val="2"/>
          <w:szCs w:val="21"/>
          <w:highlight w:val="none"/>
        </w:rPr>
      </w:pPr>
      <w:bookmarkStart w:id="189" w:name="_Toc10811"/>
      <w:r>
        <w:rPr>
          <w:rFonts w:hint="eastAsia" w:ascii="宋体" w:hAnsi="宋体" w:eastAsia="宋体" w:cs="宋体"/>
          <w:b/>
          <w:bCs/>
          <w:color w:val="auto"/>
          <w:highlight w:val="none"/>
          <w:lang w:val="en-US" w:eastAsia="zh-CN"/>
        </w:rPr>
        <w:t>十四、保密</w:t>
      </w:r>
      <w:bookmarkEnd w:id="189"/>
    </w:p>
    <w:p w14:paraId="6EEC6E49">
      <w:pPr>
        <w:widowControl w:val="0"/>
        <w:numPr>
          <w:ilvl w:val="0"/>
          <w:numId w:val="15"/>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保密的范围</w:t>
      </w:r>
    </w:p>
    <w:p w14:paraId="1F230AF3">
      <w:pPr>
        <w:widowControl w:val="0"/>
        <w:spacing w:before="0" w:beforeAutospacing="0" w:after="0" w:afterAutospacing="0" w:line="360" w:lineRule="auto"/>
        <w:ind w:left="0" w:right="0" w:firstLine="6"/>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ab/>
      </w:r>
      <w:r>
        <w:rPr>
          <w:rFonts w:hint="eastAsia" w:ascii="宋体" w:hAnsi="宋体" w:eastAsia="宋体" w:cs="宋体"/>
          <w:color w:val="auto"/>
          <w:kern w:val="2"/>
          <w:sz w:val="21"/>
          <w:szCs w:val="21"/>
          <w:highlight w:val="none"/>
          <w:lang w:val="en-US" w:eastAsia="zh-CN"/>
        </w:rPr>
        <w:t>由本合同一方提供的或以本合同一方的名义提供的所有文件和其他信息，无论书面的或口头的，无论技术性的或商业性的，对方均应将其作保密信息处理。除非一方事先书面同意或法律或国家机构另有要求，对方不得向任何第三方披露任何该等文件或信息的全部或部分内容，亦不得以其他方式泄</w:t>
      </w:r>
      <w:r>
        <w:rPr>
          <w:rFonts w:hint="eastAsia" w:ascii="宋体" w:hAnsi="宋体" w:cs="宋体"/>
          <w:color w:val="auto"/>
          <w:kern w:val="2"/>
          <w:sz w:val="21"/>
          <w:szCs w:val="21"/>
          <w:highlight w:val="none"/>
          <w:lang w:val="en-US" w:eastAsia="zh-CN"/>
        </w:rPr>
        <w:t>露</w:t>
      </w:r>
      <w:r>
        <w:rPr>
          <w:rFonts w:hint="eastAsia" w:ascii="宋体" w:hAnsi="宋体" w:eastAsia="宋体" w:cs="宋体"/>
          <w:color w:val="auto"/>
          <w:kern w:val="2"/>
          <w:sz w:val="21"/>
          <w:szCs w:val="21"/>
          <w:highlight w:val="none"/>
          <w:lang w:val="en-US" w:eastAsia="zh-CN"/>
        </w:rPr>
        <w:t>任何该等文件或信息的全部或部分内容，但为遵守本合同条款的情况除外。</w:t>
      </w:r>
    </w:p>
    <w:p w14:paraId="0458B8B2">
      <w:pPr>
        <w:widowControl w:val="0"/>
        <w:numPr>
          <w:ilvl w:val="0"/>
          <w:numId w:val="15"/>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允许的披露</w:t>
      </w:r>
    </w:p>
    <w:p w14:paraId="6116D205">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ab/>
      </w:r>
      <w:r>
        <w:rPr>
          <w:rFonts w:hint="eastAsia" w:ascii="宋体" w:hAnsi="宋体" w:eastAsia="宋体" w:cs="宋体"/>
          <w:color w:val="auto"/>
          <w:kern w:val="2"/>
          <w:sz w:val="21"/>
          <w:szCs w:val="21"/>
          <w:highlight w:val="none"/>
          <w:lang w:val="en-US" w:eastAsia="zh-CN"/>
        </w:rPr>
        <w:t>虽有本条（保密）的约定，但本合同任何一方应有权向任何其雇员、顾问和缔约方（包括贷款人）披露任何其雇员、顾问和其他缔约方（包括贷款人）履行其各自的义务可能需要的所有文件和其他信息，但不得促成或允许任何上述人员将提供给他们的任何文件或信息披露给第三方，但上述人员为履行其义务而需将提供给他们的任何文件或信息披露给第三方的情况除外。</w:t>
      </w:r>
    </w:p>
    <w:p w14:paraId="2770EFB5">
      <w:pPr>
        <w:widowControl w:val="0"/>
        <w:numPr>
          <w:ilvl w:val="0"/>
          <w:numId w:val="15"/>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保密义务不适用于下列信息：</w:t>
      </w:r>
    </w:p>
    <w:p w14:paraId="11584218">
      <w:pPr>
        <w:widowControl w:val="0"/>
        <w:numPr>
          <w:ilvl w:val="0"/>
          <w:numId w:val="16"/>
        </w:numPr>
        <w:spacing w:before="0" w:beforeAutospacing="0" w:after="0" w:afterAutospacing="0" w:line="360" w:lineRule="auto"/>
        <w:ind w:left="1260" w:right="0" w:hanging="834"/>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现在或随后进入公知领域的；</w:t>
      </w:r>
    </w:p>
    <w:p w14:paraId="00D766CD">
      <w:pPr>
        <w:widowControl w:val="0"/>
        <w:numPr>
          <w:ilvl w:val="0"/>
          <w:numId w:val="16"/>
        </w:numPr>
        <w:spacing w:before="0" w:beforeAutospacing="0" w:after="0" w:afterAutospacing="0" w:line="360" w:lineRule="auto"/>
        <w:ind w:left="1260" w:right="0" w:hanging="834"/>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可以证明在公开时，该信息已被任何一方所拥有，而且，并非直接或间接地从对方得到；</w:t>
      </w:r>
    </w:p>
    <w:p w14:paraId="75141D0A">
      <w:pPr>
        <w:widowControl w:val="0"/>
        <w:numPr>
          <w:ilvl w:val="0"/>
          <w:numId w:val="16"/>
        </w:numPr>
        <w:spacing w:before="0" w:beforeAutospacing="0" w:after="0" w:afterAutospacing="0" w:line="360" w:lineRule="auto"/>
        <w:ind w:left="1260" w:right="0" w:hanging="834"/>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从第三方合法获得的并不承担保密义务的资料。</w:t>
      </w:r>
    </w:p>
    <w:p w14:paraId="2EC1A75B">
      <w:pPr>
        <w:bidi w:val="0"/>
        <w:rPr>
          <w:rFonts w:hint="eastAsia" w:ascii="宋体" w:hAnsi="宋体" w:eastAsia="宋体" w:cs="宋体"/>
          <w:b/>
          <w:bCs/>
          <w:color w:val="auto"/>
          <w:kern w:val="2"/>
          <w:szCs w:val="21"/>
          <w:highlight w:val="none"/>
        </w:rPr>
      </w:pPr>
      <w:bookmarkStart w:id="190" w:name="_Toc2795"/>
      <w:r>
        <w:rPr>
          <w:rFonts w:hint="eastAsia" w:ascii="宋体" w:hAnsi="宋体" w:eastAsia="宋体" w:cs="宋体"/>
          <w:b/>
          <w:bCs/>
          <w:color w:val="auto"/>
          <w:highlight w:val="none"/>
          <w:lang w:val="en-US" w:eastAsia="zh-CN"/>
        </w:rPr>
        <w:t>十五、不可抗力</w:t>
      </w:r>
      <w:bookmarkEnd w:id="190"/>
    </w:p>
    <w:p w14:paraId="2B2026DC">
      <w:pPr>
        <w:widowControl w:val="0"/>
        <w:numPr>
          <w:ilvl w:val="0"/>
          <w:numId w:val="17"/>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任何一方由于战争、严重的火灾、台风、地震、水灾和其它不能预见、 不可避免和不能克服的不可抗力事件而影响其履行本合同所约定义务的，受影响的一方应将发生的不可抗力事件书面通知另一方，并在事件发生后十四天内以特快专递的方式将有权的证明机构出具的证明文件提交另一方证实。 </w:t>
      </w:r>
    </w:p>
    <w:p w14:paraId="16B37FB7">
      <w:pPr>
        <w:widowControl w:val="0"/>
        <w:numPr>
          <w:ilvl w:val="0"/>
          <w:numId w:val="17"/>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受影响的一方对因不可抗力而不能履行或延迟履行本合同义务不承担违约责任。 然而，受影响的一方应在不可抗力事件结束或消除后尽快以书面通知另一方。 </w:t>
      </w:r>
    </w:p>
    <w:p w14:paraId="45E2CEC9">
      <w:pPr>
        <w:widowControl w:val="0"/>
        <w:numPr>
          <w:ilvl w:val="0"/>
          <w:numId w:val="17"/>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双方在不可抗力事件停止后或影响消除后应立即继续履行各自的合同义务，履行期限相应延伸，如果不可抗力事件持续三十天以上时，任何一方有权书面通知对方解除本合同。 本合同因不可抗力事件解除时，双方应协商解决因此产生的所有问题。      </w:t>
      </w:r>
    </w:p>
    <w:p w14:paraId="5D470CBE">
      <w:pPr>
        <w:bidi w:val="0"/>
        <w:rPr>
          <w:rFonts w:hint="eastAsia" w:ascii="宋体" w:hAnsi="宋体" w:eastAsia="宋体" w:cs="宋体"/>
          <w:b/>
          <w:bCs/>
          <w:color w:val="auto"/>
          <w:kern w:val="2"/>
          <w:szCs w:val="21"/>
          <w:highlight w:val="none"/>
        </w:rPr>
      </w:pPr>
      <w:bookmarkStart w:id="191" w:name="_Toc2035"/>
      <w:r>
        <w:rPr>
          <w:rFonts w:hint="eastAsia" w:ascii="宋体" w:hAnsi="宋体" w:eastAsia="宋体" w:cs="宋体"/>
          <w:b/>
          <w:bCs/>
          <w:color w:val="auto"/>
          <w:highlight w:val="none"/>
          <w:lang w:val="en-US" w:eastAsia="zh-CN"/>
        </w:rPr>
        <w:t>十六、知识产权</w:t>
      </w:r>
      <w:bookmarkEnd w:id="191"/>
    </w:p>
    <w:p w14:paraId="7087EF2A">
      <w:pPr>
        <w:widowControl w:val="0"/>
        <w:spacing w:before="0" w:beforeAutospacing="0" w:after="0" w:afterAutospacing="0" w:line="360" w:lineRule="auto"/>
        <w:ind w:left="0" w:right="0" w:firstLine="315" w:firstLineChars="15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乙方应保障甲方不受因其在中国使用设备或任何其他相关部分而由任何第三方提出的在专利、商标、版权或其他知识产权方面索赔的伤害。如果任何第三方提出该等索赔，乙方应负责与该第三方交涉此事并承担因此产生的一切责任。本条项下甲方有关的权利和义务不因本合同解除或部分失效而受影响。</w:t>
      </w:r>
    </w:p>
    <w:p w14:paraId="1539DDDB">
      <w:pPr>
        <w:bidi w:val="0"/>
        <w:rPr>
          <w:rFonts w:hint="eastAsia" w:ascii="宋体" w:hAnsi="宋体" w:eastAsia="宋体" w:cs="宋体"/>
          <w:b/>
          <w:bCs/>
          <w:color w:val="auto"/>
          <w:kern w:val="2"/>
          <w:szCs w:val="21"/>
          <w:highlight w:val="none"/>
        </w:rPr>
      </w:pPr>
      <w:bookmarkStart w:id="192" w:name="_Toc967"/>
      <w:r>
        <w:rPr>
          <w:rFonts w:hint="eastAsia" w:ascii="宋体" w:hAnsi="宋体" w:eastAsia="宋体" w:cs="宋体"/>
          <w:b/>
          <w:bCs/>
          <w:color w:val="auto"/>
          <w:highlight w:val="none"/>
          <w:lang w:val="en-US" w:eastAsia="zh-CN"/>
        </w:rPr>
        <w:t>十七、纠纷解决办法</w:t>
      </w:r>
      <w:bookmarkEnd w:id="192"/>
    </w:p>
    <w:p w14:paraId="729C9FA3">
      <w:pPr>
        <w:widowControl w:val="0"/>
        <w:spacing w:before="0" w:beforeAutospacing="0" w:after="0" w:afterAutospacing="0" w:line="360" w:lineRule="auto"/>
        <w:ind w:left="0" w:right="0" w:firstLine="315" w:firstLineChars="15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本合同在履行过程中发生争议，由当事人双方应协商解决。协商不成，可向甲方所在地有管辖权的人民法院提起诉讼。在进行诉讼期间，除提交诉讼的事项外，合同仍应继续履行。由上述过程发生的费用除上述裁决另有约定外，应由败诉方承担。</w:t>
      </w:r>
    </w:p>
    <w:p w14:paraId="57927376">
      <w:pPr>
        <w:bidi w:val="0"/>
        <w:rPr>
          <w:rFonts w:hint="eastAsia" w:ascii="宋体" w:hAnsi="宋体" w:eastAsia="宋体" w:cs="宋体"/>
          <w:b/>
          <w:bCs/>
          <w:color w:val="auto"/>
          <w:kern w:val="2"/>
          <w:szCs w:val="21"/>
          <w:highlight w:val="none"/>
        </w:rPr>
      </w:pPr>
      <w:bookmarkStart w:id="193" w:name="_Toc1779"/>
      <w:r>
        <w:rPr>
          <w:rFonts w:hint="eastAsia" w:ascii="宋体" w:hAnsi="宋体" w:eastAsia="宋体" w:cs="宋体"/>
          <w:b/>
          <w:bCs/>
          <w:color w:val="auto"/>
          <w:highlight w:val="none"/>
          <w:lang w:val="en-US" w:eastAsia="zh-CN"/>
        </w:rPr>
        <w:t>十八、生效和其他</w:t>
      </w:r>
      <w:bookmarkEnd w:id="193"/>
    </w:p>
    <w:p w14:paraId="221816E4">
      <w:pPr>
        <w:widowControl w:val="0"/>
        <w:numPr>
          <w:ilvl w:val="0"/>
          <w:numId w:val="18"/>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本合同经</w:t>
      </w:r>
      <w:r>
        <w:rPr>
          <w:rFonts w:hint="eastAsia" w:ascii="宋体" w:hAnsi="宋体" w:cs="宋体"/>
          <w:color w:val="auto"/>
          <w:kern w:val="2"/>
          <w:sz w:val="21"/>
          <w:szCs w:val="21"/>
          <w:highlight w:val="none"/>
          <w:lang w:val="en-US" w:eastAsia="zh-CN"/>
        </w:rPr>
        <w:t>双方法定代表人或授权签字代表</w:t>
      </w:r>
      <w:r>
        <w:rPr>
          <w:rFonts w:hint="eastAsia" w:ascii="宋体" w:hAnsi="宋体" w:eastAsia="宋体" w:cs="宋体"/>
          <w:color w:val="auto"/>
          <w:kern w:val="2"/>
          <w:sz w:val="21"/>
          <w:szCs w:val="21"/>
          <w:highlight w:val="none"/>
          <w:lang w:val="en-US" w:eastAsia="zh-CN"/>
        </w:rPr>
        <w:t>签字</w:t>
      </w:r>
      <w:r>
        <w:rPr>
          <w:rFonts w:hint="eastAsia" w:ascii="宋体" w:hAnsi="宋体" w:cs="宋体"/>
          <w:color w:val="auto"/>
          <w:kern w:val="2"/>
          <w:sz w:val="21"/>
          <w:szCs w:val="21"/>
          <w:highlight w:val="none"/>
          <w:lang w:val="en-US" w:eastAsia="zh-CN"/>
        </w:rPr>
        <w:t>并加盖公</w:t>
      </w:r>
      <w:r>
        <w:rPr>
          <w:rFonts w:hint="eastAsia" w:ascii="宋体" w:hAnsi="宋体" w:eastAsia="宋体" w:cs="宋体"/>
          <w:color w:val="auto"/>
          <w:kern w:val="2"/>
          <w:sz w:val="21"/>
          <w:szCs w:val="21"/>
          <w:highlight w:val="none"/>
          <w:lang w:val="en-US" w:eastAsia="zh-CN"/>
        </w:rPr>
        <w:t>章</w:t>
      </w:r>
      <w:r>
        <w:rPr>
          <w:rFonts w:hint="eastAsia" w:ascii="宋体" w:hAnsi="宋体" w:cs="宋体"/>
          <w:color w:val="auto"/>
          <w:kern w:val="2"/>
          <w:sz w:val="21"/>
          <w:szCs w:val="21"/>
          <w:highlight w:val="none"/>
          <w:lang w:val="en-US" w:eastAsia="zh-CN"/>
        </w:rPr>
        <w:t>之日起</w:t>
      </w:r>
      <w:r>
        <w:rPr>
          <w:rFonts w:hint="eastAsia" w:ascii="宋体" w:hAnsi="宋体" w:eastAsia="宋体" w:cs="宋体"/>
          <w:color w:val="auto"/>
          <w:kern w:val="2"/>
          <w:sz w:val="21"/>
          <w:szCs w:val="21"/>
          <w:highlight w:val="none"/>
          <w:lang w:val="en-US" w:eastAsia="zh-CN"/>
        </w:rPr>
        <w:t>生效。</w:t>
      </w:r>
    </w:p>
    <w:p w14:paraId="2C37A76E">
      <w:pPr>
        <w:widowControl w:val="0"/>
        <w:numPr>
          <w:ilvl w:val="0"/>
          <w:numId w:val="18"/>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双方应各指定一名授权代表，负责直接处理与本合同履行有关的技术和商务事宜。双方授权代表的名称和通讯地址在本合同签署的同时书面通知对方。</w:t>
      </w:r>
    </w:p>
    <w:p w14:paraId="0D49E952">
      <w:pPr>
        <w:widowControl w:val="0"/>
        <w:numPr>
          <w:ilvl w:val="0"/>
          <w:numId w:val="18"/>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本合同履行期间双方间的通讯往来应采用书面方式。涉及重要事项的传真应随后立即以挂号信件或特快专递确认。</w:t>
      </w:r>
    </w:p>
    <w:p w14:paraId="05B44DE5">
      <w:pPr>
        <w:widowControl w:val="0"/>
        <w:numPr>
          <w:ilvl w:val="0"/>
          <w:numId w:val="18"/>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本合同未尽事宜，双方协商解决。本合同的任何修改、补充均需经双方协商一致并签署书面文件后方可生效。</w:t>
      </w:r>
    </w:p>
    <w:p w14:paraId="2645E0F5">
      <w:pPr>
        <w:widowControl w:val="0"/>
        <w:numPr>
          <w:ilvl w:val="0"/>
          <w:numId w:val="18"/>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本合同一式</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份，甲方各执</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lang w:val="en-US" w:eastAsia="zh-CN"/>
        </w:rPr>
        <w:t>份，每份具有相同的法律效力。</w:t>
      </w:r>
    </w:p>
    <w:p w14:paraId="270C42D1">
      <w:pPr>
        <w:widowControl w:val="0"/>
        <w:numPr>
          <w:ilvl w:val="0"/>
          <w:numId w:val="18"/>
        </w:numPr>
        <w:spacing w:before="0" w:beforeAutospacing="0" w:after="0" w:afterAutospacing="0" w:line="360" w:lineRule="auto"/>
        <w:ind w:left="420" w:right="0" w:hanging="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本合同的附件部分为：</w:t>
      </w:r>
    </w:p>
    <w:p w14:paraId="04359171">
      <w:pPr>
        <w:widowControl w:val="0"/>
        <w:spacing w:before="0" w:beforeAutospacing="0" w:after="0" w:afterAutospacing="0" w:line="360" w:lineRule="auto"/>
        <w:ind w:left="628" w:leftChars="299" w:right="0"/>
        <w:jc w:val="both"/>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附件一：安全管理协议书；</w:t>
      </w:r>
    </w:p>
    <w:p w14:paraId="050D8AC8">
      <w:pPr>
        <w:widowControl w:val="0"/>
        <w:spacing w:before="0" w:beforeAutospacing="0" w:after="0" w:afterAutospacing="0" w:line="360" w:lineRule="auto"/>
        <w:ind w:left="628" w:leftChars="299" w:right="0"/>
        <w:jc w:val="both"/>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附件二：阳光合作协议；</w:t>
      </w:r>
    </w:p>
    <w:p w14:paraId="55885DDF">
      <w:pPr>
        <w:widowControl w:val="0"/>
        <w:spacing w:before="0" w:beforeAutospacing="0" w:after="0" w:afterAutospacing="0" w:line="360" w:lineRule="auto"/>
        <w:ind w:left="628" w:leftChars="299" w:right="0"/>
        <w:jc w:val="both"/>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附件三：付款方式及相关资料办理流程；</w:t>
      </w:r>
    </w:p>
    <w:p w14:paraId="5D10D715">
      <w:pPr>
        <w:widowControl w:val="0"/>
        <w:spacing w:before="0" w:beforeAutospacing="0" w:after="0" w:afterAutospacing="0" w:line="360" w:lineRule="auto"/>
        <w:ind w:left="628" w:leftChars="299" w:right="0"/>
        <w:jc w:val="both"/>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附件四：锅炉与尾气系统施工项目清单及技术要求；</w:t>
      </w:r>
    </w:p>
    <w:p w14:paraId="5B011B24">
      <w:pPr>
        <w:widowControl w:val="0"/>
        <w:spacing w:before="0" w:beforeAutospacing="0" w:after="0" w:afterAutospacing="0" w:line="360" w:lineRule="auto"/>
        <w:ind w:left="628" w:leftChars="299" w:right="0"/>
        <w:jc w:val="both"/>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附件五：施工项目及服务内容；</w:t>
      </w:r>
    </w:p>
    <w:p w14:paraId="6BAD0179">
      <w:pPr>
        <w:widowControl w:val="0"/>
        <w:spacing w:before="0" w:beforeAutospacing="0" w:after="0" w:afterAutospacing="0" w:line="360" w:lineRule="auto"/>
        <w:ind w:left="628" w:leftChars="299" w:right="0"/>
        <w:jc w:val="both"/>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附件六：中标通知书；</w:t>
      </w:r>
    </w:p>
    <w:p w14:paraId="3510A215">
      <w:pPr>
        <w:widowControl w:val="0"/>
        <w:spacing w:before="0" w:beforeAutospacing="0" w:after="0" w:afterAutospacing="0" w:line="360" w:lineRule="auto"/>
        <w:ind w:left="628" w:leftChars="299" w:right="0"/>
        <w:jc w:val="both"/>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附件七：投标文件；</w:t>
      </w:r>
    </w:p>
    <w:p w14:paraId="35A19249">
      <w:pPr>
        <w:widowControl w:val="0"/>
        <w:spacing w:before="0" w:beforeAutospacing="0" w:after="0" w:afterAutospacing="0" w:line="360" w:lineRule="auto"/>
        <w:ind w:left="628" w:leftChars="299" w:right="0"/>
        <w:jc w:val="both"/>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附件八：采购文件（含澄清）。</w:t>
      </w:r>
    </w:p>
    <w:p w14:paraId="692213B8">
      <w:pPr>
        <w:widowControl w:val="0"/>
        <w:spacing w:before="0" w:beforeAutospacing="0" w:after="0" w:afterAutospacing="0" w:line="360" w:lineRule="auto"/>
        <w:ind w:left="0" w:right="0" w:firstLine="42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本合同附件是本合同不可分割的一部分，但与本合同条款相冲突的内容，本合同条款效力优先。 </w:t>
      </w:r>
    </w:p>
    <w:p w14:paraId="67A70C52">
      <w:pPr>
        <w:widowControl w:val="0"/>
        <w:spacing w:before="0" w:beforeAutospacing="0" w:after="0" w:afterAutospacing="0" w:line="360" w:lineRule="auto"/>
        <w:ind w:left="0" w:right="0"/>
        <w:jc w:val="both"/>
        <w:rPr>
          <w:rFonts w:hint="eastAsia" w:ascii="宋体" w:hAnsi="宋体" w:eastAsia="宋体" w:cs="宋体"/>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rPr>
        <w:t>（以下无正文）</w:t>
      </w:r>
    </w:p>
    <w:p w14:paraId="150F1470">
      <w:pPr>
        <w:widowControl w:val="0"/>
        <w:spacing w:before="0" w:beforeAutospacing="0" w:after="0" w:afterAutospacing="0" w:line="360" w:lineRule="auto"/>
        <w:ind w:left="0" w:right="0"/>
        <w:jc w:val="both"/>
        <w:rPr>
          <w:rFonts w:hint="eastAsia" w:ascii="宋体" w:hAnsi="宋体" w:eastAsia="宋体" w:cs="宋体"/>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rPr>
        <w:t xml:space="preserve"> </w:t>
      </w:r>
    </w:p>
    <w:p w14:paraId="1CC5B01A">
      <w:pPr>
        <w:widowControl w:val="0"/>
        <w:spacing w:before="0" w:beforeAutospacing="0" w:after="0" w:afterAutospacing="0" w:line="360" w:lineRule="auto"/>
        <w:ind w:left="0" w:right="0"/>
        <w:jc w:val="both"/>
        <w:rPr>
          <w:rFonts w:hint="eastAsia" w:ascii="宋体" w:hAnsi="宋体" w:eastAsia="宋体" w:cs="宋体"/>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rPr>
        <w:t xml:space="preserve"> （签字页）</w:t>
      </w:r>
    </w:p>
    <w:p w14:paraId="3DE9A863">
      <w:pPr>
        <w:widowControl w:val="0"/>
        <w:spacing w:before="0" w:beforeAutospacing="0" w:after="0" w:afterAutospacing="0" w:line="360" w:lineRule="auto"/>
        <w:ind w:left="0" w:right="0"/>
        <w:jc w:val="both"/>
        <w:rPr>
          <w:rFonts w:hint="eastAsia" w:ascii="宋体" w:hAnsi="宋体" w:eastAsia="宋体" w:cs="宋体"/>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rPr>
        <w:t xml:space="preserve"> </w:t>
      </w:r>
    </w:p>
    <w:p w14:paraId="02F24725">
      <w:pPr>
        <w:widowControl w:val="0"/>
        <w:spacing w:before="0" w:beforeAutospacing="0" w:after="0" w:afterAutospacing="0" w:line="360" w:lineRule="auto"/>
        <w:ind w:left="0" w:right="0"/>
        <w:jc w:val="both"/>
        <w:rPr>
          <w:rFonts w:hint="eastAsia" w:ascii="宋体" w:hAnsi="宋体" w:eastAsia="宋体" w:cs="宋体"/>
          <w:b/>
          <w:bCs w:val="0"/>
          <w:color w:val="auto"/>
          <w:kern w:val="2"/>
          <w:sz w:val="21"/>
          <w:szCs w:val="21"/>
          <w:highlight w:val="none"/>
        </w:rPr>
      </w:pPr>
      <w:r>
        <w:rPr>
          <w:rFonts w:hint="eastAsia" w:ascii="宋体" w:hAnsi="宋体" w:eastAsia="宋体" w:cs="宋体"/>
          <w:b/>
          <w:bCs w:val="0"/>
          <w:color w:val="auto"/>
          <w:kern w:val="2"/>
          <w:sz w:val="21"/>
          <w:szCs w:val="21"/>
          <w:highlight w:val="none"/>
          <w:lang w:val="en-US" w:eastAsia="zh-CN"/>
        </w:rPr>
        <w:t>签字盖章：</w:t>
      </w:r>
    </w:p>
    <w:p w14:paraId="47EFA663">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甲方： </w:t>
      </w:r>
    </w:p>
    <w:p w14:paraId="55231E54">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4124AD37">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法定代表人或授权代表（签字）：  </w:t>
      </w:r>
    </w:p>
    <w:p w14:paraId="0112AA12">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73A528F4">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日期：</w:t>
      </w:r>
    </w:p>
    <w:p w14:paraId="12B916CA">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1401AF49">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乙方： </w:t>
      </w:r>
    </w:p>
    <w:p w14:paraId="3A144999">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056B9EAA">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法定代表人或授权代表（签字）： </w:t>
      </w:r>
    </w:p>
    <w:p w14:paraId="40ABD0C2">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 </w:t>
      </w:r>
    </w:p>
    <w:p w14:paraId="482BC5EF">
      <w:pPr>
        <w:widowControl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 xml:space="preserve">日期：  </w:t>
      </w:r>
    </w:p>
    <w:p w14:paraId="1808FFA4">
      <w:pPr>
        <w:bidi w:val="0"/>
        <w:rPr>
          <w:rFonts w:hint="eastAsia" w:ascii="宋体" w:hAnsi="宋体" w:eastAsia="宋体" w:cs="宋体"/>
          <w:color w:val="auto"/>
          <w:kern w:val="2"/>
          <w:szCs w:val="21"/>
          <w:highlight w:val="none"/>
        </w:rPr>
      </w:pPr>
      <w:r>
        <w:rPr>
          <w:rFonts w:hint="eastAsia" w:ascii="宋体" w:hAnsi="宋体" w:eastAsia="宋体" w:cs="宋体"/>
          <w:color w:val="auto"/>
          <w:kern w:val="2"/>
          <w:sz w:val="21"/>
          <w:szCs w:val="21"/>
          <w:highlight w:val="none"/>
        </w:rPr>
        <w:br w:type="page"/>
      </w:r>
      <w:bookmarkStart w:id="194" w:name="_Toc27430"/>
      <w:bookmarkStart w:id="195" w:name="_Toc131690838"/>
      <w:r>
        <w:rPr>
          <w:rFonts w:hint="eastAsia" w:ascii="宋体" w:hAnsi="宋体" w:eastAsia="宋体" w:cs="宋体"/>
          <w:b/>
          <w:bCs/>
          <w:color w:val="auto"/>
          <w:kern w:val="2"/>
          <w:szCs w:val="21"/>
          <w:highlight w:val="none"/>
        </w:rPr>
        <w:t>附件一：安全管理协议书</w:t>
      </w:r>
      <w:bookmarkEnd w:id="194"/>
      <w:bookmarkEnd w:id="195"/>
    </w:p>
    <w:p w14:paraId="2590249E">
      <w:pPr>
        <w:widowControl w:val="0"/>
        <w:adjustRightInd/>
        <w:snapToGrid w:val="0"/>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 </w:t>
      </w:r>
    </w:p>
    <w:p w14:paraId="74FA73F7">
      <w:pPr>
        <w:widowControl w:val="0"/>
        <w:overflowPunct w:val="0"/>
        <w:autoSpaceDE w:val="0"/>
        <w:autoSpaceDN w:val="0"/>
        <w:adjustRightInd w:val="0"/>
        <w:snapToGrid/>
        <w:spacing w:line="360" w:lineRule="auto"/>
        <w:ind w:right="-197" w:rightChars="-94" w:firstLine="422" w:firstLineChars="200"/>
        <w:jc w:val="center"/>
        <w:textAlignment w:val="baseline"/>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安全管理协议书</w:t>
      </w:r>
    </w:p>
    <w:p w14:paraId="1D41556A">
      <w:pPr>
        <w:widowControl w:val="0"/>
        <w:autoSpaceDE w:val="0"/>
        <w:autoSpaceDN w:val="0"/>
        <w:adjustRightInd w:val="0"/>
        <w:snapToGrid/>
        <w:spacing w:line="360" w:lineRule="auto"/>
        <w:jc w:val="left"/>
        <w:rPr>
          <w:rFonts w:hint="eastAsia" w:ascii="宋体" w:hAnsi="宋体" w:eastAsia="宋体" w:cs="宋体"/>
          <w:color w:val="auto"/>
          <w:kern w:val="2"/>
          <w:szCs w:val="21"/>
          <w:highlight w:val="none"/>
        </w:rPr>
      </w:pPr>
    </w:p>
    <w:p w14:paraId="4AA3E98E">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甲方【发包单位】：</w:t>
      </w:r>
      <w:r>
        <w:rPr>
          <w:rFonts w:hint="eastAsia" w:ascii="宋体" w:hAnsi="宋体" w:eastAsia="宋体" w:cs="宋体"/>
          <w:color w:val="auto"/>
          <w:kern w:val="2"/>
          <w:szCs w:val="21"/>
          <w:highlight w:val="none"/>
          <w:u w:val="single"/>
        </w:rPr>
        <w:t xml:space="preserve">  东莞市新东元环保投资有限公司                               </w:t>
      </w:r>
    </w:p>
    <w:p w14:paraId="44D4D1AC">
      <w:pPr>
        <w:widowControl w:val="0"/>
        <w:adjustRightInd/>
        <w:snapToGrid/>
        <w:spacing w:line="360" w:lineRule="auto"/>
        <w:jc w:val="both"/>
        <w:rPr>
          <w:rFonts w:hint="eastAsia" w:ascii="宋体" w:hAnsi="宋体" w:eastAsia="宋体" w:cs="宋体"/>
          <w:color w:val="auto"/>
          <w:kern w:val="2"/>
          <w:szCs w:val="21"/>
          <w:highlight w:val="none"/>
          <w:u w:val="single"/>
        </w:rPr>
      </w:pPr>
      <w:r>
        <w:rPr>
          <w:rFonts w:hint="eastAsia" w:ascii="宋体" w:hAnsi="宋体" w:eastAsia="宋体" w:cs="宋体"/>
          <w:color w:val="auto"/>
          <w:kern w:val="2"/>
          <w:szCs w:val="21"/>
          <w:highlight w:val="none"/>
        </w:rPr>
        <w:t>地址：</w:t>
      </w:r>
      <w:r>
        <w:rPr>
          <w:rFonts w:hint="eastAsia" w:ascii="宋体" w:hAnsi="宋体" w:eastAsia="宋体" w:cs="宋体"/>
          <w:color w:val="auto"/>
          <w:kern w:val="2"/>
          <w:szCs w:val="21"/>
          <w:highlight w:val="none"/>
          <w:u w:val="single"/>
        </w:rPr>
        <w:t xml:space="preserve">东莞市麻涌镇大步村海心沙岛                                               </w:t>
      </w:r>
    </w:p>
    <w:p w14:paraId="6EECC0DC">
      <w:pPr>
        <w:widowControl w:val="0"/>
        <w:adjustRightInd/>
        <w:snapToGrid/>
        <w:spacing w:line="360" w:lineRule="auto"/>
        <w:jc w:val="both"/>
        <w:rPr>
          <w:rFonts w:hint="eastAsia" w:ascii="宋体" w:hAnsi="宋体" w:eastAsia="宋体" w:cs="宋体"/>
          <w:color w:val="auto"/>
          <w:kern w:val="2"/>
          <w:szCs w:val="21"/>
          <w:highlight w:val="none"/>
          <w:u w:val="single"/>
        </w:rPr>
      </w:pPr>
      <w:r>
        <w:rPr>
          <w:rFonts w:hint="eastAsia" w:ascii="宋体" w:hAnsi="宋体" w:eastAsia="宋体" w:cs="宋体"/>
          <w:color w:val="auto"/>
          <w:kern w:val="2"/>
          <w:szCs w:val="21"/>
          <w:highlight w:val="none"/>
        </w:rPr>
        <w:t>联络人：</w:t>
      </w:r>
      <w:r>
        <w:rPr>
          <w:rFonts w:hint="eastAsia" w:ascii="宋体" w:hAnsi="宋体" w:eastAsia="宋体" w:cs="宋体"/>
          <w:color w:val="auto"/>
          <w:kern w:val="2"/>
          <w:szCs w:val="21"/>
          <w:highlight w:val="none"/>
          <w:u w:val="none"/>
          <w:lang w:val="en-US" w:eastAsia="zh-CN"/>
        </w:rPr>
        <w:t xml:space="preserve">               </w:t>
      </w:r>
      <w:r>
        <w:rPr>
          <w:rFonts w:hint="eastAsia" w:ascii="宋体" w:hAnsi="宋体" w:eastAsia="宋体" w:cs="宋体"/>
          <w:color w:val="auto"/>
          <w:kern w:val="2"/>
          <w:szCs w:val="21"/>
          <w:highlight w:val="none"/>
        </w:rPr>
        <w:t>电话</w:t>
      </w:r>
      <w:r>
        <w:rPr>
          <w:rFonts w:hint="eastAsia" w:ascii="宋体" w:hAnsi="宋体" w:eastAsia="宋体" w:cs="宋体"/>
          <w:color w:val="auto"/>
          <w:kern w:val="2"/>
          <w:szCs w:val="21"/>
          <w:highlight w:val="none"/>
          <w:lang w:eastAsia="zh-CN"/>
        </w:rPr>
        <w:t>：</w:t>
      </w:r>
      <w:r>
        <w:rPr>
          <w:rFonts w:hint="eastAsia" w:ascii="宋体" w:hAnsi="宋体" w:eastAsia="宋体" w:cs="宋体"/>
          <w:color w:val="auto"/>
          <w:kern w:val="2"/>
          <w:szCs w:val="21"/>
          <w:highlight w:val="none"/>
          <w:u w:val="single"/>
        </w:rPr>
        <w:t xml:space="preserve"> </w:t>
      </w:r>
      <w:r>
        <w:rPr>
          <w:rFonts w:hint="eastAsia" w:ascii="宋体" w:hAnsi="宋体" w:eastAsia="宋体" w:cs="宋体"/>
          <w:color w:val="auto"/>
          <w:kern w:val="2"/>
          <w:szCs w:val="21"/>
          <w:highlight w:val="none"/>
          <w:u w:val="single"/>
          <w:bdr w:val="single" w:color="auto" w:sz="4" w:space="0"/>
        </w:rPr>
        <w:t xml:space="preserve">         </w:t>
      </w:r>
      <w:r>
        <w:rPr>
          <w:rFonts w:hint="eastAsia" w:ascii="宋体" w:hAnsi="宋体" w:eastAsia="宋体" w:cs="宋体"/>
          <w:color w:val="auto"/>
          <w:kern w:val="2"/>
          <w:szCs w:val="21"/>
          <w:highlight w:val="none"/>
          <w:u w:val="single"/>
        </w:rPr>
        <w:t xml:space="preserve">                                        </w:t>
      </w:r>
    </w:p>
    <w:p w14:paraId="5DD62AC2">
      <w:pPr>
        <w:widowControl w:val="0"/>
        <w:adjustRightInd/>
        <w:snapToGrid/>
        <w:spacing w:line="360" w:lineRule="auto"/>
        <w:jc w:val="both"/>
        <w:rPr>
          <w:rFonts w:hint="eastAsia" w:ascii="宋体" w:hAnsi="宋体" w:eastAsia="宋体" w:cs="宋体"/>
          <w:color w:val="auto"/>
          <w:kern w:val="2"/>
          <w:szCs w:val="21"/>
          <w:highlight w:val="none"/>
        </w:rPr>
      </w:pPr>
    </w:p>
    <w:p w14:paraId="148680CE">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乙方【施工单位】：</w:t>
      </w:r>
      <w:r>
        <w:rPr>
          <w:rFonts w:hint="eastAsia" w:ascii="宋体" w:hAnsi="宋体" w:eastAsia="宋体" w:cs="宋体"/>
          <w:color w:val="auto"/>
          <w:kern w:val="2"/>
          <w:szCs w:val="21"/>
          <w:highlight w:val="none"/>
          <w:u w:val="single"/>
        </w:rPr>
        <w:t xml:space="preserve">                                                  </w:t>
      </w:r>
    </w:p>
    <w:p w14:paraId="4A5ABA81">
      <w:pPr>
        <w:widowControl w:val="0"/>
        <w:adjustRightInd/>
        <w:snapToGrid/>
        <w:spacing w:line="360" w:lineRule="auto"/>
        <w:jc w:val="both"/>
        <w:rPr>
          <w:rFonts w:hint="eastAsia" w:ascii="宋体" w:hAnsi="宋体" w:eastAsia="宋体" w:cs="宋体"/>
          <w:color w:val="auto"/>
          <w:kern w:val="2"/>
          <w:szCs w:val="21"/>
          <w:highlight w:val="none"/>
          <w:u w:val="thick"/>
        </w:rPr>
      </w:pPr>
      <w:r>
        <w:rPr>
          <w:rFonts w:hint="eastAsia" w:ascii="宋体" w:hAnsi="宋体" w:eastAsia="宋体" w:cs="宋体"/>
          <w:color w:val="auto"/>
          <w:kern w:val="2"/>
          <w:szCs w:val="21"/>
          <w:highlight w:val="none"/>
        </w:rPr>
        <w:t>地址：</w:t>
      </w:r>
      <w:r>
        <w:rPr>
          <w:rFonts w:hint="eastAsia" w:ascii="宋体" w:hAnsi="宋体" w:eastAsia="宋体" w:cs="宋体"/>
          <w:color w:val="auto"/>
          <w:kern w:val="2"/>
          <w:szCs w:val="21"/>
          <w:highlight w:val="none"/>
          <w:u w:val="single"/>
        </w:rPr>
        <w:t xml:space="preserve">                                                      </w:t>
      </w:r>
    </w:p>
    <w:p w14:paraId="64C0918E">
      <w:pPr>
        <w:widowControl w:val="0"/>
        <w:adjustRightInd/>
        <w:snapToGrid/>
        <w:spacing w:line="360" w:lineRule="auto"/>
        <w:jc w:val="both"/>
        <w:rPr>
          <w:rFonts w:hint="eastAsia" w:ascii="宋体" w:hAnsi="宋体" w:eastAsia="宋体" w:cs="宋体"/>
          <w:color w:val="auto"/>
          <w:kern w:val="2"/>
          <w:szCs w:val="21"/>
          <w:highlight w:val="none"/>
          <w:u w:val="single"/>
        </w:rPr>
      </w:pPr>
      <w:r>
        <w:rPr>
          <w:rFonts w:hint="eastAsia" w:ascii="宋体" w:hAnsi="宋体" w:eastAsia="宋体" w:cs="宋体"/>
          <w:color w:val="auto"/>
          <w:kern w:val="2"/>
          <w:szCs w:val="21"/>
          <w:highlight w:val="none"/>
        </w:rPr>
        <w:t>联络人：</w:t>
      </w:r>
      <w:r>
        <w:rPr>
          <w:rFonts w:hint="eastAsia" w:ascii="宋体" w:hAnsi="宋体" w:eastAsia="宋体" w:cs="宋体"/>
          <w:color w:val="auto"/>
          <w:kern w:val="2"/>
          <w:szCs w:val="21"/>
          <w:highlight w:val="none"/>
          <w:u w:val="none"/>
          <w:lang w:val="en-US" w:eastAsia="zh-CN"/>
        </w:rPr>
        <w:t xml:space="preserve">                </w:t>
      </w:r>
      <w:r>
        <w:rPr>
          <w:rFonts w:hint="eastAsia" w:ascii="宋体" w:hAnsi="宋体" w:eastAsia="宋体" w:cs="宋体"/>
          <w:color w:val="auto"/>
          <w:kern w:val="2"/>
          <w:szCs w:val="21"/>
          <w:highlight w:val="none"/>
        </w:rPr>
        <w:t>电话</w:t>
      </w:r>
      <w:r>
        <w:rPr>
          <w:rFonts w:hint="eastAsia" w:ascii="宋体" w:hAnsi="宋体" w:eastAsia="宋体" w:cs="宋体"/>
          <w:color w:val="auto"/>
          <w:kern w:val="2"/>
          <w:szCs w:val="21"/>
          <w:highlight w:val="none"/>
          <w:u w:val="none"/>
        </w:rPr>
        <w:t>：</w:t>
      </w:r>
      <w:r>
        <w:rPr>
          <w:rFonts w:hint="eastAsia" w:ascii="宋体" w:hAnsi="宋体" w:eastAsia="宋体" w:cs="宋体"/>
          <w:color w:val="auto"/>
          <w:kern w:val="2"/>
          <w:szCs w:val="21"/>
          <w:highlight w:val="none"/>
          <w:u w:val="none"/>
          <w:lang w:val="en-US" w:eastAsia="zh-CN"/>
        </w:rPr>
        <w:t xml:space="preserve">    </w:t>
      </w:r>
      <w:r>
        <w:rPr>
          <w:rFonts w:hint="eastAsia" w:ascii="宋体" w:hAnsi="宋体" w:eastAsia="宋体" w:cs="宋体"/>
          <w:color w:val="auto"/>
          <w:kern w:val="2"/>
          <w:szCs w:val="21"/>
          <w:highlight w:val="none"/>
          <w:u w:val="single"/>
          <w:lang w:val="en-US" w:eastAsia="zh-CN"/>
        </w:rPr>
        <w:t xml:space="preserve"> </w:t>
      </w:r>
      <w:r>
        <w:rPr>
          <w:rFonts w:hint="eastAsia" w:ascii="宋体" w:hAnsi="宋体" w:eastAsia="宋体" w:cs="宋体"/>
          <w:color w:val="auto"/>
          <w:kern w:val="2"/>
          <w:szCs w:val="21"/>
          <w:highlight w:val="none"/>
          <w:u w:val="single"/>
        </w:rPr>
        <w:t xml:space="preserve">                                            </w:t>
      </w:r>
    </w:p>
    <w:p w14:paraId="20B66ACE">
      <w:pPr>
        <w:widowControl w:val="0"/>
        <w:adjustRightInd w:val="0"/>
        <w:snapToGrid/>
        <w:spacing w:line="360" w:lineRule="auto"/>
        <w:ind w:firstLine="630" w:firstLineChars="300"/>
        <w:jc w:val="both"/>
        <w:rPr>
          <w:rFonts w:hint="eastAsia" w:ascii="宋体" w:hAnsi="宋体" w:eastAsia="宋体" w:cs="宋体"/>
          <w:color w:val="auto"/>
          <w:kern w:val="2"/>
          <w:szCs w:val="21"/>
          <w:highlight w:val="none"/>
        </w:rPr>
      </w:pPr>
    </w:p>
    <w:p w14:paraId="67222C8B">
      <w:pPr>
        <w:widowControl w:val="0"/>
        <w:adjustRightInd w:val="0"/>
        <w:snapToGrid/>
        <w:spacing w:line="360" w:lineRule="auto"/>
        <w:ind w:firstLine="210" w:firstLineChars="100"/>
        <w:jc w:val="both"/>
        <w:rPr>
          <w:rFonts w:hint="eastAsia" w:ascii="宋体" w:hAnsi="宋体" w:eastAsia="宋体" w:cs="宋体"/>
          <w:b/>
          <w:color w:val="auto"/>
          <w:kern w:val="2"/>
          <w:szCs w:val="21"/>
          <w:highlight w:val="none"/>
        </w:rPr>
      </w:pPr>
      <w:r>
        <w:rPr>
          <w:rFonts w:hint="eastAsia" w:ascii="宋体" w:hAnsi="宋体" w:eastAsia="宋体" w:cs="宋体"/>
          <w:color w:val="auto"/>
          <w:kern w:val="2"/>
          <w:szCs w:val="21"/>
          <w:highlight w:val="none"/>
          <w:lang w:eastAsia="zh-CN"/>
        </w:rPr>
        <w:t>　</w:t>
      </w:r>
      <w:r>
        <w:rPr>
          <w:rFonts w:hint="eastAsia" w:ascii="宋体" w:hAnsi="宋体" w:eastAsia="宋体" w:cs="宋体"/>
          <w:color w:val="auto"/>
          <w:kern w:val="2"/>
          <w:szCs w:val="21"/>
          <w:highlight w:val="none"/>
        </w:rPr>
        <w:t>为了切实加强对建设项目施工现场的安全管理，进一步明确甲乙双方的安全管理责任，防止发生建设工程施工安全事故，依照《中华人民共和国</w:t>
      </w:r>
      <w:r>
        <w:rPr>
          <w:rFonts w:hint="eastAsia" w:ascii="宋体" w:hAnsi="宋体" w:cs="宋体"/>
          <w:color w:val="auto"/>
          <w:kern w:val="2"/>
          <w:szCs w:val="21"/>
          <w:highlight w:val="none"/>
          <w:lang w:val="en-US" w:eastAsia="zh-CN"/>
        </w:rPr>
        <w:t>民法典</w:t>
      </w:r>
      <w:r>
        <w:rPr>
          <w:rFonts w:hint="eastAsia" w:ascii="宋体" w:hAnsi="宋体" w:eastAsia="宋体" w:cs="宋体"/>
          <w:color w:val="auto"/>
          <w:kern w:val="2"/>
          <w:szCs w:val="21"/>
          <w:highlight w:val="none"/>
        </w:rPr>
        <w:t>》《中华人民共和国安全生产法》、国务院《建设工程安全生产管理条例》及其它相关法律、法规规定，遵循平等、自愿、公平和依法管理的原则，在甲乙双方签订的《东莞市海心沙资源综合利用中心环保热电厂锅炉和尾气系统施工</w:t>
      </w:r>
      <w:r>
        <w:rPr>
          <w:rFonts w:hint="eastAsia" w:ascii="宋体" w:hAnsi="宋体" w:eastAsia="宋体" w:cs="宋体"/>
          <w:color w:val="auto"/>
          <w:kern w:val="2"/>
          <w:szCs w:val="21"/>
          <w:highlight w:val="none"/>
          <w:lang w:eastAsia="zh-CN"/>
        </w:rPr>
        <w:t>清包工程服务</w:t>
      </w:r>
      <w:r>
        <w:rPr>
          <w:rFonts w:hint="eastAsia" w:ascii="宋体" w:hAnsi="宋体" w:eastAsia="宋体" w:cs="宋体"/>
          <w:color w:val="auto"/>
          <w:kern w:val="2"/>
          <w:szCs w:val="21"/>
          <w:highlight w:val="none"/>
        </w:rPr>
        <w:t>采购项目合同》（甲方合同编号：               乙方合同编号：            ）（以下简称原合同）基础上，共同协商一致，签订本安全管理协议书（以下简称本协议）。</w:t>
      </w:r>
    </w:p>
    <w:p w14:paraId="4A7779B8">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p>
    <w:p w14:paraId="1DD110AF">
      <w:pPr>
        <w:widowControl w:val="0"/>
        <w:adjustRightInd/>
        <w:snapToGrid/>
        <w:spacing w:line="360" w:lineRule="auto"/>
        <w:ind w:firstLine="422" w:firstLineChars="200"/>
        <w:jc w:val="both"/>
        <w:rPr>
          <w:rFonts w:hint="eastAsia" w:ascii="宋体" w:hAnsi="宋体" w:eastAsia="宋体" w:cs="宋体"/>
          <w:b/>
          <w:color w:val="auto"/>
          <w:kern w:val="2"/>
          <w:szCs w:val="21"/>
          <w:highlight w:val="none"/>
        </w:rPr>
      </w:pPr>
      <w:bookmarkStart w:id="196" w:name="_Toc44263346"/>
      <w:r>
        <w:rPr>
          <w:rFonts w:hint="eastAsia" w:ascii="宋体" w:hAnsi="宋体" w:eastAsia="宋体" w:cs="宋体"/>
          <w:b/>
          <w:color w:val="auto"/>
          <w:kern w:val="2"/>
          <w:szCs w:val="21"/>
          <w:highlight w:val="none"/>
        </w:rPr>
        <w:t>第一条 基本情况</w:t>
      </w:r>
      <w:bookmarkEnd w:id="196"/>
    </w:p>
    <w:p w14:paraId="18FDF2A1">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1.1 工程名称：东莞市海心沙资源综合利用中心环保热电厂锅炉和尾气系统施工</w:t>
      </w:r>
      <w:r>
        <w:rPr>
          <w:rFonts w:hint="eastAsia" w:ascii="宋体" w:hAnsi="宋体" w:eastAsia="宋体" w:cs="宋体"/>
          <w:color w:val="auto"/>
          <w:kern w:val="2"/>
          <w:szCs w:val="21"/>
          <w:highlight w:val="none"/>
          <w:lang w:eastAsia="zh-CN"/>
        </w:rPr>
        <w:t>清包工程服务</w:t>
      </w:r>
      <w:r>
        <w:rPr>
          <w:rFonts w:hint="eastAsia" w:ascii="宋体" w:hAnsi="宋体" w:eastAsia="宋体" w:cs="宋体"/>
          <w:color w:val="auto"/>
          <w:kern w:val="2"/>
          <w:szCs w:val="21"/>
          <w:highlight w:val="none"/>
        </w:rPr>
        <w:t>采购项目。</w:t>
      </w:r>
    </w:p>
    <w:p w14:paraId="2DC06BF0">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1.2 工程地点与范围：东莞市麻涌镇大步村海心沙岛；</w:t>
      </w:r>
    </w:p>
    <w:p w14:paraId="350AFC62">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1.3 工程承包主要内容：东莞市海心沙资源综合利用中心环保热电厂锅炉和尾气系统施工</w:t>
      </w:r>
      <w:r>
        <w:rPr>
          <w:rFonts w:hint="eastAsia" w:ascii="宋体" w:hAnsi="宋体" w:eastAsia="宋体" w:cs="宋体"/>
          <w:color w:val="auto"/>
          <w:kern w:val="2"/>
          <w:szCs w:val="21"/>
          <w:highlight w:val="none"/>
          <w:lang w:eastAsia="zh-CN"/>
        </w:rPr>
        <w:t>清包工程服务</w:t>
      </w:r>
      <w:r>
        <w:rPr>
          <w:rFonts w:hint="eastAsia" w:ascii="宋体" w:hAnsi="宋体" w:eastAsia="宋体" w:cs="宋体"/>
          <w:color w:val="auto"/>
          <w:kern w:val="2"/>
          <w:szCs w:val="21"/>
          <w:highlight w:val="none"/>
        </w:rPr>
        <w:t>。</w:t>
      </w:r>
    </w:p>
    <w:p w14:paraId="3FC36B26">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1.4 工程工期：自     年    月    日至竣工验收，人员全部撤离为止。</w:t>
      </w:r>
    </w:p>
    <w:p w14:paraId="1E55F32F">
      <w:pPr>
        <w:widowControl w:val="0"/>
        <w:adjustRightInd/>
        <w:snapToGrid/>
        <w:spacing w:line="360" w:lineRule="auto"/>
        <w:ind w:firstLine="422" w:firstLineChars="200"/>
        <w:jc w:val="both"/>
        <w:rPr>
          <w:rFonts w:hint="eastAsia" w:ascii="宋体" w:hAnsi="宋体" w:eastAsia="宋体" w:cs="宋体"/>
          <w:b/>
          <w:color w:val="auto"/>
          <w:kern w:val="2"/>
          <w:szCs w:val="21"/>
          <w:highlight w:val="none"/>
        </w:rPr>
      </w:pPr>
      <w:bookmarkStart w:id="197" w:name="_Toc44263347"/>
      <w:r>
        <w:rPr>
          <w:rFonts w:hint="eastAsia" w:ascii="宋体" w:hAnsi="宋体" w:eastAsia="宋体" w:cs="宋体"/>
          <w:b/>
          <w:color w:val="auto"/>
          <w:kern w:val="2"/>
          <w:szCs w:val="21"/>
          <w:highlight w:val="none"/>
        </w:rPr>
        <w:t>第二条 乙方资质</w:t>
      </w:r>
      <w:bookmarkEnd w:id="197"/>
    </w:p>
    <w:p w14:paraId="118CA454">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2.1 乙方应将资质、资格证书、安全有关资料原件呈送甲方，并对资料真实性负责，审核通过后报送甲方进行复核、备案。</w:t>
      </w:r>
    </w:p>
    <w:p w14:paraId="13D081B5">
      <w:pPr>
        <w:widowControl w:val="0"/>
        <w:adjustRightInd/>
        <w:snapToGrid/>
        <w:spacing w:line="360" w:lineRule="auto"/>
        <w:ind w:firstLine="422" w:firstLineChars="200"/>
        <w:jc w:val="both"/>
        <w:rPr>
          <w:rFonts w:hint="eastAsia" w:ascii="宋体" w:hAnsi="宋体" w:eastAsia="宋体" w:cs="宋体"/>
          <w:b/>
          <w:color w:val="auto"/>
          <w:kern w:val="2"/>
          <w:szCs w:val="21"/>
          <w:highlight w:val="none"/>
        </w:rPr>
      </w:pPr>
      <w:bookmarkStart w:id="198" w:name="_Toc44263348"/>
      <w:r>
        <w:rPr>
          <w:rFonts w:hint="eastAsia" w:ascii="宋体" w:hAnsi="宋体" w:eastAsia="宋体" w:cs="宋体"/>
          <w:b/>
          <w:color w:val="auto"/>
          <w:kern w:val="2"/>
          <w:szCs w:val="21"/>
          <w:highlight w:val="none"/>
        </w:rPr>
        <w:t>第三条 乙方承包项目负责人及安全管理人员</w:t>
      </w:r>
      <w:bookmarkEnd w:id="198"/>
    </w:p>
    <w:p w14:paraId="4FF209D7">
      <w:pPr>
        <w:widowControl w:val="0"/>
        <w:adjustRightInd/>
        <w:snapToGrid/>
        <w:spacing w:line="360" w:lineRule="auto"/>
        <w:ind w:firstLine="420" w:firstLineChars="200"/>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3.1 乙方承包项目负责人：</w:t>
      </w:r>
      <w:r>
        <w:rPr>
          <w:rFonts w:hint="eastAsia" w:ascii="宋体" w:hAnsi="宋体" w:eastAsia="宋体" w:cs="宋体"/>
          <w:bCs/>
          <w:color w:val="auto"/>
          <w:kern w:val="2"/>
          <w:szCs w:val="21"/>
          <w:highlight w:val="none"/>
          <w:u w:val="single"/>
        </w:rPr>
        <w:t xml:space="preserve">         </w:t>
      </w:r>
      <w:r>
        <w:rPr>
          <w:rFonts w:hint="eastAsia" w:ascii="宋体" w:hAnsi="宋体" w:eastAsia="宋体" w:cs="宋体"/>
          <w:bCs/>
          <w:color w:val="auto"/>
          <w:kern w:val="2"/>
          <w:szCs w:val="21"/>
          <w:highlight w:val="none"/>
        </w:rPr>
        <w:t>电话</w:t>
      </w:r>
      <w:r>
        <w:rPr>
          <w:rFonts w:hint="eastAsia" w:ascii="宋体" w:hAnsi="宋体" w:eastAsia="宋体" w:cs="宋体"/>
          <w:bCs/>
          <w:color w:val="auto"/>
          <w:kern w:val="2"/>
          <w:szCs w:val="21"/>
          <w:highlight w:val="none"/>
          <w:u w:val="single"/>
        </w:rPr>
        <w:t xml:space="preserve">：           </w:t>
      </w:r>
      <w:r>
        <w:rPr>
          <w:rFonts w:hint="eastAsia" w:ascii="宋体" w:hAnsi="宋体" w:eastAsia="宋体" w:cs="宋体"/>
          <w:bCs/>
          <w:color w:val="auto"/>
          <w:kern w:val="2"/>
          <w:szCs w:val="21"/>
          <w:highlight w:val="none"/>
        </w:rPr>
        <w:t>；</w:t>
      </w:r>
    </w:p>
    <w:p w14:paraId="3DF2890A">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bCs/>
          <w:color w:val="auto"/>
          <w:kern w:val="2"/>
          <w:szCs w:val="21"/>
          <w:highlight w:val="none"/>
        </w:rPr>
        <w:t>3.2 乙方安全生产管理负责人：</w:t>
      </w:r>
      <w:r>
        <w:rPr>
          <w:rFonts w:hint="eastAsia" w:ascii="宋体" w:hAnsi="宋体" w:eastAsia="宋体" w:cs="宋体"/>
          <w:bCs/>
          <w:color w:val="auto"/>
          <w:kern w:val="2"/>
          <w:szCs w:val="21"/>
          <w:highlight w:val="none"/>
          <w:u w:val="single"/>
        </w:rPr>
        <w:t xml:space="preserve">        </w:t>
      </w:r>
      <w:r>
        <w:rPr>
          <w:rFonts w:hint="eastAsia" w:ascii="宋体" w:hAnsi="宋体" w:eastAsia="宋体" w:cs="宋体"/>
          <w:bCs/>
          <w:color w:val="auto"/>
          <w:kern w:val="2"/>
          <w:szCs w:val="21"/>
          <w:highlight w:val="none"/>
        </w:rPr>
        <w:t>电话</w:t>
      </w:r>
      <w:r>
        <w:rPr>
          <w:rFonts w:hint="eastAsia" w:ascii="宋体" w:hAnsi="宋体" w:eastAsia="宋体" w:cs="宋体"/>
          <w:bCs/>
          <w:color w:val="auto"/>
          <w:kern w:val="2"/>
          <w:szCs w:val="21"/>
          <w:highlight w:val="none"/>
          <w:u w:val="single"/>
        </w:rPr>
        <w:t xml:space="preserve">：          </w:t>
      </w:r>
      <w:r>
        <w:rPr>
          <w:rFonts w:hint="eastAsia" w:ascii="宋体" w:hAnsi="宋体" w:eastAsia="宋体" w:cs="宋体"/>
          <w:bCs/>
          <w:color w:val="auto"/>
          <w:kern w:val="2"/>
          <w:szCs w:val="21"/>
          <w:highlight w:val="none"/>
        </w:rPr>
        <w:t>；</w:t>
      </w:r>
    </w:p>
    <w:p w14:paraId="3E596350">
      <w:pPr>
        <w:widowControl w:val="0"/>
        <w:adjustRightInd/>
        <w:snapToGrid/>
        <w:spacing w:line="360" w:lineRule="auto"/>
        <w:ind w:firstLine="422" w:firstLineChars="200"/>
        <w:jc w:val="both"/>
        <w:rPr>
          <w:rFonts w:hint="eastAsia" w:ascii="宋体" w:hAnsi="宋体" w:eastAsia="宋体" w:cs="宋体"/>
          <w:b/>
          <w:color w:val="auto"/>
          <w:kern w:val="2"/>
          <w:szCs w:val="21"/>
          <w:highlight w:val="none"/>
        </w:rPr>
      </w:pPr>
      <w:bookmarkStart w:id="199" w:name="_Toc44263349"/>
      <w:r>
        <w:rPr>
          <w:rFonts w:hint="eastAsia" w:ascii="宋体" w:hAnsi="宋体" w:eastAsia="宋体" w:cs="宋体"/>
          <w:b/>
          <w:color w:val="auto"/>
          <w:kern w:val="2"/>
          <w:szCs w:val="21"/>
          <w:highlight w:val="none"/>
        </w:rPr>
        <w:t>第四条 甲方的权利和义务</w:t>
      </w:r>
      <w:bookmarkEnd w:id="199"/>
    </w:p>
    <w:p w14:paraId="61C18C99">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4.1 甲方或甲方委托方审查乙方的营业执照、资质证书、特种作业人员有效证件、安全管理制度和机械安全防护设施及检测情况等，并需要对原件和复印件进行核对无误，对复印件加盖与原件一致；</w:t>
      </w:r>
    </w:p>
    <w:p w14:paraId="740D3E1F">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4.2 甲方或甲方委托方对乙方所制定的安全操作规程和应急预案进行审查、审批和检查落实，对无方案、无措施和措施落实不到位的有权停止施工，限期整改，并根据具体情况进行处罚；</w:t>
      </w:r>
    </w:p>
    <w:p w14:paraId="0607B8BF">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4.3 乙方编制的施工组织设计、施工安全方案、施工安全措施以及关键工序、重点环节，特种机械设备的使用专项施工方案，由甲方或甲方委托方审查同意后方可实施；</w:t>
      </w:r>
    </w:p>
    <w:p w14:paraId="7A093BF0">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4.4 甲方或甲方委托方对乙方特种设备作业人员资格进行验证，禁止非特种作业人员从事特种作业；</w:t>
      </w:r>
    </w:p>
    <w:p w14:paraId="27D0BA6B">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4.5 因乙方不遵守本协议条款，造成安全事故的发生，甲方有权取消乙方承包资格，并终止原合同，因此产生的责任（包括但不限于行政责任）由乙方承担，并且须根据原合同及本协议相关规定向</w:t>
      </w:r>
      <w:r>
        <w:rPr>
          <w:rFonts w:hint="eastAsia" w:ascii="宋体" w:hAnsi="宋体" w:cs="宋体"/>
          <w:color w:val="auto"/>
          <w:kern w:val="2"/>
          <w:szCs w:val="21"/>
          <w:highlight w:val="none"/>
          <w:lang w:val="en-US" w:eastAsia="zh-CN"/>
        </w:rPr>
        <w:t>甲方</w:t>
      </w:r>
      <w:r>
        <w:rPr>
          <w:rFonts w:hint="eastAsia" w:ascii="宋体" w:hAnsi="宋体" w:eastAsia="宋体" w:cs="宋体"/>
          <w:color w:val="auto"/>
          <w:kern w:val="2"/>
          <w:szCs w:val="21"/>
          <w:highlight w:val="none"/>
        </w:rPr>
        <w:t>承担违约责任；</w:t>
      </w:r>
    </w:p>
    <w:p w14:paraId="457249CA">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4.6 甲方或甲方委托方有权依据国家安全政策、法规和各项安全技术操作规程对乙方安全进行监督、检查和管理，有权纠正和制止乙方违规、违章行为，并根据具体情况进行处罚。甲方或甲方委托方发现乙方存在工程安全隐患，有权责令乙方限期整改；对存在重大工程安全隐患的，甲方或甲方委托方有权责令乙方立即停工整改，待隐患消除后方可复工；</w:t>
      </w:r>
    </w:p>
    <w:p w14:paraId="060F8067">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4.7甲方或甲方委托方建立由甲方、乙方共同参加的安全例会制度，定期分析工程安全动态，协助乙方制定保障安全施工的方案和措施。安全例会应形成会议记录或会议纪要；</w:t>
      </w:r>
    </w:p>
    <w:p w14:paraId="6524B689">
      <w:pPr>
        <w:widowControl w:val="0"/>
        <w:adjustRightInd/>
        <w:snapToGrid w:val="0"/>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4.8乙方发生事故时，甲方或甲方委托方应提供支持和帮助，发生人身伤害事故时，要积极配合抢救，并提供其他便利条件；</w:t>
      </w:r>
    </w:p>
    <w:p w14:paraId="2865313B">
      <w:pPr>
        <w:widowControl w:val="0"/>
        <w:adjustRightInd/>
        <w:snapToGrid w:val="0"/>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4.9甲方或甲方委托方不得指派乙方人员从事原合同外的施工任务。</w:t>
      </w:r>
    </w:p>
    <w:p w14:paraId="27FE34CA">
      <w:pPr>
        <w:widowControl w:val="0"/>
        <w:adjustRightInd/>
        <w:snapToGrid/>
        <w:spacing w:line="360" w:lineRule="auto"/>
        <w:ind w:firstLine="422" w:firstLineChars="200"/>
        <w:jc w:val="both"/>
        <w:rPr>
          <w:rFonts w:hint="eastAsia" w:ascii="宋体" w:hAnsi="宋体" w:eastAsia="宋体" w:cs="宋体"/>
          <w:b/>
          <w:color w:val="auto"/>
          <w:kern w:val="2"/>
          <w:szCs w:val="21"/>
          <w:highlight w:val="none"/>
        </w:rPr>
      </w:pPr>
      <w:bookmarkStart w:id="200" w:name="_Toc44263350"/>
      <w:r>
        <w:rPr>
          <w:rFonts w:hint="eastAsia" w:ascii="宋体" w:hAnsi="宋体" w:eastAsia="宋体" w:cs="宋体"/>
          <w:b/>
          <w:color w:val="auto"/>
          <w:kern w:val="2"/>
          <w:szCs w:val="21"/>
          <w:highlight w:val="none"/>
        </w:rPr>
        <w:t>第五条 乙方的权利和义务</w:t>
      </w:r>
      <w:bookmarkEnd w:id="200"/>
    </w:p>
    <w:p w14:paraId="66BC30AA">
      <w:pPr>
        <w:widowControl w:val="0"/>
        <w:adjustRightInd/>
        <w:snapToGrid/>
        <w:spacing w:line="360" w:lineRule="auto"/>
        <w:ind w:firstLine="420" w:firstLineChars="200"/>
        <w:jc w:val="both"/>
        <w:rPr>
          <w:rFonts w:hint="eastAsia" w:ascii="宋体" w:hAnsi="宋体" w:eastAsia="宋体" w:cs="宋体"/>
          <w:b/>
          <w:bCs/>
          <w:color w:val="auto"/>
          <w:kern w:val="2"/>
          <w:szCs w:val="21"/>
          <w:highlight w:val="none"/>
        </w:rPr>
      </w:pPr>
      <w:r>
        <w:rPr>
          <w:rFonts w:hint="eastAsia" w:ascii="宋体" w:hAnsi="宋体" w:eastAsia="宋体" w:cs="宋体"/>
          <w:color w:val="auto"/>
          <w:kern w:val="2"/>
          <w:szCs w:val="21"/>
          <w:highlight w:val="none"/>
          <w:shd w:val="clear" w:color="auto" w:fill="FFFFFF"/>
        </w:rPr>
        <w:t>5.1 乙方负责人是承包项目第一责任人，对本协议工程安全负全面责任；</w:t>
      </w:r>
    </w:p>
    <w:p w14:paraId="63B1ED68">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 乙方应认真贯彻执行国家安全生产政策、法规和行业安全规程、规定及甲方制定的各项安全管理制度，自觉遵守本协议；</w:t>
      </w:r>
    </w:p>
    <w:p w14:paraId="70D99852">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5.3 乙方自备及租赁的各类施工机械设备，必须符合国家技术标准和行业技术标准，且机械性能良好，各种安全防护装置齐全、灵敏、可靠，特种设备并经有资质检验部门出具的经检验符合安全规定的证明材料；</w:t>
      </w:r>
    </w:p>
    <w:p w14:paraId="33A0DA31">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5.4 乙方在施工、作业过程中应切实采取有效地安全防护措施，加强项目施工作业的安全管理工作，防止各类安全事故的发生，保证人身及财产安全；</w:t>
      </w:r>
    </w:p>
    <w:p w14:paraId="38EF1D85">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5.5 乙方必须坚持“管生产必须管安全”的原则，做到安全工作与生产“五同时”（即计划、布置、检查、总结、考核）；</w:t>
      </w:r>
    </w:p>
    <w:p w14:paraId="4BF93577">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5.6 乙方应建立安全生产保证体系及安全组织机构，设置专职安全生产管理人员，健全现场安全生产责任制及相应的安全奖惩办法；</w:t>
      </w:r>
    </w:p>
    <w:p w14:paraId="42A77698">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5.7 乙方项目负责人、专职安全生产管理人员和特种作业人员应按照国家有关规定经过培训考核合格后，持相关安全管理部门核发的、有效的资格证书上岗；</w:t>
      </w:r>
    </w:p>
    <w:p w14:paraId="2B6A9947">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5.8 乙方投入施工现场的全部机械设备及各类工具，必须经检验合格，符合国家相关标准并遵守相关操作规程；</w:t>
      </w:r>
    </w:p>
    <w:p w14:paraId="0B7A8B57">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5.9 乙方</w:t>
      </w:r>
      <w:r>
        <w:rPr>
          <w:rFonts w:hint="eastAsia" w:ascii="宋体" w:hAnsi="宋体" w:eastAsia="宋体" w:cs="宋体"/>
          <w:color w:val="auto"/>
          <w:kern w:val="2"/>
          <w:szCs w:val="21"/>
          <w:highlight w:val="none"/>
          <w:lang w:val="en-US" w:eastAsia="zh-CN"/>
        </w:rPr>
        <w:t>现场管理及作业人员必须按属地社保部门相关标准权益足额参保购买工伤保险，参保人员名单与实际进场人员需完全一致，同时需为全体人员单独购买商业保险（意外伤害保险、安全生产责任险、雇主责任险）保额不得低于100万</w:t>
      </w:r>
      <w:r>
        <w:rPr>
          <w:rFonts w:hint="eastAsia" w:ascii="宋体" w:hAnsi="宋体" w:eastAsia="宋体" w:cs="宋体"/>
          <w:color w:val="auto"/>
          <w:kern w:val="2"/>
          <w:szCs w:val="21"/>
          <w:highlight w:val="none"/>
        </w:rPr>
        <w:t>，并提供真实证明材料；</w:t>
      </w:r>
    </w:p>
    <w:p w14:paraId="4662DD6C">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5.10 乙方根据工作现场特点在生产组织中编制安全施工方案或安全施工技术方案；</w:t>
      </w:r>
    </w:p>
    <w:p w14:paraId="0A794466">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5.11 乙方做好工作人员的安全教育和安全技术交底工作，保证上岗作业人员经安全教育，未经安全教育者不得进场施工；</w:t>
      </w:r>
    </w:p>
    <w:p w14:paraId="5BE31EF1">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5.12 乙方应购置配备安全防护设施和劳动保护用品，其使用要求符合国家标准，对不合格者，甲方有权要求整改，并根据具体情况进行处罚；</w:t>
      </w:r>
    </w:p>
    <w:p w14:paraId="16B32A07">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5.13 乙方在施工过程中对人的不安全行为，物的不安全状态，作业环境的不安全因素和管理上的缺陷进行控制。杜绝违章指挥、违章作业现象存在；</w:t>
      </w:r>
    </w:p>
    <w:p w14:paraId="20EEED47">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5.14 乙方应做好上岗人员安全教育培训档案管理工作，培训记录和安全考试卷必须保存完整、齐全；</w:t>
      </w:r>
    </w:p>
    <w:p w14:paraId="3C75A211">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5.15 乙方要定期做好生产现场的安全检查工作，对安全隐患及时整改。对甲方检查后下达的安全检查整改通知单应无条件整改；</w:t>
      </w:r>
    </w:p>
    <w:p w14:paraId="4919D60B">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5.16 乙方有责任向甲方提出安全合理化建议，有义务完成甲方安排的有利于安全工作的其他要求；</w:t>
      </w:r>
    </w:p>
    <w:p w14:paraId="5B55E711">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5.17 乙方在生产过程中发生安全事故，应按照国家相关安全事故报告和调查处理的规定，及时如实上报甲方，不得发生迟报、瞒报、谎报现象，甲方将保留对其追究法律责任的权利；</w:t>
      </w:r>
    </w:p>
    <w:p w14:paraId="17654BE0">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5.18 乙方在安全事故发生后，应当采取相应措施防止事故扩大，保护事故现场；按照事故处理“四不放过”的原则（即事故原因不清楚不放过、事故责任者和应受到教育者没有受到教育不放过、没有采取防范措施不放过、事故责任者没有受到处理不放过）进行调查、处理，同时，做好事故的善后处理；如因乙方在安全事故发生后，并未采取相应措施导致安全事故及人员事故扩大的，以及造成甲方现场产生的经济损失的，由乙方承担所有责任，甲方将保留对其追究法律责任的权利；</w:t>
      </w:r>
    </w:p>
    <w:p w14:paraId="1D973AD2">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5.19 乙方在施工、作业过程中必须加强安全管理，由于管理不到位造成安全事故发生，乙方必须承担全部责任，并承担由此给甲方造成的名誉及经济损失；</w:t>
      </w:r>
    </w:p>
    <w:p w14:paraId="00F25362">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5.20 乙方应如实的向上岗人员告知作业现场及岗位存在的危险因素、防范措施和应急处理措施；</w:t>
      </w:r>
    </w:p>
    <w:p w14:paraId="660D4FAD">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5.21 乙方生产电源的架设和水源的使用，必须服从甲方的管理，不得私自接用；</w:t>
      </w:r>
    </w:p>
    <w:p w14:paraId="35C68798">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5.22 乙方必须做好消防工作，落实岗位消防制度，防止火灾的发生。消防设施的设置要求满足消防规程的要求，严禁使用不合格或过期消防设备；</w:t>
      </w:r>
    </w:p>
    <w:p w14:paraId="49B0E53C">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5.23 乙方必须做好作业现场各类车辆的交通安全工作，杜绝超速、超载、无证驾驶、酒后驾驶、疲劳驾驶等违章行为的发生；</w:t>
      </w:r>
    </w:p>
    <w:p w14:paraId="0BCD6C50">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5.24 乙方必须在作业现场重点危险部位设置醒目的安全警示标志、路标及隔离围栏等，并不定期进行检查维护，保证警示标志的整洁、完好；</w:t>
      </w:r>
    </w:p>
    <w:p w14:paraId="1839EF2C">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5.25 乙方应加强生产现场管理，严禁闲杂人员进入生产现场，并保持生产现场良好的秩序；</w:t>
      </w:r>
    </w:p>
    <w:p w14:paraId="5C20AC9A">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5.26 乙方必须对务工人员进行相关安全教育培训，并做好培训记录，严禁未经安全培训的人员进行相关施工作业；</w:t>
      </w:r>
    </w:p>
    <w:p w14:paraId="05584F4C">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5.27 乙方</w:t>
      </w:r>
      <w:r>
        <w:rPr>
          <w:rFonts w:hint="eastAsia" w:ascii="宋体" w:hAnsi="宋体" w:eastAsia="宋体" w:cs="宋体"/>
          <w:color w:val="auto"/>
          <w:kern w:val="2"/>
          <w:szCs w:val="21"/>
          <w:highlight w:val="none"/>
          <w:shd w:val="clear" w:color="auto" w:fill="FFFFFF"/>
        </w:rPr>
        <w:t>在承包工程中，实施总承包的施工单位不得将工程转包和分包给不具备安全生产条件的或者相应资质的单位和个人；</w:t>
      </w:r>
    </w:p>
    <w:p w14:paraId="26B76AB4">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5.28 乙方用于本工程项目的施工机械、工器具、安全防护用具及特种设</w:t>
      </w:r>
      <w:r>
        <w:rPr>
          <w:rFonts w:hint="eastAsia" w:ascii="宋体" w:hAnsi="宋体" w:cs="宋体"/>
          <w:color w:val="auto"/>
          <w:kern w:val="2"/>
          <w:szCs w:val="21"/>
          <w:highlight w:val="none"/>
          <w:lang w:val="en-US" w:eastAsia="zh-CN"/>
        </w:rPr>
        <w:t>备</w:t>
      </w:r>
      <w:r>
        <w:rPr>
          <w:rFonts w:hint="eastAsia" w:ascii="宋体" w:hAnsi="宋体" w:eastAsia="宋体" w:cs="宋体"/>
          <w:color w:val="auto"/>
          <w:kern w:val="2"/>
          <w:szCs w:val="21"/>
          <w:highlight w:val="none"/>
        </w:rPr>
        <w:t>的数量和质量必须满足施工需要，对因使用工器具不当所造成的人员伤害及设备损坏负责；</w:t>
      </w:r>
    </w:p>
    <w:p w14:paraId="51C962C6">
      <w:pPr>
        <w:widowControl w:val="0"/>
        <w:adjustRightInd/>
        <w:snapToGrid/>
        <w:spacing w:line="360" w:lineRule="auto"/>
        <w:ind w:firstLine="420" w:firstLineChars="200"/>
        <w:jc w:val="both"/>
        <w:rPr>
          <w:rFonts w:hint="eastAsia" w:ascii="宋体" w:hAnsi="宋体" w:eastAsia="宋体" w:cs="宋体"/>
          <w:color w:val="auto"/>
          <w:kern w:val="2"/>
          <w:szCs w:val="21"/>
          <w:highlight w:val="none"/>
          <w:shd w:val="clear" w:color="auto" w:fill="FFFFFF"/>
        </w:rPr>
      </w:pPr>
      <w:r>
        <w:rPr>
          <w:rFonts w:hint="eastAsia" w:ascii="宋体" w:hAnsi="宋体" w:eastAsia="宋体" w:cs="宋体"/>
          <w:color w:val="auto"/>
          <w:kern w:val="2"/>
          <w:szCs w:val="21"/>
          <w:highlight w:val="none"/>
          <w:shd w:val="clear" w:color="auto" w:fill="FFFFFF"/>
        </w:rPr>
        <w:t>5.29 乙方应在作业范围装设临时围栏或警告标志，不得超越指定的施工范围进行施工，禁止无关人员进入施工现场。未经甲方同意，乙方不得擅自使用与施工无关的甲方设施设备；不得擅自拆除、变更甲方防护设施及标识，如因工作需要拆除的，事后必须及时恢复；</w:t>
      </w:r>
    </w:p>
    <w:p w14:paraId="4AA0FEDB">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5.30 乙方的车辆在现场发生意外，造成甲方或其它单位的财产损失或人员伤害等，应依法承担相关的赔偿、治疗等责任；</w:t>
      </w:r>
    </w:p>
    <w:p w14:paraId="75A4E1C5">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5.31 如因乙方采取的安全措施不当，或违反有关安全规程、规定及本协议所列安全事项而造成事故的，除依法由甲方或第三方承担责任的，均应由乙方全部承担；</w:t>
      </w:r>
    </w:p>
    <w:p w14:paraId="11412451">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5.32 乙方需在甲方厂区住宿的，严格执行甲方公司相关制度规定，甲方只提供住宿，如有意外发生，一切后果自负；</w:t>
      </w:r>
    </w:p>
    <w:p w14:paraId="6605EB0D">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5.33 </w:t>
      </w:r>
      <w:r>
        <w:rPr>
          <w:rFonts w:hint="eastAsia" w:ascii="宋体" w:hAnsi="宋体" w:eastAsia="宋体" w:cs="宋体"/>
          <w:color w:val="auto"/>
          <w:kern w:val="2"/>
          <w:szCs w:val="21"/>
          <w:highlight w:val="none"/>
          <w:shd w:val="clear" w:color="auto" w:fill="FFFFFF"/>
        </w:rPr>
        <w:t>乙方应确保施工人员身体健康，特殊工种严格执行国家关于年龄的限制。</w:t>
      </w:r>
    </w:p>
    <w:p w14:paraId="3DC9C161">
      <w:pPr>
        <w:widowControl w:val="0"/>
        <w:adjustRightInd/>
        <w:snapToGrid/>
        <w:spacing w:line="360" w:lineRule="auto"/>
        <w:ind w:firstLine="422" w:firstLineChars="200"/>
        <w:jc w:val="both"/>
        <w:rPr>
          <w:rFonts w:hint="eastAsia" w:ascii="宋体" w:hAnsi="宋体" w:eastAsia="宋体" w:cs="宋体"/>
          <w:b/>
          <w:color w:val="auto"/>
          <w:kern w:val="2"/>
          <w:szCs w:val="21"/>
          <w:highlight w:val="none"/>
        </w:rPr>
      </w:pPr>
      <w:bookmarkStart w:id="201" w:name="_Toc44263351"/>
      <w:r>
        <w:rPr>
          <w:rFonts w:hint="eastAsia" w:ascii="宋体" w:hAnsi="宋体" w:eastAsia="宋体" w:cs="宋体"/>
          <w:b/>
          <w:color w:val="auto"/>
          <w:kern w:val="2"/>
          <w:szCs w:val="21"/>
          <w:highlight w:val="none"/>
        </w:rPr>
        <w:t>第六条 违约处理</w:t>
      </w:r>
      <w:bookmarkEnd w:id="201"/>
    </w:p>
    <w:p w14:paraId="64CA15E1">
      <w:pPr>
        <w:widowControl w:val="0"/>
        <w:adjustRightInd/>
        <w:snapToGrid w:val="0"/>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6.1 乙方在签订本协议后，甲方相关部门或监理单位如发现在施工期间乙方出现以下违反甲方安全规定以及发生“三违”行为（即违章指挥、违章操作、违反劳动纪律）的，甲方或监理单位有权依据本协议和甲方相关安全管理制度对乙方进行处罚；</w:t>
      </w:r>
    </w:p>
    <w:p w14:paraId="254814FD">
      <w:pPr>
        <w:widowControl w:val="0"/>
        <w:tabs>
          <w:tab w:val="left" w:pos="312"/>
        </w:tabs>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6.2 乙方应提供一份公司盖章版的专项安全施工方案原件备案至甲方公司安全环境管理部门，资料内容至少包括：</w:t>
      </w:r>
    </w:p>
    <w:p w14:paraId="65C75E12">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施工安全目标和计划方案；</w:t>
      </w:r>
    </w:p>
    <w:p w14:paraId="2E0E3C8D">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施工人员安全生产责任制；</w:t>
      </w:r>
    </w:p>
    <w:p w14:paraId="7BC505F8">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施工安全管理制度；</w:t>
      </w:r>
    </w:p>
    <w:p w14:paraId="5123BBE2">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施工人员安全奖惩制度；</w:t>
      </w:r>
    </w:p>
    <w:p w14:paraId="3E520A7E">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施工安全管理协议书；</w:t>
      </w:r>
    </w:p>
    <w:p w14:paraId="06B1CB0E">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施工安全管理组织框架图；</w:t>
      </w:r>
    </w:p>
    <w:p w14:paraId="568B67B6">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施工安全管理人员登记表和任命书；</w:t>
      </w:r>
    </w:p>
    <w:p w14:paraId="0C0ECF3E">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施工人员登记表；</w:t>
      </w:r>
    </w:p>
    <w:p w14:paraId="614E0B3A">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施工特种作业人员登记表和特种证件复印件；</w:t>
      </w:r>
    </w:p>
    <w:p w14:paraId="053F64E1">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施工人员安全培训签到表和安全考核记录表；</w:t>
      </w:r>
    </w:p>
    <w:p w14:paraId="561E3FC3">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施工人员工伤保险或人身意外险购买凭证；</w:t>
      </w:r>
    </w:p>
    <w:p w14:paraId="0E9D0C41">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安全及应急管理制度和应急物品清单；</w:t>
      </w:r>
    </w:p>
    <w:p w14:paraId="6E6D3A87">
      <w:pPr>
        <w:widowControl w:val="0"/>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安全日常隐患排查管理制度；</w:t>
      </w:r>
    </w:p>
    <w:p w14:paraId="060687F0">
      <w:pPr>
        <w:widowControl/>
        <w:numPr>
          <w:ilvl w:val="0"/>
          <w:numId w:val="19"/>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大型设备进场进度表；</w:t>
      </w:r>
    </w:p>
    <w:p w14:paraId="7C2649AA">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以上资料应在进厂施工后5个工作日内提供完毕，逾期未提供或资料不齐全的，按《EHS管理处罚细则》相关条款实施。</w:t>
      </w:r>
    </w:p>
    <w:p w14:paraId="08CCEC5D">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6.3 乙方应提供一份公司盖章版的EHS安全施工方案原件备案至甲方公司安全环境管理部门，资料内容至少包括:</w:t>
      </w:r>
    </w:p>
    <w:p w14:paraId="6A8E8F4C">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施工项目概况和危险源辨识及评估报告；</w:t>
      </w:r>
    </w:p>
    <w:p w14:paraId="4976CC5C">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施工单位安全文明方案；</w:t>
      </w:r>
    </w:p>
    <w:p w14:paraId="52571FF0">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施工现场安全标示管理制度；</w:t>
      </w:r>
    </w:p>
    <w:p w14:paraId="22804439">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临时用电安全管理制度；</w:t>
      </w:r>
    </w:p>
    <w:p w14:paraId="27F178C1">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高处作业安全管理制度；</w:t>
      </w:r>
    </w:p>
    <w:p w14:paraId="06DFED1B">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动火作业安全管理制度；</w:t>
      </w:r>
    </w:p>
    <w:p w14:paraId="5E58452E">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吊装作业安全管理制度；</w:t>
      </w:r>
    </w:p>
    <w:p w14:paraId="71BD0EC7">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较大危险性工作风险清单和预防管控措施制度；</w:t>
      </w:r>
    </w:p>
    <w:p w14:paraId="70C59FF6">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消防安全管理专项制度；</w:t>
      </w:r>
    </w:p>
    <w:p w14:paraId="5F17B9D6">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施工人员劳保用品佩戴管理制度；</w:t>
      </w:r>
    </w:p>
    <w:p w14:paraId="277AAC31">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施工人员生活区专项管理制度；</w:t>
      </w:r>
    </w:p>
    <w:p w14:paraId="6A62DC76">
      <w:pPr>
        <w:widowControl w:val="0"/>
        <w:numPr>
          <w:ilvl w:val="0"/>
          <w:numId w:val="20"/>
        </w:numPr>
        <w:adjustRightInd/>
        <w:snapToGrid/>
        <w:spacing w:line="360" w:lineRule="auto"/>
        <w:ind w:firstLineChars="200"/>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职业健康安全管理制度。</w:t>
      </w:r>
    </w:p>
    <w:p w14:paraId="107D6643">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以上资料应在进厂施工后5个工作日内提供完毕，逾期未提供或资料不齐全的，按《EHS管理处罚细则》相关条款实施。</w:t>
      </w:r>
    </w:p>
    <w:p w14:paraId="6D1A844E">
      <w:pPr>
        <w:widowControl w:val="0"/>
        <w:adjustRightInd/>
        <w:snapToGrid/>
        <w:spacing w:line="360" w:lineRule="auto"/>
        <w:ind w:left="42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6.4 处罚细则</w:t>
      </w:r>
    </w:p>
    <w:p w14:paraId="728F263C">
      <w:pPr>
        <w:widowControl w:val="0"/>
        <w:tabs>
          <w:tab w:val="left" w:pos="312"/>
        </w:tabs>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6.4.1安全文明施工违约处理</w:t>
      </w:r>
    </w:p>
    <w:p w14:paraId="3084344C">
      <w:pPr>
        <w:widowControl w:val="0"/>
        <w:tabs>
          <w:tab w:val="left" w:pos="312"/>
        </w:tabs>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详见《EHS管理处罚细则》。</w:t>
      </w:r>
    </w:p>
    <w:p w14:paraId="5A47DEE9">
      <w:pPr>
        <w:widowControl w:val="0"/>
        <w:tabs>
          <w:tab w:val="left" w:pos="312"/>
        </w:tabs>
        <w:adjustRightInd/>
        <w:snapToGrid/>
        <w:spacing w:line="360" w:lineRule="auto"/>
        <w:ind w:left="480"/>
        <w:contextualSpacing/>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6.4.2 事故违约处理</w:t>
      </w:r>
    </w:p>
    <w:p w14:paraId="54B9902A">
      <w:pPr>
        <w:widowControl w:val="0"/>
        <w:tabs>
          <w:tab w:val="left" w:pos="312"/>
        </w:tabs>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详见《事故处罚实施细则》。</w:t>
      </w:r>
    </w:p>
    <w:p w14:paraId="6AEA9F5A">
      <w:pPr>
        <w:widowControl w:val="0"/>
        <w:adjustRightInd/>
        <w:snapToGrid/>
        <w:spacing w:line="360" w:lineRule="auto"/>
        <w:ind w:firstLine="422" w:firstLineChars="200"/>
        <w:jc w:val="both"/>
        <w:rPr>
          <w:rFonts w:hint="eastAsia" w:ascii="宋体" w:hAnsi="宋体" w:eastAsia="宋体" w:cs="宋体"/>
          <w:b/>
          <w:color w:val="auto"/>
          <w:kern w:val="2"/>
          <w:szCs w:val="21"/>
          <w:highlight w:val="none"/>
        </w:rPr>
      </w:pPr>
      <w:bookmarkStart w:id="202" w:name="_Toc44263352"/>
      <w:r>
        <w:rPr>
          <w:rFonts w:hint="eastAsia" w:ascii="宋体" w:hAnsi="宋体" w:eastAsia="宋体" w:cs="宋体"/>
          <w:b/>
          <w:color w:val="auto"/>
          <w:kern w:val="2"/>
          <w:szCs w:val="21"/>
          <w:highlight w:val="none"/>
        </w:rPr>
        <w:t>第七条 协议生效与终止</w:t>
      </w:r>
      <w:bookmarkEnd w:id="202"/>
    </w:p>
    <w:p w14:paraId="3A670272">
      <w:pPr>
        <w:widowControl w:val="0"/>
        <w:adjustRightInd/>
        <w:snapToGrid w:val="0"/>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7.1 本协议从开工之日起生效，双方共同监督执行，竣工验收后自行终止。如乙方在施工中不履行本协议的约定，违反安全施工的有关管理规定，对甲方提出的警告、停工整顿拒不执行的，甲方有权解除原合同，并无须向乙方承担违约责任。</w:t>
      </w:r>
    </w:p>
    <w:p w14:paraId="23844312">
      <w:pPr>
        <w:widowControl w:val="0"/>
        <w:adjustRightInd/>
        <w:snapToGrid/>
        <w:spacing w:line="360" w:lineRule="auto"/>
        <w:ind w:firstLine="422" w:firstLineChars="200"/>
        <w:jc w:val="both"/>
        <w:rPr>
          <w:rFonts w:hint="eastAsia" w:ascii="宋体" w:hAnsi="宋体" w:eastAsia="宋体" w:cs="宋体"/>
          <w:b/>
          <w:color w:val="auto"/>
          <w:kern w:val="2"/>
          <w:szCs w:val="21"/>
          <w:highlight w:val="none"/>
        </w:rPr>
      </w:pPr>
      <w:bookmarkStart w:id="203" w:name="_Toc44263353"/>
      <w:r>
        <w:rPr>
          <w:rFonts w:hint="eastAsia" w:ascii="宋体" w:hAnsi="宋体" w:eastAsia="宋体" w:cs="宋体"/>
          <w:b/>
          <w:color w:val="auto"/>
          <w:kern w:val="2"/>
          <w:szCs w:val="21"/>
          <w:highlight w:val="none"/>
        </w:rPr>
        <w:t>第八条 其它要求</w:t>
      </w:r>
      <w:bookmarkEnd w:id="203"/>
    </w:p>
    <w:p w14:paraId="21E2E75A">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8.1 本协议履行过程中未尽事宜，按甲方有关规章制度执行。</w:t>
      </w:r>
    </w:p>
    <w:p w14:paraId="58C47917">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8.2 本协议一式捌份，均具有同等法律效力，协议甲方执陆份，乙方执贰份。由双方法定代表人签章或其授权代表人签</w:t>
      </w:r>
      <w:r>
        <w:rPr>
          <w:rFonts w:hint="eastAsia" w:ascii="宋体" w:hAnsi="宋体" w:cs="宋体"/>
          <w:color w:val="auto"/>
          <w:kern w:val="2"/>
          <w:szCs w:val="21"/>
          <w:highlight w:val="none"/>
          <w:lang w:val="en-US" w:eastAsia="zh-CN"/>
        </w:rPr>
        <w:t>字</w:t>
      </w:r>
      <w:r>
        <w:rPr>
          <w:rFonts w:hint="eastAsia" w:ascii="宋体" w:hAnsi="宋体" w:eastAsia="宋体" w:cs="宋体"/>
          <w:color w:val="auto"/>
          <w:kern w:val="2"/>
          <w:szCs w:val="21"/>
          <w:highlight w:val="none"/>
        </w:rPr>
        <w:t>并加盖公章</w:t>
      </w:r>
      <w:r>
        <w:rPr>
          <w:rFonts w:hint="eastAsia" w:ascii="宋体" w:hAnsi="宋体" w:cs="宋体"/>
          <w:color w:val="auto"/>
          <w:kern w:val="2"/>
          <w:szCs w:val="21"/>
          <w:highlight w:val="none"/>
          <w:lang w:val="en-US" w:eastAsia="zh-CN"/>
        </w:rPr>
        <w:t>之日起</w:t>
      </w:r>
      <w:r>
        <w:rPr>
          <w:rFonts w:hint="eastAsia" w:ascii="宋体" w:hAnsi="宋体" w:eastAsia="宋体" w:cs="宋体"/>
          <w:color w:val="auto"/>
          <w:kern w:val="2"/>
          <w:szCs w:val="21"/>
          <w:highlight w:val="none"/>
        </w:rPr>
        <w:t>生效。</w:t>
      </w:r>
    </w:p>
    <w:p w14:paraId="61644861">
      <w:pPr>
        <w:widowControl w:val="0"/>
        <w:autoSpaceDE w:val="0"/>
        <w:autoSpaceDN w:val="0"/>
        <w:adjustRightInd w:val="0"/>
        <w:snapToGrid/>
        <w:spacing w:line="360" w:lineRule="auto"/>
        <w:jc w:val="left"/>
        <w:rPr>
          <w:rFonts w:hint="eastAsia" w:ascii="宋体" w:hAnsi="宋体" w:eastAsia="宋体" w:cs="宋体"/>
          <w:b/>
          <w:bCs/>
          <w:color w:val="auto"/>
          <w:kern w:val="2"/>
          <w:szCs w:val="21"/>
          <w:highlight w:val="none"/>
        </w:rPr>
      </w:pPr>
    </w:p>
    <w:p w14:paraId="0642CF11">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p>
    <w:p w14:paraId="4CDBE0BD">
      <w:pPr>
        <w:widowControl w:val="0"/>
        <w:adjustRightInd/>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（以下无正文）</w:t>
      </w:r>
    </w:p>
    <w:tbl>
      <w:tblPr>
        <w:tblStyle w:val="31"/>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05"/>
        <w:gridCol w:w="3917"/>
      </w:tblGrid>
      <w:tr w14:paraId="2E945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1" w:hRule="atLeast"/>
          <w:jc w:val="center"/>
        </w:trPr>
        <w:tc>
          <w:tcPr>
            <w:tcW w:w="4605" w:type="dxa"/>
            <w:vAlign w:val="top"/>
          </w:tcPr>
          <w:p w14:paraId="1559A658">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甲方（盖章）:</w:t>
            </w:r>
          </w:p>
          <w:p w14:paraId="7CB66901">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东莞市新东元环保投资有限公司</w:t>
            </w:r>
          </w:p>
        </w:tc>
        <w:tc>
          <w:tcPr>
            <w:tcW w:w="3917" w:type="dxa"/>
            <w:vAlign w:val="top"/>
          </w:tcPr>
          <w:p w14:paraId="192FEA7B">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乙方（盖章）:</w:t>
            </w:r>
          </w:p>
          <w:p w14:paraId="09604616">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p>
        </w:tc>
      </w:tr>
      <w:tr w14:paraId="7864A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1" w:hRule="atLeast"/>
          <w:jc w:val="center"/>
        </w:trPr>
        <w:tc>
          <w:tcPr>
            <w:tcW w:w="4605" w:type="dxa"/>
            <w:vAlign w:val="top"/>
          </w:tcPr>
          <w:p w14:paraId="055E9DFC">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法定代表人（签章）：</w:t>
            </w:r>
          </w:p>
          <w:p w14:paraId="42F355AA">
            <w:pPr>
              <w:widowControl w:val="0"/>
              <w:tabs>
                <w:tab w:val="left" w:pos="3480"/>
              </w:tabs>
              <w:adjustRightInd/>
              <w:snapToGrid/>
              <w:spacing w:line="360" w:lineRule="auto"/>
              <w:jc w:val="both"/>
              <w:rPr>
                <w:rFonts w:hint="eastAsia" w:ascii="宋体" w:hAnsi="宋体" w:eastAsia="宋体" w:cs="宋体"/>
                <w:color w:val="auto"/>
                <w:kern w:val="2"/>
                <w:szCs w:val="21"/>
                <w:highlight w:val="none"/>
                <w:u w:val="single"/>
              </w:rPr>
            </w:pPr>
            <w:r>
              <w:rPr>
                <w:rFonts w:hint="eastAsia" w:ascii="宋体" w:hAnsi="宋体" w:eastAsia="宋体" w:cs="宋体"/>
                <w:color w:val="auto"/>
                <w:kern w:val="2"/>
                <w:szCs w:val="21"/>
                <w:highlight w:val="none"/>
              </w:rPr>
              <w:t>或授权代表人（签字）：</w:t>
            </w:r>
          </w:p>
        </w:tc>
        <w:tc>
          <w:tcPr>
            <w:tcW w:w="3917" w:type="dxa"/>
            <w:vAlign w:val="top"/>
          </w:tcPr>
          <w:p w14:paraId="661B5355">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法定代表人（签章）：</w:t>
            </w:r>
          </w:p>
          <w:p w14:paraId="416486F0">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或授权代表人（签字）：</w:t>
            </w:r>
          </w:p>
        </w:tc>
      </w:tr>
      <w:tr w14:paraId="54BFA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1" w:hRule="atLeast"/>
          <w:jc w:val="center"/>
        </w:trPr>
        <w:tc>
          <w:tcPr>
            <w:tcW w:w="4605" w:type="dxa"/>
            <w:vAlign w:val="top"/>
          </w:tcPr>
          <w:p w14:paraId="752D9D61">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项目负责人（签字）：</w:t>
            </w:r>
          </w:p>
          <w:p w14:paraId="7CF00B97">
            <w:pPr>
              <w:widowControl w:val="0"/>
              <w:tabs>
                <w:tab w:val="left" w:pos="540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或项目经理（签字）：</w:t>
            </w:r>
          </w:p>
        </w:tc>
        <w:tc>
          <w:tcPr>
            <w:tcW w:w="3917" w:type="dxa"/>
            <w:vAlign w:val="top"/>
          </w:tcPr>
          <w:p w14:paraId="1FB6D6C7">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项目负责人（签字）：</w:t>
            </w:r>
          </w:p>
          <w:p w14:paraId="763E9B5B">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或项目经理（签字）：</w:t>
            </w:r>
          </w:p>
        </w:tc>
      </w:tr>
      <w:tr w14:paraId="098F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jc w:val="center"/>
        </w:trPr>
        <w:tc>
          <w:tcPr>
            <w:tcW w:w="8522" w:type="dxa"/>
            <w:gridSpan w:val="2"/>
            <w:vAlign w:val="center"/>
          </w:tcPr>
          <w:p w14:paraId="730D4AD7">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日期：      年      月     日                 日期：      年      月     日</w:t>
            </w:r>
          </w:p>
        </w:tc>
      </w:tr>
    </w:tbl>
    <w:p w14:paraId="2287545D">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p>
    <w:p w14:paraId="0BE74DEE">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p>
    <w:p w14:paraId="6AE5BC45">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p>
    <w:p w14:paraId="6F5720C1">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p>
    <w:p w14:paraId="15F6C50D">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p>
    <w:p w14:paraId="0F86BCE0">
      <w:pPr>
        <w:widowControl w:val="0"/>
        <w:tabs>
          <w:tab w:val="left" w:pos="3480"/>
        </w:tabs>
        <w:adjustRightInd/>
        <w:snapToGrid/>
        <w:spacing w:line="360" w:lineRule="auto"/>
        <w:jc w:val="both"/>
        <w:rPr>
          <w:rFonts w:hint="eastAsia" w:ascii="宋体" w:hAnsi="宋体" w:eastAsia="宋体" w:cs="宋体"/>
          <w:color w:val="auto"/>
          <w:kern w:val="2"/>
          <w:szCs w:val="21"/>
          <w:highlight w:val="none"/>
        </w:rPr>
      </w:pPr>
    </w:p>
    <w:p w14:paraId="009AE912">
      <w:pPr>
        <w:bidi w:val="0"/>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br w:type="page"/>
      </w:r>
      <w:bookmarkStart w:id="204" w:name="_Toc16475"/>
      <w:bookmarkStart w:id="205" w:name="_Toc131690839"/>
      <w:r>
        <w:rPr>
          <w:rFonts w:hint="eastAsia" w:ascii="宋体" w:hAnsi="宋体" w:eastAsia="宋体" w:cs="宋体"/>
          <w:b/>
          <w:bCs/>
          <w:color w:val="auto"/>
          <w:highlight w:val="none"/>
        </w:rPr>
        <w:t>一、EHS管理处罚实施细则</w:t>
      </w:r>
      <w:bookmarkEnd w:id="204"/>
      <w:bookmarkEnd w:id="205"/>
    </w:p>
    <w:p w14:paraId="040C4CFE">
      <w:pPr>
        <w:widowControl w:val="0"/>
        <w:adjustRightInd/>
        <w:snapToGrid/>
        <w:spacing w:line="360" w:lineRule="auto"/>
        <w:jc w:val="both"/>
        <w:rPr>
          <w:rFonts w:hint="eastAsia" w:ascii="宋体" w:hAnsi="宋体" w:eastAsia="宋体" w:cs="宋体"/>
          <w:color w:val="auto"/>
          <w:kern w:val="2"/>
          <w:szCs w:val="21"/>
          <w:highlight w:val="none"/>
        </w:rPr>
      </w:pPr>
      <w:bookmarkStart w:id="206" w:name="_Toc492989836"/>
      <w:bookmarkStart w:id="207" w:name="_Toc497300357"/>
      <w:bookmarkStart w:id="208" w:name="_Toc497325756"/>
    </w:p>
    <w:bookmarkEnd w:id="206"/>
    <w:bookmarkEnd w:id="207"/>
    <w:bookmarkEnd w:id="208"/>
    <w:p w14:paraId="2B65AA09">
      <w:pPr>
        <w:widowControl w:val="0"/>
        <w:overflowPunct w:val="0"/>
        <w:autoSpaceDE w:val="0"/>
        <w:autoSpaceDN w:val="0"/>
        <w:adjustRightInd w:val="0"/>
        <w:snapToGrid/>
        <w:spacing w:line="360" w:lineRule="auto"/>
        <w:ind w:right="-197" w:rightChars="-94" w:firstLine="422" w:firstLineChars="200"/>
        <w:jc w:val="center"/>
        <w:textAlignment w:val="baseline"/>
        <w:rPr>
          <w:rFonts w:hint="eastAsia" w:ascii="宋体" w:hAnsi="宋体" w:eastAsia="宋体" w:cs="宋体"/>
          <w:b/>
          <w:bCs/>
          <w:color w:val="auto"/>
          <w:kern w:val="2"/>
          <w:szCs w:val="21"/>
          <w:highlight w:val="none"/>
        </w:rPr>
      </w:pPr>
      <w:bookmarkStart w:id="209" w:name="_Toc44263354"/>
      <w:r>
        <w:rPr>
          <w:rFonts w:hint="eastAsia" w:ascii="宋体" w:hAnsi="宋体" w:eastAsia="宋体" w:cs="宋体"/>
          <w:b/>
          <w:bCs/>
          <w:color w:val="auto"/>
          <w:kern w:val="2"/>
          <w:szCs w:val="21"/>
          <w:highlight w:val="none"/>
        </w:rPr>
        <w:t>EHS管理处罚实施细则</w:t>
      </w:r>
      <w:bookmarkEnd w:id="209"/>
    </w:p>
    <w:p w14:paraId="45E7745F">
      <w:pPr>
        <w:widowControl w:val="0"/>
        <w:overflowPunct w:val="0"/>
        <w:autoSpaceDE w:val="0"/>
        <w:autoSpaceDN w:val="0"/>
        <w:adjustRightInd w:val="0"/>
        <w:snapToGrid/>
        <w:spacing w:line="360" w:lineRule="auto"/>
        <w:ind w:right="-197" w:rightChars="-94"/>
        <w:jc w:val="left"/>
        <w:textAlignment w:val="baseline"/>
        <w:rPr>
          <w:rFonts w:hint="eastAsia" w:ascii="宋体" w:hAnsi="宋体" w:eastAsia="宋体" w:cs="宋体"/>
          <w:b/>
          <w:bCs/>
          <w:color w:val="auto"/>
          <w:kern w:val="2"/>
          <w:szCs w:val="21"/>
          <w:highlight w:val="none"/>
        </w:rPr>
      </w:pPr>
      <w:bookmarkStart w:id="210" w:name="_Toc497325757"/>
      <w:bookmarkStart w:id="211" w:name="_Toc497319744"/>
      <w:bookmarkStart w:id="212" w:name="_Toc44263355"/>
      <w:r>
        <w:rPr>
          <w:rFonts w:hint="eastAsia" w:ascii="宋体" w:hAnsi="宋体" w:eastAsia="宋体" w:cs="宋体"/>
          <w:b/>
          <w:bCs/>
          <w:color w:val="auto"/>
          <w:kern w:val="2"/>
          <w:szCs w:val="21"/>
          <w:highlight w:val="none"/>
        </w:rPr>
        <w:t>1.</w:t>
      </w:r>
      <w:bookmarkEnd w:id="210"/>
      <w:bookmarkEnd w:id="211"/>
      <w:r>
        <w:rPr>
          <w:rFonts w:hint="eastAsia" w:ascii="宋体" w:hAnsi="宋体" w:eastAsia="宋体" w:cs="宋体"/>
          <w:b/>
          <w:bCs/>
          <w:color w:val="auto"/>
          <w:kern w:val="2"/>
          <w:szCs w:val="21"/>
          <w:highlight w:val="none"/>
        </w:rPr>
        <w:t xml:space="preserve"> 范围</w:t>
      </w:r>
      <w:bookmarkEnd w:id="212"/>
    </w:p>
    <w:p w14:paraId="762F6FAA">
      <w:pPr>
        <w:widowControl w:val="0"/>
        <w:overflowPunct w:val="0"/>
        <w:autoSpaceDE w:val="0"/>
        <w:autoSpaceDN w:val="0"/>
        <w:adjustRightInd w:val="0"/>
        <w:snapToGrid/>
        <w:spacing w:line="360" w:lineRule="auto"/>
        <w:ind w:right="-197" w:rightChars="-94"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1.1 本细则明确了甲方工程项目现场违反EHS管理的各类行为和现象，规定了处罚的额度。本细则适用于甲方所有标段的工程项目。</w:t>
      </w:r>
    </w:p>
    <w:p w14:paraId="1E18B341">
      <w:pPr>
        <w:widowControl w:val="0"/>
        <w:overflowPunct w:val="0"/>
        <w:autoSpaceDE w:val="0"/>
        <w:autoSpaceDN w:val="0"/>
        <w:adjustRightInd w:val="0"/>
        <w:snapToGrid/>
        <w:spacing w:line="360" w:lineRule="auto"/>
        <w:ind w:right="-197" w:rightChars="-94"/>
        <w:jc w:val="left"/>
        <w:textAlignment w:val="baseline"/>
        <w:rPr>
          <w:rFonts w:hint="eastAsia" w:ascii="宋体" w:hAnsi="宋体" w:eastAsia="宋体" w:cs="宋体"/>
          <w:b/>
          <w:bCs/>
          <w:color w:val="auto"/>
          <w:kern w:val="2"/>
          <w:szCs w:val="21"/>
          <w:highlight w:val="none"/>
        </w:rPr>
      </w:pPr>
      <w:bookmarkStart w:id="213" w:name="_Toc497325758"/>
      <w:bookmarkStart w:id="214" w:name="_Toc497319745"/>
      <w:bookmarkStart w:id="215" w:name="_Toc44263356"/>
      <w:r>
        <w:rPr>
          <w:rFonts w:hint="eastAsia" w:ascii="宋体" w:hAnsi="宋体" w:eastAsia="宋体" w:cs="宋体"/>
          <w:b/>
          <w:bCs/>
          <w:color w:val="auto"/>
          <w:kern w:val="2"/>
          <w:szCs w:val="21"/>
          <w:highlight w:val="none"/>
        </w:rPr>
        <w:t>2.</w:t>
      </w:r>
      <w:bookmarkEnd w:id="213"/>
      <w:bookmarkEnd w:id="214"/>
      <w:r>
        <w:rPr>
          <w:rFonts w:hint="eastAsia" w:ascii="宋体" w:hAnsi="宋体" w:eastAsia="宋体" w:cs="宋体"/>
          <w:b/>
          <w:bCs/>
          <w:color w:val="auto"/>
          <w:kern w:val="2"/>
          <w:szCs w:val="21"/>
          <w:highlight w:val="none"/>
        </w:rPr>
        <w:t xml:space="preserve"> 职责</w:t>
      </w:r>
      <w:bookmarkEnd w:id="215"/>
    </w:p>
    <w:p w14:paraId="200CF33E">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2.1 由甲方工程相关部门、监理单位有关人员负责对违章行为和现象的处罚。处罚对象为乙方。</w:t>
      </w:r>
    </w:p>
    <w:p w14:paraId="06EB567F">
      <w:pPr>
        <w:widowControl w:val="0"/>
        <w:overflowPunct w:val="0"/>
        <w:autoSpaceDE w:val="0"/>
        <w:autoSpaceDN w:val="0"/>
        <w:adjustRightInd w:val="0"/>
        <w:snapToGrid/>
        <w:spacing w:line="360" w:lineRule="auto"/>
        <w:ind w:right="-197" w:rightChars="-94"/>
        <w:jc w:val="left"/>
        <w:textAlignment w:val="baseline"/>
        <w:rPr>
          <w:rFonts w:hint="eastAsia" w:ascii="宋体" w:hAnsi="宋体" w:eastAsia="宋体" w:cs="宋体"/>
          <w:b/>
          <w:bCs/>
          <w:color w:val="auto"/>
          <w:kern w:val="2"/>
          <w:szCs w:val="21"/>
          <w:highlight w:val="none"/>
        </w:rPr>
      </w:pPr>
      <w:bookmarkStart w:id="216" w:name="_Toc497325759"/>
      <w:bookmarkStart w:id="217" w:name="_Toc497319746"/>
      <w:bookmarkStart w:id="218" w:name="_Toc44263357"/>
      <w:r>
        <w:rPr>
          <w:rFonts w:hint="eastAsia" w:ascii="宋体" w:hAnsi="宋体" w:eastAsia="宋体" w:cs="宋体"/>
          <w:b/>
          <w:bCs/>
          <w:color w:val="auto"/>
          <w:kern w:val="2"/>
          <w:szCs w:val="21"/>
          <w:highlight w:val="none"/>
        </w:rPr>
        <w:t>3.</w:t>
      </w:r>
      <w:bookmarkEnd w:id="216"/>
      <w:bookmarkEnd w:id="217"/>
      <w:r>
        <w:rPr>
          <w:rFonts w:hint="eastAsia" w:ascii="宋体" w:hAnsi="宋体" w:eastAsia="宋体" w:cs="宋体"/>
          <w:b/>
          <w:bCs/>
          <w:color w:val="auto"/>
          <w:kern w:val="2"/>
          <w:szCs w:val="21"/>
          <w:highlight w:val="none"/>
        </w:rPr>
        <w:t xml:space="preserve"> 目的</w:t>
      </w:r>
      <w:bookmarkEnd w:id="218"/>
    </w:p>
    <w:p w14:paraId="02D1ACD3">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3.1 为加强安全文明施工管理，使违章处理工作有章可循，避免和减少各类人身伤害事故，营造良好的文明施工环境，特制定本细则。下称《细则》。</w:t>
      </w:r>
    </w:p>
    <w:p w14:paraId="0E1DADBB">
      <w:pPr>
        <w:widowControl w:val="0"/>
        <w:overflowPunct w:val="0"/>
        <w:autoSpaceDE w:val="0"/>
        <w:autoSpaceDN w:val="0"/>
        <w:adjustRightInd w:val="0"/>
        <w:snapToGrid/>
        <w:spacing w:line="360" w:lineRule="auto"/>
        <w:ind w:right="-197" w:rightChars="-94"/>
        <w:jc w:val="left"/>
        <w:textAlignment w:val="baseline"/>
        <w:rPr>
          <w:rFonts w:hint="eastAsia" w:ascii="宋体" w:hAnsi="宋体" w:eastAsia="宋体" w:cs="宋体"/>
          <w:b/>
          <w:bCs/>
          <w:color w:val="auto"/>
          <w:kern w:val="2"/>
          <w:szCs w:val="21"/>
          <w:highlight w:val="none"/>
        </w:rPr>
      </w:pPr>
      <w:bookmarkStart w:id="219" w:name="_Toc497319747"/>
      <w:bookmarkStart w:id="220" w:name="_Toc497325760"/>
      <w:bookmarkStart w:id="221" w:name="_Toc44263358"/>
      <w:r>
        <w:rPr>
          <w:rFonts w:hint="eastAsia" w:ascii="宋体" w:hAnsi="宋体" w:eastAsia="宋体" w:cs="宋体"/>
          <w:b/>
          <w:bCs/>
          <w:color w:val="auto"/>
          <w:kern w:val="2"/>
          <w:szCs w:val="21"/>
          <w:highlight w:val="none"/>
        </w:rPr>
        <w:t>4.</w:t>
      </w:r>
      <w:bookmarkEnd w:id="219"/>
      <w:bookmarkEnd w:id="220"/>
      <w:r>
        <w:rPr>
          <w:rFonts w:hint="eastAsia" w:ascii="宋体" w:hAnsi="宋体" w:eastAsia="宋体" w:cs="宋体"/>
          <w:b/>
          <w:bCs/>
          <w:color w:val="auto"/>
          <w:kern w:val="2"/>
          <w:szCs w:val="21"/>
          <w:highlight w:val="none"/>
        </w:rPr>
        <w:t xml:space="preserve"> 内容</w:t>
      </w:r>
      <w:bookmarkEnd w:id="221"/>
    </w:p>
    <w:p w14:paraId="14E610E0">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4.1 违章的分类</w:t>
      </w:r>
    </w:p>
    <w:p w14:paraId="5C913E75">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4.1.1 从生产活动的组织与造成事故直接原因、主要原因及领导原因来区分，违章可分为作业性违章、装置性违章、指挥性违章和违反文明施工规定。</w:t>
      </w:r>
    </w:p>
    <w:p w14:paraId="2A132F86">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4.1.2 从违章者本人的安全技术素质与思想心理、习惯等因素区分，违章可分为习惯</w:t>
      </w:r>
      <w:r>
        <w:rPr>
          <w:rFonts w:hint="eastAsia" w:ascii="宋体" w:hAnsi="宋体" w:cs="宋体"/>
          <w:bCs/>
          <w:color w:val="auto"/>
          <w:kern w:val="2"/>
          <w:szCs w:val="21"/>
          <w:highlight w:val="none"/>
          <w:lang w:val="en-US" w:eastAsia="zh-CN"/>
        </w:rPr>
        <w:t>性</w:t>
      </w:r>
      <w:r>
        <w:rPr>
          <w:rFonts w:hint="eastAsia" w:ascii="宋体" w:hAnsi="宋体" w:eastAsia="宋体" w:cs="宋体"/>
          <w:bCs/>
          <w:color w:val="auto"/>
          <w:kern w:val="2"/>
          <w:szCs w:val="21"/>
          <w:highlight w:val="none"/>
        </w:rPr>
        <w:t>违章和偶然性违章二类。</w:t>
      </w:r>
    </w:p>
    <w:p w14:paraId="11A272B8">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4.2 查处违章的原则</w:t>
      </w:r>
    </w:p>
    <w:p w14:paraId="70513B68">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4.2.1 坚持违章必究的原则，同时按《细则》中所含内容进行一定数额的罚款，做到实事求是，严格执行，谢绝说情。对性质恶劣，拒绝警告、整改、有意延续违章的行为，在原处罚数额的基础上增加2-10倍的处罚。情况紧急时下达停工整顿命令。</w:t>
      </w:r>
    </w:p>
    <w:p w14:paraId="039F1730">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4.2.2 因违章而导致各类事故的发生，按事故等级对乙方的处罚执行《事故处罚实施细则》</w:t>
      </w:r>
    </w:p>
    <w:p w14:paraId="0DB65344">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4.3 作业性违章</w:t>
      </w:r>
    </w:p>
    <w:p w14:paraId="2CF8B32E">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4.3.1 作业性违章定义：指在施工中违反《安全生产法》和地方性、行业性的法律法规的规定，违反保证安全施工的各项规定、制度及措施的一切不安全行为。</w:t>
      </w:r>
    </w:p>
    <w:p w14:paraId="06A591AF">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4.3.2 作业性违章主要指施工人员个人作业过程中发生的违章。</w:t>
      </w:r>
    </w:p>
    <w:p w14:paraId="0C439F1C">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4.4 装置性违章</w:t>
      </w:r>
    </w:p>
    <w:p w14:paraId="3C3FDFE6">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4.4.1 装置性违章定义：指工作现场的环境、设备、设施及工器具不符合国家、行业、公司有关规定及反事故措施和保证人身安全的各项规定及技术措施的要求，不能保证人身和设备安全的一切不安全状态。</w:t>
      </w:r>
    </w:p>
    <w:p w14:paraId="5E183821">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4.4.2 装置性违章主要指与生产有关的设备、设施不符合规定要求的违章。</w:t>
      </w:r>
    </w:p>
    <w:p w14:paraId="2C8B0451">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4.5 指挥性违章</w:t>
      </w:r>
    </w:p>
    <w:p w14:paraId="782CB134">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4.5.1 指挥性违章定义：指各级领导，甚至工作票签发人、工作负责人，违反劳动安全卫生法规、条例和保证人身安全的技术措施、安全措施进行作业组织与指挥行为。</w:t>
      </w:r>
    </w:p>
    <w:p w14:paraId="49598EE9">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4.5.2 指挥性违章主要指生产指挥人员违反有关规定及根据某项作业制定的技术措施、安全措施等发出的错误命令或做出的错误决定。</w:t>
      </w:r>
    </w:p>
    <w:p w14:paraId="1A76F555">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4.6 文明施工违章定义：指在施工中一切不文明施工的行为。</w:t>
      </w:r>
    </w:p>
    <w:p w14:paraId="2BEE5097">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 各类违章处罚金额标准：</w:t>
      </w:r>
    </w:p>
    <w:p w14:paraId="368D2B3B">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4.7.1 环境、职业健康、安全管理</w:t>
      </w:r>
    </w:p>
    <w:tbl>
      <w:tblPr>
        <w:tblStyle w:val="31"/>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4422"/>
        <w:gridCol w:w="2514"/>
        <w:gridCol w:w="1119"/>
      </w:tblGrid>
      <w:tr w14:paraId="395B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86" w:type="dxa"/>
            <w:vAlign w:val="center"/>
          </w:tcPr>
          <w:p w14:paraId="2B9F4756">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4422" w:type="dxa"/>
            <w:vAlign w:val="center"/>
          </w:tcPr>
          <w:p w14:paraId="2B49ACA8">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514" w:type="dxa"/>
            <w:vAlign w:val="center"/>
          </w:tcPr>
          <w:p w14:paraId="3D4BF12D">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1119" w:type="dxa"/>
            <w:vAlign w:val="center"/>
          </w:tcPr>
          <w:p w14:paraId="51F4F9C4">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2C87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625C5EA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EHS01</w:t>
            </w:r>
          </w:p>
        </w:tc>
        <w:tc>
          <w:tcPr>
            <w:tcW w:w="4422" w:type="dxa"/>
            <w:vAlign w:val="center"/>
          </w:tcPr>
          <w:p w14:paraId="78E7AE6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未规定要求设置安全生产管理机构或专职安全生产监督管理人员（含无证上岗）</w:t>
            </w:r>
          </w:p>
        </w:tc>
        <w:tc>
          <w:tcPr>
            <w:tcW w:w="2514" w:type="dxa"/>
            <w:vAlign w:val="center"/>
          </w:tcPr>
          <w:p w14:paraId="68DEB98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每次10000元</w:t>
            </w:r>
          </w:p>
        </w:tc>
        <w:tc>
          <w:tcPr>
            <w:tcW w:w="1119" w:type="dxa"/>
            <w:vMerge w:val="restart"/>
            <w:vAlign w:val="center"/>
          </w:tcPr>
          <w:p w14:paraId="18E7C66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限期整改</w:t>
            </w:r>
          </w:p>
          <w:p w14:paraId="7561E1F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禁止施工</w:t>
            </w:r>
          </w:p>
        </w:tc>
      </w:tr>
      <w:tr w14:paraId="77A5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144359C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EHS02</w:t>
            </w:r>
          </w:p>
        </w:tc>
        <w:tc>
          <w:tcPr>
            <w:tcW w:w="4422" w:type="dxa"/>
            <w:vAlign w:val="center"/>
          </w:tcPr>
          <w:p w14:paraId="17540FA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未建立相关安全管理制度和管理体系</w:t>
            </w:r>
          </w:p>
        </w:tc>
        <w:tc>
          <w:tcPr>
            <w:tcW w:w="2514" w:type="dxa"/>
            <w:vAlign w:val="center"/>
          </w:tcPr>
          <w:p w14:paraId="7A77360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每次5000元</w:t>
            </w:r>
          </w:p>
        </w:tc>
        <w:tc>
          <w:tcPr>
            <w:tcW w:w="1119" w:type="dxa"/>
            <w:vMerge w:val="continue"/>
            <w:vAlign w:val="center"/>
          </w:tcPr>
          <w:p w14:paraId="5DDDE383">
            <w:pPr>
              <w:widowControl w:val="0"/>
              <w:adjustRightInd/>
              <w:snapToGrid/>
              <w:spacing w:line="360" w:lineRule="auto"/>
              <w:jc w:val="both"/>
              <w:rPr>
                <w:rFonts w:hint="eastAsia" w:ascii="宋体" w:hAnsi="宋体" w:eastAsia="宋体" w:cs="宋体"/>
                <w:bCs/>
                <w:color w:val="auto"/>
                <w:kern w:val="2"/>
                <w:szCs w:val="21"/>
                <w:highlight w:val="none"/>
              </w:rPr>
            </w:pPr>
          </w:p>
        </w:tc>
      </w:tr>
      <w:tr w14:paraId="55FE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4123A1E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EHS03</w:t>
            </w:r>
          </w:p>
        </w:tc>
        <w:tc>
          <w:tcPr>
            <w:tcW w:w="4422" w:type="dxa"/>
            <w:vAlign w:val="center"/>
          </w:tcPr>
          <w:p w14:paraId="4908DC2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未落实三级安全教育、专项教育，提交虚假相关资料、代替填写资料等</w:t>
            </w:r>
          </w:p>
        </w:tc>
        <w:tc>
          <w:tcPr>
            <w:tcW w:w="2514" w:type="dxa"/>
            <w:vAlign w:val="center"/>
          </w:tcPr>
          <w:p w14:paraId="231D011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19" w:type="dxa"/>
            <w:vMerge w:val="continue"/>
            <w:vAlign w:val="center"/>
          </w:tcPr>
          <w:p w14:paraId="5EBE163E">
            <w:pPr>
              <w:widowControl w:val="0"/>
              <w:adjustRightInd/>
              <w:snapToGrid/>
              <w:spacing w:line="360" w:lineRule="auto"/>
              <w:jc w:val="both"/>
              <w:rPr>
                <w:rFonts w:hint="eastAsia" w:ascii="宋体" w:hAnsi="宋体" w:eastAsia="宋体" w:cs="宋体"/>
                <w:bCs/>
                <w:color w:val="auto"/>
                <w:kern w:val="2"/>
                <w:szCs w:val="21"/>
                <w:highlight w:val="none"/>
              </w:rPr>
            </w:pPr>
          </w:p>
        </w:tc>
      </w:tr>
      <w:tr w14:paraId="7A81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672FA07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EHS04</w:t>
            </w:r>
          </w:p>
        </w:tc>
        <w:tc>
          <w:tcPr>
            <w:tcW w:w="4422" w:type="dxa"/>
            <w:vAlign w:val="center"/>
          </w:tcPr>
          <w:p w14:paraId="682D05B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未按规定要求编制专项方案未按照规定要求进行安全技术交底或弄虚作假填写交底资料</w:t>
            </w:r>
          </w:p>
        </w:tc>
        <w:tc>
          <w:tcPr>
            <w:tcW w:w="2514" w:type="dxa"/>
            <w:vAlign w:val="center"/>
          </w:tcPr>
          <w:p w14:paraId="47E5F12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1119" w:type="dxa"/>
            <w:vAlign w:val="center"/>
          </w:tcPr>
          <w:p w14:paraId="5C43CB6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禁止相关危险作业</w:t>
            </w:r>
          </w:p>
        </w:tc>
      </w:tr>
      <w:tr w14:paraId="6F90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602F2C8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EHS05</w:t>
            </w:r>
          </w:p>
        </w:tc>
        <w:tc>
          <w:tcPr>
            <w:tcW w:w="4422" w:type="dxa"/>
            <w:vAlign w:val="center"/>
          </w:tcPr>
          <w:p w14:paraId="682DAF5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未落实安全检查、填写检查记录或未及时整改回复</w:t>
            </w:r>
          </w:p>
        </w:tc>
        <w:tc>
          <w:tcPr>
            <w:tcW w:w="2514" w:type="dxa"/>
            <w:vAlign w:val="center"/>
          </w:tcPr>
          <w:p w14:paraId="57547B8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每处每次1000元，重大安全隐患未及时整改1～5倍以上</w:t>
            </w:r>
          </w:p>
        </w:tc>
        <w:tc>
          <w:tcPr>
            <w:tcW w:w="1119" w:type="dxa"/>
            <w:vAlign w:val="center"/>
          </w:tcPr>
          <w:p w14:paraId="443B2F7B">
            <w:pPr>
              <w:widowControl w:val="0"/>
              <w:adjustRightInd/>
              <w:snapToGrid/>
              <w:spacing w:line="360" w:lineRule="auto"/>
              <w:jc w:val="both"/>
              <w:rPr>
                <w:rFonts w:hint="eastAsia" w:ascii="宋体" w:hAnsi="宋体" w:eastAsia="宋体" w:cs="宋体"/>
                <w:bCs/>
                <w:color w:val="auto"/>
                <w:kern w:val="2"/>
                <w:szCs w:val="21"/>
                <w:highlight w:val="none"/>
              </w:rPr>
            </w:pPr>
          </w:p>
        </w:tc>
      </w:tr>
      <w:tr w14:paraId="3303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5604D0E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EHS06</w:t>
            </w:r>
          </w:p>
        </w:tc>
        <w:tc>
          <w:tcPr>
            <w:tcW w:w="4422" w:type="dxa"/>
            <w:vAlign w:val="center"/>
          </w:tcPr>
          <w:p w14:paraId="284B1FF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未建立应急救援体系、未配置应急救援物资、未定期进行演练、无应急救援预案</w:t>
            </w:r>
          </w:p>
        </w:tc>
        <w:tc>
          <w:tcPr>
            <w:tcW w:w="2514" w:type="dxa"/>
            <w:vAlign w:val="center"/>
          </w:tcPr>
          <w:p w14:paraId="3E5A266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每处每次10000元</w:t>
            </w:r>
          </w:p>
        </w:tc>
        <w:tc>
          <w:tcPr>
            <w:tcW w:w="1119" w:type="dxa"/>
            <w:vAlign w:val="center"/>
          </w:tcPr>
          <w:p w14:paraId="271C4019">
            <w:pPr>
              <w:widowControl w:val="0"/>
              <w:adjustRightInd/>
              <w:snapToGrid/>
              <w:spacing w:line="360" w:lineRule="auto"/>
              <w:jc w:val="both"/>
              <w:rPr>
                <w:rFonts w:hint="eastAsia" w:ascii="宋体" w:hAnsi="宋体" w:eastAsia="宋体" w:cs="宋体"/>
                <w:bCs/>
                <w:color w:val="auto"/>
                <w:kern w:val="2"/>
                <w:szCs w:val="21"/>
                <w:highlight w:val="none"/>
              </w:rPr>
            </w:pPr>
          </w:p>
        </w:tc>
      </w:tr>
      <w:tr w14:paraId="7E8E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5672DA9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EHS07</w:t>
            </w:r>
          </w:p>
        </w:tc>
        <w:tc>
          <w:tcPr>
            <w:tcW w:w="4422" w:type="dxa"/>
            <w:vAlign w:val="center"/>
          </w:tcPr>
          <w:p w14:paraId="0BD8153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不报、瞒报、迟报安全事故</w:t>
            </w:r>
          </w:p>
        </w:tc>
        <w:tc>
          <w:tcPr>
            <w:tcW w:w="2514" w:type="dxa"/>
            <w:vAlign w:val="center"/>
          </w:tcPr>
          <w:p w14:paraId="463F571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1119" w:type="dxa"/>
            <w:vAlign w:val="center"/>
          </w:tcPr>
          <w:p w14:paraId="2002317B">
            <w:pPr>
              <w:widowControl w:val="0"/>
              <w:adjustRightInd/>
              <w:snapToGrid/>
              <w:spacing w:line="360" w:lineRule="auto"/>
              <w:jc w:val="both"/>
              <w:rPr>
                <w:rFonts w:hint="eastAsia" w:ascii="宋体" w:hAnsi="宋体" w:eastAsia="宋体" w:cs="宋体"/>
                <w:bCs/>
                <w:color w:val="auto"/>
                <w:kern w:val="2"/>
                <w:szCs w:val="21"/>
                <w:highlight w:val="none"/>
              </w:rPr>
            </w:pPr>
          </w:p>
        </w:tc>
      </w:tr>
      <w:tr w14:paraId="7EFB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1A71EE4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EHS08</w:t>
            </w:r>
          </w:p>
        </w:tc>
        <w:tc>
          <w:tcPr>
            <w:tcW w:w="4422" w:type="dxa"/>
            <w:vAlign w:val="center"/>
          </w:tcPr>
          <w:p w14:paraId="660B4F0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特种作业人员未持证上岗</w:t>
            </w:r>
          </w:p>
        </w:tc>
        <w:tc>
          <w:tcPr>
            <w:tcW w:w="2514" w:type="dxa"/>
            <w:vAlign w:val="center"/>
          </w:tcPr>
          <w:p w14:paraId="7A72CC5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每处每次3000元</w:t>
            </w:r>
          </w:p>
        </w:tc>
        <w:tc>
          <w:tcPr>
            <w:tcW w:w="1119" w:type="dxa"/>
            <w:vAlign w:val="center"/>
          </w:tcPr>
          <w:p w14:paraId="547A4F14">
            <w:pPr>
              <w:widowControl w:val="0"/>
              <w:adjustRightInd/>
              <w:snapToGrid/>
              <w:spacing w:line="360" w:lineRule="auto"/>
              <w:jc w:val="both"/>
              <w:rPr>
                <w:rFonts w:hint="eastAsia" w:ascii="宋体" w:hAnsi="宋体" w:eastAsia="宋体" w:cs="宋体"/>
                <w:bCs/>
                <w:color w:val="auto"/>
                <w:kern w:val="2"/>
                <w:szCs w:val="21"/>
                <w:highlight w:val="none"/>
              </w:rPr>
            </w:pPr>
          </w:p>
        </w:tc>
      </w:tr>
      <w:tr w14:paraId="1DC5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0DA10CB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EHS09</w:t>
            </w:r>
          </w:p>
        </w:tc>
        <w:tc>
          <w:tcPr>
            <w:tcW w:w="4422" w:type="dxa"/>
            <w:vAlign w:val="center"/>
          </w:tcPr>
          <w:p w14:paraId="301A46E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规定的人员未按规定时间参与安全会议、检查和其他安全活动</w:t>
            </w:r>
          </w:p>
        </w:tc>
        <w:tc>
          <w:tcPr>
            <w:tcW w:w="2514" w:type="dxa"/>
            <w:vAlign w:val="center"/>
          </w:tcPr>
          <w:p w14:paraId="4747FA1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每人每次1000元</w:t>
            </w:r>
          </w:p>
        </w:tc>
        <w:tc>
          <w:tcPr>
            <w:tcW w:w="1119" w:type="dxa"/>
            <w:vAlign w:val="center"/>
          </w:tcPr>
          <w:p w14:paraId="2740A17C">
            <w:pPr>
              <w:widowControl w:val="0"/>
              <w:adjustRightInd/>
              <w:snapToGrid/>
              <w:spacing w:line="360" w:lineRule="auto"/>
              <w:jc w:val="both"/>
              <w:rPr>
                <w:rFonts w:hint="eastAsia" w:ascii="宋体" w:hAnsi="宋体" w:eastAsia="宋体" w:cs="宋体"/>
                <w:bCs/>
                <w:color w:val="auto"/>
                <w:kern w:val="2"/>
                <w:szCs w:val="21"/>
                <w:highlight w:val="none"/>
              </w:rPr>
            </w:pPr>
          </w:p>
        </w:tc>
      </w:tr>
      <w:tr w14:paraId="36B3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6ACF9D6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EHS10</w:t>
            </w:r>
          </w:p>
        </w:tc>
        <w:tc>
          <w:tcPr>
            <w:tcW w:w="4422" w:type="dxa"/>
            <w:vAlign w:val="center"/>
          </w:tcPr>
          <w:p w14:paraId="42529A5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未按规定要求设置职业健康、环境保护设施、未按规定落实</w:t>
            </w:r>
          </w:p>
        </w:tc>
        <w:tc>
          <w:tcPr>
            <w:tcW w:w="2514" w:type="dxa"/>
            <w:vAlign w:val="center"/>
          </w:tcPr>
          <w:p w14:paraId="38DFB84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每处每1000-20000元</w:t>
            </w:r>
          </w:p>
        </w:tc>
        <w:tc>
          <w:tcPr>
            <w:tcW w:w="1119" w:type="dxa"/>
            <w:vAlign w:val="center"/>
          </w:tcPr>
          <w:p w14:paraId="6D500659">
            <w:pPr>
              <w:widowControl w:val="0"/>
              <w:adjustRightInd/>
              <w:snapToGrid/>
              <w:spacing w:line="360" w:lineRule="auto"/>
              <w:jc w:val="both"/>
              <w:rPr>
                <w:rFonts w:hint="eastAsia" w:ascii="宋体" w:hAnsi="宋体" w:eastAsia="宋体" w:cs="宋体"/>
                <w:bCs/>
                <w:color w:val="auto"/>
                <w:kern w:val="2"/>
                <w:szCs w:val="21"/>
                <w:highlight w:val="none"/>
              </w:rPr>
            </w:pPr>
          </w:p>
        </w:tc>
      </w:tr>
      <w:tr w14:paraId="3DB0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64121DC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EHS11</w:t>
            </w:r>
          </w:p>
        </w:tc>
        <w:tc>
          <w:tcPr>
            <w:tcW w:w="4422" w:type="dxa"/>
            <w:vAlign w:val="center"/>
          </w:tcPr>
          <w:p w14:paraId="0DA143B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未按照规定要求配置劳动防护用品或劳动防护用品不符合安全卫生要求</w:t>
            </w:r>
          </w:p>
        </w:tc>
        <w:tc>
          <w:tcPr>
            <w:tcW w:w="2514" w:type="dxa"/>
            <w:vAlign w:val="center"/>
          </w:tcPr>
          <w:p w14:paraId="54EEA25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每人每次1000元</w:t>
            </w:r>
          </w:p>
        </w:tc>
        <w:tc>
          <w:tcPr>
            <w:tcW w:w="1119" w:type="dxa"/>
            <w:vAlign w:val="center"/>
          </w:tcPr>
          <w:p w14:paraId="0A979954">
            <w:pPr>
              <w:widowControl w:val="0"/>
              <w:adjustRightInd/>
              <w:snapToGrid/>
              <w:spacing w:line="360" w:lineRule="auto"/>
              <w:jc w:val="both"/>
              <w:rPr>
                <w:rFonts w:hint="eastAsia" w:ascii="宋体" w:hAnsi="宋体" w:eastAsia="宋体" w:cs="宋体"/>
                <w:bCs/>
                <w:color w:val="auto"/>
                <w:kern w:val="2"/>
                <w:szCs w:val="21"/>
                <w:highlight w:val="none"/>
              </w:rPr>
            </w:pPr>
          </w:p>
        </w:tc>
      </w:tr>
      <w:tr w14:paraId="3C1D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6589B07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EHS12</w:t>
            </w:r>
          </w:p>
        </w:tc>
        <w:tc>
          <w:tcPr>
            <w:tcW w:w="4422" w:type="dxa"/>
            <w:vAlign w:val="center"/>
          </w:tcPr>
          <w:p w14:paraId="026660A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打架斗殴\聚众闹事\拦路封门等恶劣影响</w:t>
            </w:r>
          </w:p>
        </w:tc>
        <w:tc>
          <w:tcPr>
            <w:tcW w:w="2514" w:type="dxa"/>
            <w:vAlign w:val="center"/>
          </w:tcPr>
          <w:p w14:paraId="676B08E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1119" w:type="dxa"/>
            <w:vAlign w:val="center"/>
          </w:tcPr>
          <w:p w14:paraId="78CB6475">
            <w:pPr>
              <w:widowControl w:val="0"/>
              <w:adjustRightInd/>
              <w:snapToGrid/>
              <w:spacing w:line="360" w:lineRule="auto"/>
              <w:jc w:val="both"/>
              <w:rPr>
                <w:rFonts w:hint="eastAsia" w:ascii="宋体" w:hAnsi="宋体" w:eastAsia="宋体" w:cs="宋体"/>
                <w:bCs/>
                <w:color w:val="auto"/>
                <w:kern w:val="2"/>
                <w:szCs w:val="21"/>
                <w:highlight w:val="none"/>
              </w:rPr>
            </w:pPr>
          </w:p>
        </w:tc>
      </w:tr>
      <w:tr w14:paraId="3817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6C66A6E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EHS13</w:t>
            </w:r>
          </w:p>
        </w:tc>
        <w:tc>
          <w:tcPr>
            <w:tcW w:w="4422" w:type="dxa"/>
            <w:vAlign w:val="center"/>
          </w:tcPr>
          <w:p w14:paraId="5E6E2E9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不服从管理、威胁、恐吓、殴打管理人员</w:t>
            </w:r>
          </w:p>
        </w:tc>
        <w:tc>
          <w:tcPr>
            <w:tcW w:w="2514" w:type="dxa"/>
            <w:vAlign w:val="center"/>
          </w:tcPr>
          <w:p w14:paraId="6D69803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每次5000-100000元</w:t>
            </w:r>
          </w:p>
        </w:tc>
        <w:tc>
          <w:tcPr>
            <w:tcW w:w="1119" w:type="dxa"/>
            <w:vAlign w:val="center"/>
          </w:tcPr>
          <w:p w14:paraId="10A2C26D">
            <w:pPr>
              <w:widowControl w:val="0"/>
              <w:adjustRightInd/>
              <w:snapToGrid/>
              <w:spacing w:line="360" w:lineRule="auto"/>
              <w:jc w:val="both"/>
              <w:rPr>
                <w:rFonts w:hint="eastAsia" w:ascii="宋体" w:hAnsi="宋体" w:eastAsia="宋体" w:cs="宋体"/>
                <w:bCs/>
                <w:color w:val="auto"/>
                <w:kern w:val="2"/>
                <w:szCs w:val="21"/>
                <w:highlight w:val="none"/>
              </w:rPr>
            </w:pPr>
          </w:p>
        </w:tc>
      </w:tr>
      <w:tr w14:paraId="7597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4E6D660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EHS14</w:t>
            </w:r>
          </w:p>
        </w:tc>
        <w:tc>
          <w:tcPr>
            <w:tcW w:w="4422" w:type="dxa"/>
            <w:vAlign w:val="center"/>
          </w:tcPr>
          <w:p w14:paraId="383C47F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非法雇佣童工或违法犯罪人员</w:t>
            </w:r>
          </w:p>
        </w:tc>
        <w:tc>
          <w:tcPr>
            <w:tcW w:w="2514" w:type="dxa"/>
            <w:vAlign w:val="center"/>
          </w:tcPr>
          <w:p w14:paraId="220D0C0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19" w:type="dxa"/>
            <w:vAlign w:val="center"/>
          </w:tcPr>
          <w:p w14:paraId="46A9F4FE">
            <w:pPr>
              <w:widowControl w:val="0"/>
              <w:adjustRightInd/>
              <w:snapToGrid/>
              <w:spacing w:line="360" w:lineRule="auto"/>
              <w:jc w:val="both"/>
              <w:rPr>
                <w:rFonts w:hint="eastAsia" w:ascii="宋体" w:hAnsi="宋体" w:eastAsia="宋体" w:cs="宋体"/>
                <w:bCs/>
                <w:color w:val="auto"/>
                <w:kern w:val="2"/>
                <w:szCs w:val="21"/>
                <w:highlight w:val="none"/>
              </w:rPr>
            </w:pPr>
          </w:p>
        </w:tc>
      </w:tr>
      <w:tr w14:paraId="1DFE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079756E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EHS15</w:t>
            </w:r>
          </w:p>
        </w:tc>
        <w:tc>
          <w:tcPr>
            <w:tcW w:w="4422" w:type="dxa"/>
            <w:vAlign w:val="center"/>
          </w:tcPr>
          <w:p w14:paraId="03D87D4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危险作业未要求开具施工许可</w:t>
            </w:r>
          </w:p>
        </w:tc>
        <w:tc>
          <w:tcPr>
            <w:tcW w:w="2514" w:type="dxa"/>
            <w:vAlign w:val="center"/>
          </w:tcPr>
          <w:p w14:paraId="4BC4305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19" w:type="dxa"/>
            <w:vAlign w:val="center"/>
          </w:tcPr>
          <w:p w14:paraId="201D8869">
            <w:pPr>
              <w:widowControl w:val="0"/>
              <w:adjustRightInd/>
              <w:snapToGrid/>
              <w:spacing w:line="360" w:lineRule="auto"/>
              <w:jc w:val="both"/>
              <w:rPr>
                <w:rFonts w:hint="eastAsia" w:ascii="宋体" w:hAnsi="宋体" w:eastAsia="宋体" w:cs="宋体"/>
                <w:bCs/>
                <w:color w:val="auto"/>
                <w:kern w:val="2"/>
                <w:szCs w:val="21"/>
                <w:highlight w:val="none"/>
              </w:rPr>
            </w:pPr>
          </w:p>
        </w:tc>
      </w:tr>
      <w:tr w14:paraId="5F3E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48BA731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EHS16</w:t>
            </w:r>
          </w:p>
        </w:tc>
        <w:tc>
          <w:tcPr>
            <w:tcW w:w="4422" w:type="dxa"/>
            <w:vAlign w:val="center"/>
          </w:tcPr>
          <w:p w14:paraId="3F2398E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因管理问题造成的责任事故</w:t>
            </w:r>
          </w:p>
        </w:tc>
        <w:tc>
          <w:tcPr>
            <w:tcW w:w="2514" w:type="dxa"/>
            <w:vAlign w:val="center"/>
          </w:tcPr>
          <w:p w14:paraId="7D070CA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每处每次5000-20000元</w:t>
            </w:r>
          </w:p>
        </w:tc>
        <w:tc>
          <w:tcPr>
            <w:tcW w:w="1119" w:type="dxa"/>
            <w:vAlign w:val="center"/>
          </w:tcPr>
          <w:p w14:paraId="0CED302B">
            <w:pPr>
              <w:widowControl w:val="0"/>
              <w:adjustRightInd/>
              <w:snapToGrid/>
              <w:spacing w:line="360" w:lineRule="auto"/>
              <w:jc w:val="both"/>
              <w:rPr>
                <w:rFonts w:hint="eastAsia" w:ascii="宋体" w:hAnsi="宋体" w:eastAsia="宋体" w:cs="宋体"/>
                <w:bCs/>
                <w:color w:val="auto"/>
                <w:kern w:val="2"/>
                <w:szCs w:val="21"/>
                <w:highlight w:val="none"/>
              </w:rPr>
            </w:pPr>
          </w:p>
        </w:tc>
      </w:tr>
      <w:tr w14:paraId="3E17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1CD94A1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EHS17</w:t>
            </w:r>
          </w:p>
        </w:tc>
        <w:tc>
          <w:tcPr>
            <w:tcW w:w="4422" w:type="dxa"/>
            <w:vAlign w:val="center"/>
          </w:tcPr>
          <w:p w14:paraId="6422BED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因管理问题造成员工上访等恶性事件</w:t>
            </w:r>
          </w:p>
        </w:tc>
        <w:tc>
          <w:tcPr>
            <w:tcW w:w="2514" w:type="dxa"/>
            <w:vAlign w:val="center"/>
          </w:tcPr>
          <w:p w14:paraId="49726AA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每处每次5000-20000元</w:t>
            </w:r>
          </w:p>
        </w:tc>
        <w:tc>
          <w:tcPr>
            <w:tcW w:w="1119" w:type="dxa"/>
            <w:vAlign w:val="center"/>
          </w:tcPr>
          <w:p w14:paraId="38B7D1D3">
            <w:pPr>
              <w:widowControl w:val="0"/>
              <w:adjustRightInd/>
              <w:snapToGrid/>
              <w:spacing w:line="360" w:lineRule="auto"/>
              <w:jc w:val="both"/>
              <w:rPr>
                <w:rFonts w:hint="eastAsia" w:ascii="宋体" w:hAnsi="宋体" w:eastAsia="宋体" w:cs="宋体"/>
                <w:bCs/>
                <w:color w:val="auto"/>
                <w:kern w:val="2"/>
                <w:szCs w:val="21"/>
                <w:highlight w:val="none"/>
              </w:rPr>
            </w:pPr>
          </w:p>
        </w:tc>
      </w:tr>
      <w:tr w14:paraId="0EE6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vAlign w:val="center"/>
          </w:tcPr>
          <w:p w14:paraId="19D46C1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EHS18</w:t>
            </w:r>
          </w:p>
        </w:tc>
        <w:tc>
          <w:tcPr>
            <w:tcW w:w="4422" w:type="dxa"/>
            <w:vAlign w:val="center"/>
          </w:tcPr>
          <w:p w14:paraId="636479F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其他违反安全卫生职业健康安全事项，但非本罚则列出者，酌情处罚</w:t>
            </w:r>
          </w:p>
        </w:tc>
        <w:tc>
          <w:tcPr>
            <w:tcW w:w="2514" w:type="dxa"/>
            <w:vAlign w:val="center"/>
          </w:tcPr>
          <w:p w14:paraId="76B8ED3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每处每次500-200000元</w:t>
            </w:r>
          </w:p>
        </w:tc>
        <w:tc>
          <w:tcPr>
            <w:tcW w:w="1119" w:type="dxa"/>
            <w:vAlign w:val="center"/>
          </w:tcPr>
          <w:p w14:paraId="4A8301F9">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0EF39A2F">
      <w:pPr>
        <w:widowControl/>
        <w:adjustRightInd/>
        <w:snapToGrid/>
        <w:spacing w:line="360" w:lineRule="auto"/>
        <w:jc w:val="both"/>
        <w:rPr>
          <w:rFonts w:hint="eastAsia" w:ascii="宋体" w:hAnsi="宋体" w:eastAsia="宋体" w:cs="宋体"/>
          <w:bCs/>
          <w:color w:val="auto"/>
          <w:kern w:val="2"/>
          <w:szCs w:val="21"/>
          <w:highlight w:val="none"/>
        </w:rPr>
      </w:pPr>
    </w:p>
    <w:p w14:paraId="644FA85C">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4.7.2 文明施工管理</w:t>
      </w:r>
    </w:p>
    <w:tbl>
      <w:tblPr>
        <w:tblStyle w:val="31"/>
        <w:tblW w:w="90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4762"/>
        <w:gridCol w:w="2510"/>
        <w:gridCol w:w="858"/>
      </w:tblGrid>
      <w:tr w14:paraId="05AE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05AE0D91">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4762" w:type="dxa"/>
            <w:vAlign w:val="center"/>
          </w:tcPr>
          <w:p w14:paraId="5D38ACDF">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510" w:type="dxa"/>
            <w:vAlign w:val="center"/>
          </w:tcPr>
          <w:p w14:paraId="3ED72BD2">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858" w:type="dxa"/>
            <w:vAlign w:val="center"/>
          </w:tcPr>
          <w:p w14:paraId="383BF287">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60AB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4553486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CC01</w:t>
            </w:r>
          </w:p>
        </w:tc>
        <w:tc>
          <w:tcPr>
            <w:tcW w:w="4762" w:type="dxa"/>
            <w:vAlign w:val="center"/>
          </w:tcPr>
          <w:p w14:paraId="760CA09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进入工地后未佩戴安全帽或未系帽带</w:t>
            </w:r>
          </w:p>
        </w:tc>
        <w:tc>
          <w:tcPr>
            <w:tcW w:w="2510" w:type="dxa"/>
            <w:vAlign w:val="center"/>
          </w:tcPr>
          <w:p w14:paraId="3BF3915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每人每次500元</w:t>
            </w:r>
          </w:p>
        </w:tc>
        <w:tc>
          <w:tcPr>
            <w:tcW w:w="858" w:type="dxa"/>
            <w:vAlign w:val="center"/>
          </w:tcPr>
          <w:p w14:paraId="3C2EBCBE">
            <w:pPr>
              <w:widowControl w:val="0"/>
              <w:adjustRightInd/>
              <w:snapToGrid/>
              <w:spacing w:line="360" w:lineRule="auto"/>
              <w:jc w:val="both"/>
              <w:rPr>
                <w:rFonts w:hint="eastAsia" w:ascii="宋体" w:hAnsi="宋体" w:eastAsia="宋体" w:cs="宋体"/>
                <w:bCs/>
                <w:color w:val="auto"/>
                <w:kern w:val="2"/>
                <w:szCs w:val="21"/>
                <w:highlight w:val="none"/>
              </w:rPr>
            </w:pPr>
          </w:p>
        </w:tc>
      </w:tr>
      <w:tr w14:paraId="7D21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230CA9B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CC02</w:t>
            </w:r>
          </w:p>
        </w:tc>
        <w:tc>
          <w:tcPr>
            <w:tcW w:w="4762" w:type="dxa"/>
            <w:vAlign w:val="center"/>
          </w:tcPr>
          <w:p w14:paraId="32B8A2E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进入工地后未穿上工作服</w:t>
            </w:r>
          </w:p>
        </w:tc>
        <w:tc>
          <w:tcPr>
            <w:tcW w:w="2510" w:type="dxa"/>
            <w:vAlign w:val="center"/>
          </w:tcPr>
          <w:p w14:paraId="6F6E601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每人每次500元</w:t>
            </w:r>
          </w:p>
        </w:tc>
        <w:tc>
          <w:tcPr>
            <w:tcW w:w="858" w:type="dxa"/>
            <w:vAlign w:val="center"/>
          </w:tcPr>
          <w:p w14:paraId="73DF0AEA">
            <w:pPr>
              <w:widowControl w:val="0"/>
              <w:adjustRightInd/>
              <w:snapToGrid/>
              <w:spacing w:line="360" w:lineRule="auto"/>
              <w:jc w:val="both"/>
              <w:rPr>
                <w:rFonts w:hint="eastAsia" w:ascii="宋体" w:hAnsi="宋体" w:eastAsia="宋体" w:cs="宋体"/>
                <w:bCs/>
                <w:color w:val="auto"/>
                <w:kern w:val="2"/>
                <w:szCs w:val="21"/>
                <w:highlight w:val="none"/>
              </w:rPr>
            </w:pPr>
          </w:p>
        </w:tc>
      </w:tr>
      <w:tr w14:paraId="332B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02CA683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CC03</w:t>
            </w:r>
          </w:p>
        </w:tc>
        <w:tc>
          <w:tcPr>
            <w:tcW w:w="4762" w:type="dxa"/>
            <w:vAlign w:val="center"/>
          </w:tcPr>
          <w:p w14:paraId="436D003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进入工地未佩戴工作证或借用他人工作证</w:t>
            </w:r>
          </w:p>
        </w:tc>
        <w:tc>
          <w:tcPr>
            <w:tcW w:w="2510" w:type="dxa"/>
            <w:vAlign w:val="center"/>
          </w:tcPr>
          <w:p w14:paraId="2665369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每人每次500元</w:t>
            </w:r>
          </w:p>
        </w:tc>
        <w:tc>
          <w:tcPr>
            <w:tcW w:w="858" w:type="dxa"/>
            <w:vAlign w:val="center"/>
          </w:tcPr>
          <w:p w14:paraId="104BD2FB">
            <w:pPr>
              <w:widowControl w:val="0"/>
              <w:adjustRightInd/>
              <w:snapToGrid/>
              <w:spacing w:line="360" w:lineRule="auto"/>
              <w:jc w:val="both"/>
              <w:rPr>
                <w:rFonts w:hint="eastAsia" w:ascii="宋体" w:hAnsi="宋体" w:eastAsia="宋体" w:cs="宋体"/>
                <w:bCs/>
                <w:color w:val="auto"/>
                <w:kern w:val="2"/>
                <w:szCs w:val="21"/>
                <w:highlight w:val="none"/>
              </w:rPr>
            </w:pPr>
          </w:p>
        </w:tc>
      </w:tr>
      <w:tr w14:paraId="38BE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7D14FBA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CC04</w:t>
            </w:r>
          </w:p>
        </w:tc>
        <w:tc>
          <w:tcPr>
            <w:tcW w:w="4762" w:type="dxa"/>
            <w:vAlign w:val="center"/>
          </w:tcPr>
          <w:p w14:paraId="37B38DD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进入工地内赤膊、穿背心、拖鞋、短裤、裙子</w:t>
            </w:r>
          </w:p>
        </w:tc>
        <w:tc>
          <w:tcPr>
            <w:tcW w:w="2510" w:type="dxa"/>
            <w:vAlign w:val="center"/>
          </w:tcPr>
          <w:p w14:paraId="5B065B7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每人每次500元</w:t>
            </w:r>
          </w:p>
        </w:tc>
        <w:tc>
          <w:tcPr>
            <w:tcW w:w="858" w:type="dxa"/>
            <w:vAlign w:val="center"/>
          </w:tcPr>
          <w:p w14:paraId="1577178F">
            <w:pPr>
              <w:widowControl w:val="0"/>
              <w:adjustRightInd/>
              <w:snapToGrid/>
              <w:spacing w:line="360" w:lineRule="auto"/>
              <w:jc w:val="both"/>
              <w:rPr>
                <w:rFonts w:hint="eastAsia" w:ascii="宋体" w:hAnsi="宋体" w:eastAsia="宋体" w:cs="宋体"/>
                <w:bCs/>
                <w:color w:val="auto"/>
                <w:kern w:val="2"/>
                <w:szCs w:val="21"/>
                <w:highlight w:val="none"/>
              </w:rPr>
            </w:pPr>
          </w:p>
        </w:tc>
      </w:tr>
      <w:tr w14:paraId="3994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4B534FF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CC05</w:t>
            </w:r>
          </w:p>
        </w:tc>
        <w:tc>
          <w:tcPr>
            <w:tcW w:w="4762" w:type="dxa"/>
            <w:vAlign w:val="center"/>
          </w:tcPr>
          <w:p w14:paraId="2C86D30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未在规定区域抽烟</w:t>
            </w:r>
          </w:p>
        </w:tc>
        <w:tc>
          <w:tcPr>
            <w:tcW w:w="2510" w:type="dxa"/>
            <w:vAlign w:val="center"/>
          </w:tcPr>
          <w:p w14:paraId="3A1EB23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每人每次500元</w:t>
            </w:r>
          </w:p>
          <w:p w14:paraId="03FFF8F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危险区域1000元</w:t>
            </w:r>
          </w:p>
        </w:tc>
        <w:tc>
          <w:tcPr>
            <w:tcW w:w="858" w:type="dxa"/>
            <w:vAlign w:val="center"/>
          </w:tcPr>
          <w:p w14:paraId="4E78AE39">
            <w:pPr>
              <w:widowControl w:val="0"/>
              <w:adjustRightInd/>
              <w:snapToGrid/>
              <w:spacing w:line="360" w:lineRule="auto"/>
              <w:jc w:val="both"/>
              <w:rPr>
                <w:rFonts w:hint="eastAsia" w:ascii="宋体" w:hAnsi="宋体" w:eastAsia="宋体" w:cs="宋体"/>
                <w:bCs/>
                <w:color w:val="auto"/>
                <w:kern w:val="2"/>
                <w:szCs w:val="21"/>
                <w:highlight w:val="none"/>
              </w:rPr>
            </w:pPr>
          </w:p>
        </w:tc>
      </w:tr>
      <w:tr w14:paraId="0B3C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5B8AAFB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CC06</w:t>
            </w:r>
          </w:p>
        </w:tc>
        <w:tc>
          <w:tcPr>
            <w:tcW w:w="4762" w:type="dxa"/>
            <w:vAlign w:val="center"/>
          </w:tcPr>
          <w:p w14:paraId="796B696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未在规定的区域倾倒垃圾</w:t>
            </w:r>
          </w:p>
        </w:tc>
        <w:tc>
          <w:tcPr>
            <w:tcW w:w="2510" w:type="dxa"/>
            <w:vAlign w:val="center"/>
          </w:tcPr>
          <w:p w14:paraId="08B3637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每处每次500-10000元</w:t>
            </w:r>
          </w:p>
        </w:tc>
        <w:tc>
          <w:tcPr>
            <w:tcW w:w="858" w:type="dxa"/>
            <w:vAlign w:val="center"/>
          </w:tcPr>
          <w:p w14:paraId="681AEE78">
            <w:pPr>
              <w:widowControl w:val="0"/>
              <w:adjustRightInd/>
              <w:snapToGrid/>
              <w:spacing w:line="360" w:lineRule="auto"/>
              <w:jc w:val="both"/>
              <w:rPr>
                <w:rFonts w:hint="eastAsia" w:ascii="宋体" w:hAnsi="宋体" w:eastAsia="宋体" w:cs="宋体"/>
                <w:bCs/>
                <w:color w:val="auto"/>
                <w:kern w:val="2"/>
                <w:szCs w:val="21"/>
                <w:highlight w:val="none"/>
              </w:rPr>
            </w:pPr>
          </w:p>
        </w:tc>
      </w:tr>
      <w:tr w14:paraId="2656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50DC7FD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CC07</w:t>
            </w:r>
          </w:p>
        </w:tc>
        <w:tc>
          <w:tcPr>
            <w:tcW w:w="4762" w:type="dxa"/>
            <w:vAlign w:val="center"/>
          </w:tcPr>
          <w:p w14:paraId="23C122C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在工地现场席地躺睡</w:t>
            </w:r>
          </w:p>
        </w:tc>
        <w:tc>
          <w:tcPr>
            <w:tcW w:w="2510" w:type="dxa"/>
            <w:vAlign w:val="center"/>
          </w:tcPr>
          <w:p w14:paraId="4187F93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每人每次500元</w:t>
            </w:r>
          </w:p>
        </w:tc>
        <w:tc>
          <w:tcPr>
            <w:tcW w:w="858" w:type="dxa"/>
            <w:vAlign w:val="center"/>
          </w:tcPr>
          <w:p w14:paraId="7CC6DAE2">
            <w:pPr>
              <w:widowControl w:val="0"/>
              <w:adjustRightInd/>
              <w:snapToGrid/>
              <w:spacing w:line="360" w:lineRule="auto"/>
              <w:jc w:val="both"/>
              <w:rPr>
                <w:rFonts w:hint="eastAsia" w:ascii="宋体" w:hAnsi="宋体" w:eastAsia="宋体" w:cs="宋体"/>
                <w:bCs/>
                <w:color w:val="auto"/>
                <w:kern w:val="2"/>
                <w:szCs w:val="21"/>
                <w:highlight w:val="none"/>
              </w:rPr>
            </w:pPr>
          </w:p>
        </w:tc>
      </w:tr>
      <w:tr w14:paraId="706F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382284C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CC08</w:t>
            </w:r>
          </w:p>
        </w:tc>
        <w:tc>
          <w:tcPr>
            <w:tcW w:w="4762" w:type="dxa"/>
            <w:vAlign w:val="center"/>
          </w:tcPr>
          <w:p w14:paraId="22C8B4C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未在指定区域大小便、洗浴等</w:t>
            </w:r>
          </w:p>
        </w:tc>
        <w:tc>
          <w:tcPr>
            <w:tcW w:w="2510" w:type="dxa"/>
            <w:vAlign w:val="center"/>
          </w:tcPr>
          <w:p w14:paraId="488EEBC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每人每次1000元</w:t>
            </w:r>
          </w:p>
        </w:tc>
        <w:tc>
          <w:tcPr>
            <w:tcW w:w="858" w:type="dxa"/>
            <w:vAlign w:val="center"/>
          </w:tcPr>
          <w:p w14:paraId="1CCDE75A">
            <w:pPr>
              <w:widowControl w:val="0"/>
              <w:adjustRightInd/>
              <w:snapToGrid/>
              <w:spacing w:line="360" w:lineRule="auto"/>
              <w:jc w:val="both"/>
              <w:rPr>
                <w:rFonts w:hint="eastAsia" w:ascii="宋体" w:hAnsi="宋体" w:eastAsia="宋体" w:cs="宋体"/>
                <w:bCs/>
                <w:color w:val="auto"/>
                <w:kern w:val="2"/>
                <w:szCs w:val="21"/>
                <w:highlight w:val="none"/>
              </w:rPr>
            </w:pPr>
          </w:p>
        </w:tc>
      </w:tr>
      <w:tr w14:paraId="4CE2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506CEDF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CC09</w:t>
            </w:r>
          </w:p>
        </w:tc>
        <w:tc>
          <w:tcPr>
            <w:tcW w:w="4762" w:type="dxa"/>
            <w:vAlign w:val="center"/>
          </w:tcPr>
          <w:p w14:paraId="243A923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酒后进入（含酒精性饮料、迷幻剂等）工地</w:t>
            </w:r>
          </w:p>
        </w:tc>
        <w:tc>
          <w:tcPr>
            <w:tcW w:w="2510" w:type="dxa"/>
            <w:vAlign w:val="center"/>
          </w:tcPr>
          <w:p w14:paraId="31BF321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858" w:type="dxa"/>
            <w:vAlign w:val="center"/>
          </w:tcPr>
          <w:p w14:paraId="07B7ECA7">
            <w:pPr>
              <w:widowControl w:val="0"/>
              <w:adjustRightInd/>
              <w:snapToGrid/>
              <w:spacing w:line="360" w:lineRule="auto"/>
              <w:jc w:val="both"/>
              <w:rPr>
                <w:rFonts w:hint="eastAsia" w:ascii="宋体" w:hAnsi="宋体" w:eastAsia="宋体" w:cs="宋体"/>
                <w:bCs/>
                <w:color w:val="auto"/>
                <w:kern w:val="2"/>
                <w:szCs w:val="21"/>
                <w:highlight w:val="none"/>
              </w:rPr>
            </w:pPr>
          </w:p>
        </w:tc>
      </w:tr>
      <w:tr w14:paraId="1B17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16C448C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CC10</w:t>
            </w:r>
          </w:p>
        </w:tc>
        <w:tc>
          <w:tcPr>
            <w:tcW w:w="4762" w:type="dxa"/>
            <w:vAlign w:val="center"/>
          </w:tcPr>
          <w:p w14:paraId="7FC09E1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未按照国家标准做好噪声排放、污水处理和环</w:t>
            </w:r>
          </w:p>
          <w:p w14:paraId="6329D26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境保护措施</w:t>
            </w:r>
          </w:p>
        </w:tc>
        <w:tc>
          <w:tcPr>
            <w:tcW w:w="2510" w:type="dxa"/>
            <w:vAlign w:val="center"/>
          </w:tcPr>
          <w:p w14:paraId="2EF9299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p w14:paraId="3ED890A1">
            <w:pPr>
              <w:widowControl w:val="0"/>
              <w:adjustRightInd/>
              <w:snapToGrid/>
              <w:spacing w:line="360" w:lineRule="auto"/>
              <w:jc w:val="both"/>
              <w:rPr>
                <w:rFonts w:hint="eastAsia" w:ascii="宋体" w:hAnsi="宋体" w:eastAsia="宋体" w:cs="宋体"/>
                <w:bCs/>
                <w:color w:val="auto"/>
                <w:kern w:val="2"/>
                <w:szCs w:val="21"/>
                <w:highlight w:val="none"/>
              </w:rPr>
            </w:pPr>
          </w:p>
        </w:tc>
        <w:tc>
          <w:tcPr>
            <w:tcW w:w="858" w:type="dxa"/>
            <w:vAlign w:val="center"/>
          </w:tcPr>
          <w:p w14:paraId="04F03BF3">
            <w:pPr>
              <w:widowControl w:val="0"/>
              <w:adjustRightInd/>
              <w:snapToGrid/>
              <w:spacing w:line="360" w:lineRule="auto"/>
              <w:jc w:val="both"/>
              <w:rPr>
                <w:rFonts w:hint="eastAsia" w:ascii="宋体" w:hAnsi="宋体" w:eastAsia="宋体" w:cs="宋体"/>
                <w:bCs/>
                <w:color w:val="auto"/>
                <w:kern w:val="2"/>
                <w:szCs w:val="21"/>
                <w:highlight w:val="none"/>
              </w:rPr>
            </w:pPr>
          </w:p>
        </w:tc>
      </w:tr>
      <w:tr w14:paraId="6ECB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705401B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CC11</w:t>
            </w:r>
          </w:p>
        </w:tc>
        <w:tc>
          <w:tcPr>
            <w:tcW w:w="4762" w:type="dxa"/>
            <w:vAlign w:val="center"/>
          </w:tcPr>
          <w:p w14:paraId="6791B17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加工区、预制区、施工现场未及时进行5S清理</w:t>
            </w:r>
          </w:p>
        </w:tc>
        <w:tc>
          <w:tcPr>
            <w:tcW w:w="2510" w:type="dxa"/>
            <w:vAlign w:val="center"/>
          </w:tcPr>
          <w:p w14:paraId="76CCF64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858" w:type="dxa"/>
            <w:vAlign w:val="center"/>
          </w:tcPr>
          <w:p w14:paraId="2860D962">
            <w:pPr>
              <w:widowControl w:val="0"/>
              <w:adjustRightInd/>
              <w:snapToGrid/>
              <w:spacing w:line="360" w:lineRule="auto"/>
              <w:jc w:val="both"/>
              <w:rPr>
                <w:rFonts w:hint="eastAsia" w:ascii="宋体" w:hAnsi="宋体" w:eastAsia="宋体" w:cs="宋体"/>
                <w:bCs/>
                <w:color w:val="auto"/>
                <w:kern w:val="2"/>
                <w:szCs w:val="21"/>
                <w:highlight w:val="none"/>
              </w:rPr>
            </w:pPr>
          </w:p>
        </w:tc>
      </w:tr>
      <w:tr w14:paraId="28BE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51C9C20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CC12</w:t>
            </w:r>
          </w:p>
        </w:tc>
        <w:tc>
          <w:tcPr>
            <w:tcW w:w="4762" w:type="dxa"/>
            <w:vAlign w:val="center"/>
          </w:tcPr>
          <w:p w14:paraId="052D9B1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生活区、食堂不符合环境与卫生要求</w:t>
            </w:r>
          </w:p>
        </w:tc>
        <w:tc>
          <w:tcPr>
            <w:tcW w:w="2510" w:type="dxa"/>
            <w:vAlign w:val="center"/>
          </w:tcPr>
          <w:p w14:paraId="0D8E112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858" w:type="dxa"/>
            <w:vAlign w:val="center"/>
          </w:tcPr>
          <w:p w14:paraId="712E7987">
            <w:pPr>
              <w:widowControl w:val="0"/>
              <w:adjustRightInd/>
              <w:snapToGrid/>
              <w:spacing w:line="360" w:lineRule="auto"/>
              <w:jc w:val="both"/>
              <w:rPr>
                <w:rFonts w:hint="eastAsia" w:ascii="宋体" w:hAnsi="宋体" w:eastAsia="宋体" w:cs="宋体"/>
                <w:bCs/>
                <w:color w:val="auto"/>
                <w:kern w:val="2"/>
                <w:szCs w:val="21"/>
                <w:highlight w:val="none"/>
              </w:rPr>
            </w:pPr>
          </w:p>
        </w:tc>
      </w:tr>
      <w:tr w14:paraId="2B39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5991D49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CC13</w:t>
            </w:r>
          </w:p>
        </w:tc>
        <w:tc>
          <w:tcPr>
            <w:tcW w:w="4762" w:type="dxa"/>
            <w:vAlign w:val="center"/>
          </w:tcPr>
          <w:p w14:paraId="2115B9F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食堂采购、出售变质过期食物的</w:t>
            </w:r>
          </w:p>
        </w:tc>
        <w:tc>
          <w:tcPr>
            <w:tcW w:w="2510" w:type="dxa"/>
            <w:vAlign w:val="center"/>
          </w:tcPr>
          <w:p w14:paraId="62C16B7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858" w:type="dxa"/>
            <w:vAlign w:val="center"/>
          </w:tcPr>
          <w:p w14:paraId="2EB76262">
            <w:pPr>
              <w:widowControl w:val="0"/>
              <w:adjustRightInd/>
              <w:snapToGrid/>
              <w:spacing w:line="360" w:lineRule="auto"/>
              <w:jc w:val="both"/>
              <w:rPr>
                <w:rFonts w:hint="eastAsia" w:ascii="宋体" w:hAnsi="宋体" w:eastAsia="宋体" w:cs="宋体"/>
                <w:bCs/>
                <w:color w:val="auto"/>
                <w:kern w:val="2"/>
                <w:szCs w:val="21"/>
                <w:highlight w:val="none"/>
              </w:rPr>
            </w:pPr>
          </w:p>
        </w:tc>
      </w:tr>
      <w:tr w14:paraId="4EC6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49A8529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CC14</w:t>
            </w:r>
          </w:p>
        </w:tc>
        <w:tc>
          <w:tcPr>
            <w:tcW w:w="4762" w:type="dxa"/>
            <w:vAlign w:val="center"/>
          </w:tcPr>
          <w:p w14:paraId="55C649F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其他违反国家相关标准或项目管理规定</w:t>
            </w:r>
          </w:p>
        </w:tc>
        <w:tc>
          <w:tcPr>
            <w:tcW w:w="2510" w:type="dxa"/>
            <w:vAlign w:val="center"/>
          </w:tcPr>
          <w:p w14:paraId="2291560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每处每次500-50000元</w:t>
            </w:r>
          </w:p>
        </w:tc>
        <w:tc>
          <w:tcPr>
            <w:tcW w:w="858" w:type="dxa"/>
            <w:vAlign w:val="center"/>
          </w:tcPr>
          <w:p w14:paraId="0D626774">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1E7D2FD9">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4.7.3 消防动火作业管理</w:t>
      </w:r>
    </w:p>
    <w:tbl>
      <w:tblPr>
        <w:tblStyle w:val="31"/>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535"/>
        <w:gridCol w:w="2608"/>
        <w:gridCol w:w="1134"/>
      </w:tblGrid>
      <w:tr w14:paraId="73A4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6" w:type="dxa"/>
            <w:vAlign w:val="center"/>
          </w:tcPr>
          <w:p w14:paraId="27D45688">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4535" w:type="dxa"/>
            <w:vAlign w:val="center"/>
          </w:tcPr>
          <w:p w14:paraId="7642BF8F">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608" w:type="dxa"/>
            <w:vAlign w:val="center"/>
          </w:tcPr>
          <w:p w14:paraId="561EA047">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1134" w:type="dxa"/>
            <w:vAlign w:val="center"/>
          </w:tcPr>
          <w:p w14:paraId="5183AFBA">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3F42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6B786BD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FC01</w:t>
            </w:r>
          </w:p>
        </w:tc>
        <w:tc>
          <w:tcPr>
            <w:tcW w:w="4535" w:type="dxa"/>
            <w:vAlign w:val="center"/>
          </w:tcPr>
          <w:p w14:paraId="1BD8C95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执行动火人无特种操作证或无效</w:t>
            </w:r>
          </w:p>
        </w:tc>
        <w:tc>
          <w:tcPr>
            <w:tcW w:w="2608" w:type="dxa"/>
            <w:vAlign w:val="center"/>
          </w:tcPr>
          <w:p w14:paraId="1AFB51B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每人每次1000元</w:t>
            </w:r>
          </w:p>
        </w:tc>
        <w:tc>
          <w:tcPr>
            <w:tcW w:w="1134" w:type="dxa"/>
            <w:vAlign w:val="center"/>
          </w:tcPr>
          <w:p w14:paraId="19E30518">
            <w:pPr>
              <w:widowControl w:val="0"/>
              <w:adjustRightInd/>
              <w:snapToGrid/>
              <w:spacing w:line="360" w:lineRule="auto"/>
              <w:jc w:val="both"/>
              <w:rPr>
                <w:rFonts w:hint="eastAsia" w:ascii="宋体" w:hAnsi="宋体" w:eastAsia="宋体" w:cs="宋体"/>
                <w:bCs/>
                <w:color w:val="auto"/>
                <w:kern w:val="2"/>
                <w:szCs w:val="21"/>
                <w:highlight w:val="none"/>
              </w:rPr>
            </w:pPr>
          </w:p>
        </w:tc>
      </w:tr>
      <w:tr w14:paraId="7411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2C2D68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FC02</w:t>
            </w:r>
          </w:p>
        </w:tc>
        <w:tc>
          <w:tcPr>
            <w:tcW w:w="4535" w:type="dxa"/>
            <w:vAlign w:val="center"/>
          </w:tcPr>
          <w:p w14:paraId="27E1FB4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动火作业无施工许可单或未签批完整</w:t>
            </w:r>
          </w:p>
        </w:tc>
        <w:tc>
          <w:tcPr>
            <w:tcW w:w="2608" w:type="dxa"/>
            <w:vAlign w:val="center"/>
          </w:tcPr>
          <w:p w14:paraId="612CE58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center"/>
          </w:tcPr>
          <w:p w14:paraId="063FC95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停止施工</w:t>
            </w:r>
          </w:p>
        </w:tc>
      </w:tr>
      <w:tr w14:paraId="1B13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65F8235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FC03</w:t>
            </w:r>
          </w:p>
        </w:tc>
        <w:tc>
          <w:tcPr>
            <w:tcW w:w="4535" w:type="dxa"/>
            <w:vAlign w:val="center"/>
          </w:tcPr>
          <w:p w14:paraId="55EFF37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动火作业现场存在易燃材料或安全距离不足</w:t>
            </w:r>
          </w:p>
        </w:tc>
        <w:tc>
          <w:tcPr>
            <w:tcW w:w="2608" w:type="dxa"/>
            <w:vAlign w:val="center"/>
          </w:tcPr>
          <w:p w14:paraId="2062F0C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center"/>
          </w:tcPr>
          <w:p w14:paraId="3330F36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停止施工</w:t>
            </w:r>
          </w:p>
        </w:tc>
      </w:tr>
      <w:tr w14:paraId="7396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4F95034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FC04</w:t>
            </w:r>
          </w:p>
        </w:tc>
        <w:tc>
          <w:tcPr>
            <w:tcW w:w="4535" w:type="dxa"/>
            <w:vAlign w:val="center"/>
          </w:tcPr>
          <w:p w14:paraId="2CF1AB3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动火现场未配置足够看火人或未佩戴标识</w:t>
            </w:r>
          </w:p>
        </w:tc>
        <w:tc>
          <w:tcPr>
            <w:tcW w:w="2608" w:type="dxa"/>
            <w:vAlign w:val="center"/>
          </w:tcPr>
          <w:p w14:paraId="19914DC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4549666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暂停施工</w:t>
            </w:r>
          </w:p>
        </w:tc>
      </w:tr>
      <w:tr w14:paraId="32DE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259DD15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FC05</w:t>
            </w:r>
          </w:p>
        </w:tc>
        <w:tc>
          <w:tcPr>
            <w:tcW w:w="4535" w:type="dxa"/>
            <w:vAlign w:val="center"/>
          </w:tcPr>
          <w:p w14:paraId="5B6BDA5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动火现场未规定要求配置足够灭火装置</w:t>
            </w:r>
          </w:p>
          <w:p w14:paraId="57326FD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或配置的灭火装备失效</w:t>
            </w:r>
          </w:p>
        </w:tc>
        <w:tc>
          <w:tcPr>
            <w:tcW w:w="2608" w:type="dxa"/>
            <w:vAlign w:val="center"/>
          </w:tcPr>
          <w:p w14:paraId="1F6FEEB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03D743B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停止施工</w:t>
            </w:r>
          </w:p>
        </w:tc>
      </w:tr>
      <w:tr w14:paraId="02CE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17159A8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FC06</w:t>
            </w:r>
          </w:p>
        </w:tc>
        <w:tc>
          <w:tcPr>
            <w:tcW w:w="4535" w:type="dxa"/>
            <w:vAlign w:val="center"/>
          </w:tcPr>
          <w:p w14:paraId="633C2D3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动火作业完成后焊渣未清理，现场未整理</w:t>
            </w:r>
          </w:p>
        </w:tc>
        <w:tc>
          <w:tcPr>
            <w:tcW w:w="2608" w:type="dxa"/>
            <w:vAlign w:val="center"/>
          </w:tcPr>
          <w:p w14:paraId="40F6088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4E6FED25">
            <w:pPr>
              <w:widowControl w:val="0"/>
              <w:adjustRightInd/>
              <w:snapToGrid/>
              <w:spacing w:line="360" w:lineRule="auto"/>
              <w:jc w:val="both"/>
              <w:rPr>
                <w:rFonts w:hint="eastAsia" w:ascii="宋体" w:hAnsi="宋体" w:eastAsia="宋体" w:cs="宋体"/>
                <w:bCs/>
                <w:color w:val="auto"/>
                <w:kern w:val="2"/>
                <w:szCs w:val="21"/>
                <w:highlight w:val="none"/>
              </w:rPr>
            </w:pPr>
          </w:p>
        </w:tc>
      </w:tr>
      <w:tr w14:paraId="01A9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4823111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FC07</w:t>
            </w:r>
          </w:p>
        </w:tc>
        <w:tc>
          <w:tcPr>
            <w:tcW w:w="4535" w:type="dxa"/>
            <w:vAlign w:val="center"/>
          </w:tcPr>
          <w:p w14:paraId="4B8F4D8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私自伪造、涂改、代签或变更动火证</w:t>
            </w:r>
          </w:p>
        </w:tc>
        <w:tc>
          <w:tcPr>
            <w:tcW w:w="2608" w:type="dxa"/>
            <w:vAlign w:val="center"/>
          </w:tcPr>
          <w:p w14:paraId="69CBBE7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center"/>
          </w:tcPr>
          <w:p w14:paraId="6AFB4A51">
            <w:pPr>
              <w:widowControl w:val="0"/>
              <w:adjustRightInd/>
              <w:snapToGrid/>
              <w:spacing w:line="360" w:lineRule="auto"/>
              <w:jc w:val="both"/>
              <w:rPr>
                <w:rFonts w:hint="eastAsia" w:ascii="宋体" w:hAnsi="宋体" w:eastAsia="宋体" w:cs="宋体"/>
                <w:bCs/>
                <w:color w:val="auto"/>
                <w:kern w:val="2"/>
                <w:szCs w:val="21"/>
                <w:highlight w:val="none"/>
              </w:rPr>
            </w:pPr>
          </w:p>
        </w:tc>
      </w:tr>
      <w:tr w14:paraId="0F38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35E4D80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FC08</w:t>
            </w:r>
          </w:p>
        </w:tc>
        <w:tc>
          <w:tcPr>
            <w:tcW w:w="4535" w:type="dxa"/>
            <w:vAlign w:val="center"/>
          </w:tcPr>
          <w:p w14:paraId="27AF061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氧气乙炔瓶距离未达规范要求</w:t>
            </w:r>
          </w:p>
        </w:tc>
        <w:tc>
          <w:tcPr>
            <w:tcW w:w="2608" w:type="dxa"/>
            <w:vAlign w:val="center"/>
          </w:tcPr>
          <w:p w14:paraId="17DB8DE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每处每次500元</w:t>
            </w:r>
          </w:p>
        </w:tc>
        <w:tc>
          <w:tcPr>
            <w:tcW w:w="1134" w:type="dxa"/>
            <w:vAlign w:val="center"/>
          </w:tcPr>
          <w:p w14:paraId="566112B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立即整改</w:t>
            </w:r>
          </w:p>
        </w:tc>
      </w:tr>
      <w:tr w14:paraId="2D70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4861E5B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FC09</w:t>
            </w:r>
          </w:p>
        </w:tc>
        <w:tc>
          <w:tcPr>
            <w:tcW w:w="4535" w:type="dxa"/>
            <w:vAlign w:val="center"/>
          </w:tcPr>
          <w:p w14:paraId="2034964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作业申请单上未自动检查或与现场不符</w:t>
            </w:r>
          </w:p>
        </w:tc>
        <w:tc>
          <w:tcPr>
            <w:tcW w:w="2608" w:type="dxa"/>
            <w:vAlign w:val="center"/>
          </w:tcPr>
          <w:p w14:paraId="547EDAF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每处每次500元</w:t>
            </w:r>
          </w:p>
        </w:tc>
        <w:tc>
          <w:tcPr>
            <w:tcW w:w="1134" w:type="dxa"/>
            <w:vAlign w:val="center"/>
          </w:tcPr>
          <w:p w14:paraId="4E8EBF16">
            <w:pPr>
              <w:widowControl w:val="0"/>
              <w:adjustRightInd/>
              <w:snapToGrid/>
              <w:spacing w:line="360" w:lineRule="auto"/>
              <w:jc w:val="both"/>
              <w:rPr>
                <w:rFonts w:hint="eastAsia" w:ascii="宋体" w:hAnsi="宋体" w:eastAsia="宋体" w:cs="宋体"/>
                <w:bCs/>
                <w:color w:val="auto"/>
                <w:kern w:val="2"/>
                <w:szCs w:val="21"/>
                <w:highlight w:val="none"/>
              </w:rPr>
            </w:pPr>
          </w:p>
        </w:tc>
      </w:tr>
      <w:tr w14:paraId="20BC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6174C9C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FC10</w:t>
            </w:r>
          </w:p>
        </w:tc>
        <w:tc>
          <w:tcPr>
            <w:tcW w:w="4535" w:type="dxa"/>
            <w:vAlign w:val="center"/>
          </w:tcPr>
          <w:p w14:paraId="23913B7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因施工造成火险、火灾</w:t>
            </w:r>
          </w:p>
        </w:tc>
        <w:tc>
          <w:tcPr>
            <w:tcW w:w="2608" w:type="dxa"/>
            <w:vAlign w:val="center"/>
          </w:tcPr>
          <w:p w14:paraId="61E6A40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每处每次2000-200000元</w:t>
            </w:r>
          </w:p>
        </w:tc>
        <w:tc>
          <w:tcPr>
            <w:tcW w:w="1134" w:type="dxa"/>
            <w:vAlign w:val="center"/>
          </w:tcPr>
          <w:p w14:paraId="772A2E1D">
            <w:pPr>
              <w:widowControl w:val="0"/>
              <w:adjustRightInd/>
              <w:snapToGrid/>
              <w:spacing w:line="360" w:lineRule="auto"/>
              <w:jc w:val="both"/>
              <w:rPr>
                <w:rFonts w:hint="eastAsia" w:ascii="宋体" w:hAnsi="宋体" w:eastAsia="宋体" w:cs="宋体"/>
                <w:bCs/>
                <w:color w:val="auto"/>
                <w:kern w:val="2"/>
                <w:szCs w:val="21"/>
                <w:highlight w:val="none"/>
              </w:rPr>
            </w:pPr>
          </w:p>
        </w:tc>
      </w:tr>
      <w:tr w14:paraId="5206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EC475D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FC11</w:t>
            </w:r>
          </w:p>
        </w:tc>
        <w:tc>
          <w:tcPr>
            <w:tcW w:w="4535" w:type="dxa"/>
            <w:vAlign w:val="center"/>
          </w:tcPr>
          <w:p w14:paraId="6BBA4F8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易燃气瓶、材料等未按规定妥善保存</w:t>
            </w:r>
          </w:p>
        </w:tc>
        <w:tc>
          <w:tcPr>
            <w:tcW w:w="2608" w:type="dxa"/>
            <w:vAlign w:val="center"/>
          </w:tcPr>
          <w:p w14:paraId="27CEFE4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center"/>
          </w:tcPr>
          <w:p w14:paraId="17C741AC">
            <w:pPr>
              <w:widowControl w:val="0"/>
              <w:adjustRightInd/>
              <w:snapToGrid/>
              <w:spacing w:line="360" w:lineRule="auto"/>
              <w:jc w:val="both"/>
              <w:rPr>
                <w:rFonts w:hint="eastAsia" w:ascii="宋体" w:hAnsi="宋体" w:eastAsia="宋体" w:cs="宋体"/>
                <w:bCs/>
                <w:color w:val="auto"/>
                <w:kern w:val="2"/>
                <w:szCs w:val="21"/>
                <w:highlight w:val="none"/>
              </w:rPr>
            </w:pPr>
          </w:p>
        </w:tc>
      </w:tr>
      <w:tr w14:paraId="7D7E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660A1BA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FC12</w:t>
            </w:r>
          </w:p>
        </w:tc>
        <w:tc>
          <w:tcPr>
            <w:tcW w:w="4535" w:type="dxa"/>
            <w:vAlign w:val="center"/>
          </w:tcPr>
          <w:p w14:paraId="5B97B87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未按规定在易燃材料等规定区域配置灭火器</w:t>
            </w:r>
          </w:p>
        </w:tc>
        <w:tc>
          <w:tcPr>
            <w:tcW w:w="2608" w:type="dxa"/>
            <w:vAlign w:val="center"/>
          </w:tcPr>
          <w:p w14:paraId="2E9C5BE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63221C3A">
            <w:pPr>
              <w:widowControl w:val="0"/>
              <w:adjustRightInd/>
              <w:snapToGrid/>
              <w:spacing w:line="360" w:lineRule="auto"/>
              <w:jc w:val="both"/>
              <w:rPr>
                <w:rFonts w:hint="eastAsia" w:ascii="宋体" w:hAnsi="宋体" w:eastAsia="宋体" w:cs="宋体"/>
                <w:bCs/>
                <w:color w:val="auto"/>
                <w:kern w:val="2"/>
                <w:szCs w:val="21"/>
                <w:highlight w:val="none"/>
              </w:rPr>
            </w:pPr>
          </w:p>
        </w:tc>
      </w:tr>
      <w:tr w14:paraId="012A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232526D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FC13</w:t>
            </w:r>
          </w:p>
        </w:tc>
        <w:tc>
          <w:tcPr>
            <w:tcW w:w="4535" w:type="dxa"/>
            <w:vAlign w:val="center"/>
          </w:tcPr>
          <w:p w14:paraId="2202A72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其他不符合有关标准和项目管理规定的</w:t>
            </w:r>
          </w:p>
        </w:tc>
        <w:tc>
          <w:tcPr>
            <w:tcW w:w="2608" w:type="dxa"/>
            <w:vAlign w:val="center"/>
          </w:tcPr>
          <w:p w14:paraId="4609849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每处每次500-50000元</w:t>
            </w:r>
          </w:p>
        </w:tc>
        <w:tc>
          <w:tcPr>
            <w:tcW w:w="1134" w:type="dxa"/>
            <w:vAlign w:val="center"/>
          </w:tcPr>
          <w:p w14:paraId="6B06E6D0">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6FF5889A">
      <w:pPr>
        <w:widowControl/>
        <w:adjustRightInd/>
        <w:snapToGrid/>
        <w:spacing w:line="360" w:lineRule="auto"/>
        <w:ind w:firstLine="420" w:firstLineChars="200"/>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4.7.4 电气设备管理</w:t>
      </w:r>
    </w:p>
    <w:tbl>
      <w:tblPr>
        <w:tblStyle w:val="31"/>
        <w:tblW w:w="9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876"/>
        <w:gridCol w:w="2268"/>
        <w:gridCol w:w="1134"/>
      </w:tblGrid>
      <w:tr w14:paraId="7352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6" w:type="dxa"/>
            <w:vAlign w:val="center"/>
          </w:tcPr>
          <w:p w14:paraId="6166BEC5">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4876" w:type="dxa"/>
            <w:vAlign w:val="center"/>
          </w:tcPr>
          <w:p w14:paraId="01EF6C0D">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268" w:type="dxa"/>
            <w:vAlign w:val="center"/>
          </w:tcPr>
          <w:p w14:paraId="7198FECC">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1134" w:type="dxa"/>
            <w:vAlign w:val="center"/>
          </w:tcPr>
          <w:p w14:paraId="085B9F13">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7871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1B4FD4F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TE01</w:t>
            </w:r>
          </w:p>
        </w:tc>
        <w:tc>
          <w:tcPr>
            <w:tcW w:w="4876" w:type="dxa"/>
            <w:vAlign w:val="top"/>
          </w:tcPr>
          <w:p w14:paraId="7730D63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配电箱未按文明施工要求做好标识等</w:t>
            </w:r>
          </w:p>
        </w:tc>
        <w:tc>
          <w:tcPr>
            <w:tcW w:w="2268" w:type="dxa"/>
            <w:vAlign w:val="top"/>
          </w:tcPr>
          <w:p w14:paraId="4E52167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每处每次500元</w:t>
            </w:r>
          </w:p>
        </w:tc>
        <w:tc>
          <w:tcPr>
            <w:tcW w:w="1134" w:type="dxa"/>
            <w:vAlign w:val="top"/>
          </w:tcPr>
          <w:p w14:paraId="108E3F1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限期整改</w:t>
            </w:r>
          </w:p>
        </w:tc>
      </w:tr>
      <w:tr w14:paraId="18E7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495E3BD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TE02</w:t>
            </w:r>
          </w:p>
        </w:tc>
        <w:tc>
          <w:tcPr>
            <w:tcW w:w="4876" w:type="dxa"/>
            <w:vAlign w:val="top"/>
          </w:tcPr>
          <w:p w14:paraId="0C604FB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室外电箱未做防雨防砸装置</w:t>
            </w:r>
          </w:p>
        </w:tc>
        <w:tc>
          <w:tcPr>
            <w:tcW w:w="2268" w:type="dxa"/>
            <w:vAlign w:val="top"/>
          </w:tcPr>
          <w:p w14:paraId="33896B8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top"/>
          </w:tcPr>
          <w:p w14:paraId="00D4D94C">
            <w:pPr>
              <w:widowControl w:val="0"/>
              <w:adjustRightInd/>
              <w:snapToGrid/>
              <w:spacing w:line="360" w:lineRule="auto"/>
              <w:jc w:val="both"/>
              <w:rPr>
                <w:rFonts w:hint="eastAsia" w:ascii="宋体" w:hAnsi="宋体" w:eastAsia="宋体" w:cs="宋体"/>
                <w:bCs/>
                <w:color w:val="auto"/>
                <w:kern w:val="2"/>
                <w:szCs w:val="21"/>
                <w:highlight w:val="none"/>
              </w:rPr>
            </w:pPr>
          </w:p>
        </w:tc>
      </w:tr>
      <w:tr w14:paraId="76BE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2C7AD22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TE03</w:t>
            </w:r>
          </w:p>
        </w:tc>
        <w:tc>
          <w:tcPr>
            <w:tcW w:w="4876" w:type="dxa"/>
            <w:vAlign w:val="top"/>
          </w:tcPr>
          <w:p w14:paraId="2BA46BA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室内电箱未做警示隔离</w:t>
            </w:r>
          </w:p>
        </w:tc>
        <w:tc>
          <w:tcPr>
            <w:tcW w:w="2268" w:type="dxa"/>
            <w:vAlign w:val="top"/>
          </w:tcPr>
          <w:p w14:paraId="703FA1D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每处每次500元</w:t>
            </w:r>
          </w:p>
        </w:tc>
        <w:tc>
          <w:tcPr>
            <w:tcW w:w="1134" w:type="dxa"/>
            <w:vAlign w:val="top"/>
          </w:tcPr>
          <w:p w14:paraId="4BCCCE19">
            <w:pPr>
              <w:widowControl w:val="0"/>
              <w:adjustRightInd/>
              <w:snapToGrid/>
              <w:spacing w:line="360" w:lineRule="auto"/>
              <w:jc w:val="both"/>
              <w:rPr>
                <w:rFonts w:hint="eastAsia" w:ascii="宋体" w:hAnsi="宋体" w:eastAsia="宋体" w:cs="宋体"/>
                <w:bCs/>
                <w:color w:val="auto"/>
                <w:kern w:val="2"/>
                <w:szCs w:val="21"/>
                <w:highlight w:val="none"/>
              </w:rPr>
            </w:pPr>
          </w:p>
        </w:tc>
      </w:tr>
      <w:tr w14:paraId="3943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49F3F01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TE04</w:t>
            </w:r>
          </w:p>
        </w:tc>
        <w:tc>
          <w:tcPr>
            <w:tcW w:w="4876" w:type="dxa"/>
            <w:vAlign w:val="top"/>
          </w:tcPr>
          <w:p w14:paraId="6D45AF1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室外配电线路未按规范要求铺设\高架\防护</w:t>
            </w:r>
          </w:p>
        </w:tc>
        <w:tc>
          <w:tcPr>
            <w:tcW w:w="2268" w:type="dxa"/>
            <w:vAlign w:val="top"/>
          </w:tcPr>
          <w:p w14:paraId="7F7089E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top"/>
          </w:tcPr>
          <w:p w14:paraId="2169F38C">
            <w:pPr>
              <w:widowControl w:val="0"/>
              <w:adjustRightInd/>
              <w:snapToGrid/>
              <w:spacing w:line="360" w:lineRule="auto"/>
              <w:jc w:val="both"/>
              <w:rPr>
                <w:rFonts w:hint="eastAsia" w:ascii="宋体" w:hAnsi="宋体" w:eastAsia="宋体" w:cs="宋体"/>
                <w:bCs/>
                <w:color w:val="auto"/>
                <w:kern w:val="2"/>
                <w:szCs w:val="21"/>
                <w:highlight w:val="none"/>
              </w:rPr>
            </w:pPr>
          </w:p>
        </w:tc>
      </w:tr>
      <w:tr w14:paraId="2D87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0FDD023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TE05</w:t>
            </w:r>
          </w:p>
        </w:tc>
        <w:tc>
          <w:tcPr>
            <w:tcW w:w="4876" w:type="dxa"/>
            <w:vAlign w:val="center"/>
          </w:tcPr>
          <w:p w14:paraId="1E848DA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室内配电线路未按规范要求铺设\高挂\防护</w:t>
            </w:r>
          </w:p>
        </w:tc>
        <w:tc>
          <w:tcPr>
            <w:tcW w:w="2268" w:type="dxa"/>
            <w:vAlign w:val="top"/>
          </w:tcPr>
          <w:p w14:paraId="3040806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top"/>
          </w:tcPr>
          <w:p w14:paraId="714DA1B5">
            <w:pPr>
              <w:widowControl w:val="0"/>
              <w:adjustRightInd/>
              <w:snapToGrid/>
              <w:spacing w:line="360" w:lineRule="auto"/>
              <w:jc w:val="both"/>
              <w:rPr>
                <w:rFonts w:hint="eastAsia" w:ascii="宋体" w:hAnsi="宋体" w:eastAsia="宋体" w:cs="宋体"/>
                <w:bCs/>
                <w:color w:val="auto"/>
                <w:kern w:val="2"/>
                <w:szCs w:val="21"/>
                <w:highlight w:val="none"/>
              </w:rPr>
            </w:pPr>
          </w:p>
        </w:tc>
      </w:tr>
      <w:tr w14:paraId="0C6D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745C176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TE06</w:t>
            </w:r>
          </w:p>
        </w:tc>
        <w:tc>
          <w:tcPr>
            <w:tcW w:w="4876" w:type="dxa"/>
            <w:vAlign w:val="top"/>
          </w:tcPr>
          <w:p w14:paraId="24167AA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未按规定线制配线，缺少零线或地线</w:t>
            </w:r>
          </w:p>
        </w:tc>
        <w:tc>
          <w:tcPr>
            <w:tcW w:w="2268" w:type="dxa"/>
            <w:vAlign w:val="top"/>
          </w:tcPr>
          <w:p w14:paraId="2DB816D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每处每次3000元</w:t>
            </w:r>
          </w:p>
        </w:tc>
        <w:tc>
          <w:tcPr>
            <w:tcW w:w="1134" w:type="dxa"/>
            <w:vAlign w:val="top"/>
          </w:tcPr>
          <w:p w14:paraId="66FEC480">
            <w:pPr>
              <w:widowControl w:val="0"/>
              <w:adjustRightInd/>
              <w:snapToGrid/>
              <w:spacing w:line="360" w:lineRule="auto"/>
              <w:jc w:val="both"/>
              <w:rPr>
                <w:rFonts w:hint="eastAsia" w:ascii="宋体" w:hAnsi="宋体" w:eastAsia="宋体" w:cs="宋体"/>
                <w:bCs/>
                <w:color w:val="auto"/>
                <w:kern w:val="2"/>
                <w:szCs w:val="21"/>
                <w:highlight w:val="none"/>
              </w:rPr>
            </w:pPr>
          </w:p>
        </w:tc>
      </w:tr>
      <w:tr w14:paraId="2E23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0C93D86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TE07</w:t>
            </w:r>
          </w:p>
        </w:tc>
        <w:tc>
          <w:tcPr>
            <w:tcW w:w="4876" w:type="dxa"/>
            <w:vAlign w:val="top"/>
          </w:tcPr>
          <w:p w14:paraId="180CCF7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电线内各种芯线未按照规定颜色配置</w:t>
            </w:r>
          </w:p>
        </w:tc>
        <w:tc>
          <w:tcPr>
            <w:tcW w:w="2268" w:type="dxa"/>
            <w:vAlign w:val="top"/>
          </w:tcPr>
          <w:p w14:paraId="56B2E56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top"/>
          </w:tcPr>
          <w:p w14:paraId="45298AD5">
            <w:pPr>
              <w:widowControl w:val="0"/>
              <w:adjustRightInd/>
              <w:snapToGrid/>
              <w:spacing w:line="360" w:lineRule="auto"/>
              <w:jc w:val="both"/>
              <w:rPr>
                <w:rFonts w:hint="eastAsia" w:ascii="宋体" w:hAnsi="宋体" w:eastAsia="宋体" w:cs="宋体"/>
                <w:bCs/>
                <w:color w:val="auto"/>
                <w:kern w:val="2"/>
                <w:szCs w:val="21"/>
                <w:highlight w:val="none"/>
              </w:rPr>
            </w:pPr>
          </w:p>
        </w:tc>
      </w:tr>
      <w:tr w14:paraId="680F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001309A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TE08</w:t>
            </w:r>
          </w:p>
        </w:tc>
        <w:tc>
          <w:tcPr>
            <w:tcW w:w="4876" w:type="dxa"/>
            <w:vAlign w:val="top"/>
          </w:tcPr>
          <w:p w14:paraId="456C862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施工用电未规定接线或未标明各</w:t>
            </w:r>
            <w:r>
              <w:rPr>
                <w:rFonts w:hint="eastAsia" w:ascii="宋体" w:hAnsi="宋体" w:cs="宋体"/>
                <w:bCs/>
                <w:color w:val="auto"/>
                <w:kern w:val="2"/>
                <w:szCs w:val="21"/>
                <w:highlight w:val="none"/>
                <w:lang w:val="en-US" w:eastAsia="zh-CN"/>
              </w:rPr>
              <w:t>项</w:t>
            </w:r>
            <w:r>
              <w:rPr>
                <w:rFonts w:hint="eastAsia" w:ascii="宋体" w:hAnsi="宋体" w:eastAsia="宋体" w:cs="宋体"/>
                <w:bCs/>
                <w:color w:val="auto"/>
                <w:kern w:val="2"/>
                <w:szCs w:val="21"/>
                <w:highlight w:val="none"/>
              </w:rPr>
              <w:t>线路</w:t>
            </w:r>
          </w:p>
        </w:tc>
        <w:tc>
          <w:tcPr>
            <w:tcW w:w="2268" w:type="dxa"/>
            <w:vAlign w:val="center"/>
          </w:tcPr>
          <w:p w14:paraId="5CF94BB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每处每次500元</w:t>
            </w:r>
          </w:p>
        </w:tc>
        <w:tc>
          <w:tcPr>
            <w:tcW w:w="1134" w:type="dxa"/>
            <w:vAlign w:val="top"/>
          </w:tcPr>
          <w:p w14:paraId="556A4D38">
            <w:pPr>
              <w:widowControl w:val="0"/>
              <w:adjustRightInd/>
              <w:snapToGrid/>
              <w:spacing w:line="360" w:lineRule="auto"/>
              <w:jc w:val="both"/>
              <w:rPr>
                <w:rFonts w:hint="eastAsia" w:ascii="宋体" w:hAnsi="宋体" w:eastAsia="宋体" w:cs="宋体"/>
                <w:bCs/>
                <w:color w:val="auto"/>
                <w:kern w:val="2"/>
                <w:szCs w:val="21"/>
                <w:highlight w:val="none"/>
              </w:rPr>
            </w:pPr>
          </w:p>
        </w:tc>
      </w:tr>
      <w:tr w14:paraId="0F44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201BC1D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TE09</w:t>
            </w:r>
          </w:p>
        </w:tc>
        <w:tc>
          <w:tcPr>
            <w:tcW w:w="4876" w:type="dxa"/>
            <w:vAlign w:val="top"/>
          </w:tcPr>
          <w:p w14:paraId="34482DC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各级电箱配置不符合规范要求</w:t>
            </w:r>
          </w:p>
        </w:tc>
        <w:tc>
          <w:tcPr>
            <w:tcW w:w="2268" w:type="dxa"/>
            <w:vAlign w:val="top"/>
          </w:tcPr>
          <w:p w14:paraId="1AB6874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top"/>
          </w:tcPr>
          <w:p w14:paraId="0661BF7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更换电箱</w:t>
            </w:r>
          </w:p>
        </w:tc>
      </w:tr>
      <w:tr w14:paraId="063D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6805E4B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TE10</w:t>
            </w:r>
          </w:p>
        </w:tc>
        <w:tc>
          <w:tcPr>
            <w:tcW w:w="4876" w:type="dxa"/>
            <w:vAlign w:val="top"/>
          </w:tcPr>
          <w:p w14:paraId="465A1C5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各级用电保护不符合规范要求</w:t>
            </w:r>
          </w:p>
        </w:tc>
        <w:tc>
          <w:tcPr>
            <w:tcW w:w="2268" w:type="dxa"/>
            <w:vAlign w:val="top"/>
          </w:tcPr>
          <w:p w14:paraId="2275698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top"/>
          </w:tcPr>
          <w:p w14:paraId="591A90A2">
            <w:pPr>
              <w:widowControl w:val="0"/>
              <w:adjustRightInd/>
              <w:snapToGrid/>
              <w:spacing w:line="360" w:lineRule="auto"/>
              <w:jc w:val="both"/>
              <w:rPr>
                <w:rFonts w:hint="eastAsia" w:ascii="宋体" w:hAnsi="宋体" w:eastAsia="宋体" w:cs="宋体"/>
                <w:bCs/>
                <w:color w:val="auto"/>
                <w:kern w:val="2"/>
                <w:szCs w:val="21"/>
                <w:highlight w:val="none"/>
              </w:rPr>
            </w:pPr>
          </w:p>
        </w:tc>
      </w:tr>
      <w:tr w14:paraId="1A9A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4397AF0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TE11</w:t>
            </w:r>
          </w:p>
        </w:tc>
        <w:tc>
          <w:tcPr>
            <w:tcW w:w="4876" w:type="dxa"/>
            <w:vAlign w:val="top"/>
          </w:tcPr>
          <w:p w14:paraId="3066F6F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电线未做安全防护、扭结等处于危险隐患</w:t>
            </w:r>
          </w:p>
        </w:tc>
        <w:tc>
          <w:tcPr>
            <w:tcW w:w="2268" w:type="dxa"/>
            <w:vAlign w:val="top"/>
          </w:tcPr>
          <w:p w14:paraId="77CAE6A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每处每次500元</w:t>
            </w:r>
          </w:p>
        </w:tc>
        <w:tc>
          <w:tcPr>
            <w:tcW w:w="1134" w:type="dxa"/>
            <w:vAlign w:val="top"/>
          </w:tcPr>
          <w:p w14:paraId="68EA5944">
            <w:pPr>
              <w:widowControl w:val="0"/>
              <w:adjustRightInd/>
              <w:snapToGrid/>
              <w:spacing w:line="360" w:lineRule="auto"/>
              <w:jc w:val="both"/>
              <w:rPr>
                <w:rFonts w:hint="eastAsia" w:ascii="宋体" w:hAnsi="宋体" w:eastAsia="宋体" w:cs="宋体"/>
                <w:bCs/>
                <w:color w:val="auto"/>
                <w:kern w:val="2"/>
                <w:szCs w:val="21"/>
                <w:highlight w:val="none"/>
              </w:rPr>
            </w:pPr>
          </w:p>
        </w:tc>
      </w:tr>
      <w:tr w14:paraId="1BD6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7E865DF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TE12</w:t>
            </w:r>
          </w:p>
        </w:tc>
        <w:tc>
          <w:tcPr>
            <w:tcW w:w="4876" w:type="dxa"/>
            <w:vAlign w:val="top"/>
          </w:tcPr>
          <w:p w14:paraId="0F664E0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非专业电工进行电气设备维修、保养、维护等</w:t>
            </w:r>
          </w:p>
        </w:tc>
        <w:tc>
          <w:tcPr>
            <w:tcW w:w="2268" w:type="dxa"/>
            <w:vAlign w:val="top"/>
          </w:tcPr>
          <w:p w14:paraId="747FF44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top"/>
          </w:tcPr>
          <w:p w14:paraId="3CFC6688">
            <w:pPr>
              <w:widowControl w:val="0"/>
              <w:adjustRightInd/>
              <w:snapToGrid/>
              <w:spacing w:line="360" w:lineRule="auto"/>
              <w:jc w:val="both"/>
              <w:rPr>
                <w:rFonts w:hint="eastAsia" w:ascii="宋体" w:hAnsi="宋体" w:eastAsia="宋体" w:cs="宋体"/>
                <w:bCs/>
                <w:color w:val="auto"/>
                <w:kern w:val="2"/>
                <w:szCs w:val="21"/>
                <w:highlight w:val="none"/>
              </w:rPr>
            </w:pPr>
          </w:p>
        </w:tc>
      </w:tr>
      <w:tr w14:paraId="40B0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28A4D94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TE13</w:t>
            </w:r>
          </w:p>
        </w:tc>
        <w:tc>
          <w:tcPr>
            <w:tcW w:w="4876" w:type="dxa"/>
            <w:vAlign w:val="top"/>
          </w:tcPr>
          <w:p w14:paraId="4680E41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未按规定要求停电、送电</w:t>
            </w:r>
          </w:p>
        </w:tc>
        <w:tc>
          <w:tcPr>
            <w:tcW w:w="2268" w:type="dxa"/>
            <w:vAlign w:val="top"/>
          </w:tcPr>
          <w:p w14:paraId="448E221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top"/>
          </w:tcPr>
          <w:p w14:paraId="5B88F0D7">
            <w:pPr>
              <w:widowControl w:val="0"/>
              <w:adjustRightInd/>
              <w:snapToGrid/>
              <w:spacing w:line="360" w:lineRule="auto"/>
              <w:jc w:val="both"/>
              <w:rPr>
                <w:rFonts w:hint="eastAsia" w:ascii="宋体" w:hAnsi="宋体" w:eastAsia="宋体" w:cs="宋体"/>
                <w:bCs/>
                <w:color w:val="auto"/>
                <w:kern w:val="2"/>
                <w:szCs w:val="21"/>
                <w:highlight w:val="none"/>
              </w:rPr>
            </w:pPr>
          </w:p>
        </w:tc>
      </w:tr>
      <w:tr w14:paraId="4C19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top"/>
          </w:tcPr>
          <w:p w14:paraId="1120BD3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TE14</w:t>
            </w:r>
          </w:p>
        </w:tc>
        <w:tc>
          <w:tcPr>
            <w:tcW w:w="4876" w:type="dxa"/>
            <w:vAlign w:val="top"/>
          </w:tcPr>
          <w:p w14:paraId="27A1DDE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其他不符合相关规范的情形</w:t>
            </w:r>
          </w:p>
        </w:tc>
        <w:tc>
          <w:tcPr>
            <w:tcW w:w="2268" w:type="dxa"/>
            <w:vAlign w:val="top"/>
          </w:tcPr>
          <w:p w14:paraId="2CD74B1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每处每次500-5000元</w:t>
            </w:r>
          </w:p>
        </w:tc>
        <w:tc>
          <w:tcPr>
            <w:tcW w:w="1134" w:type="dxa"/>
            <w:vAlign w:val="top"/>
          </w:tcPr>
          <w:p w14:paraId="674C6424">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114BD8C0">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4.7.5 高处作业管理</w:t>
      </w:r>
    </w:p>
    <w:tbl>
      <w:tblPr>
        <w:tblStyle w:val="31"/>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4642"/>
        <w:gridCol w:w="2536"/>
        <w:gridCol w:w="1134"/>
      </w:tblGrid>
      <w:tr w14:paraId="2A313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18994D2F">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4642" w:type="dxa"/>
            <w:vAlign w:val="center"/>
          </w:tcPr>
          <w:p w14:paraId="2831DF91">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536" w:type="dxa"/>
            <w:vAlign w:val="center"/>
          </w:tcPr>
          <w:p w14:paraId="3934C40E">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1134" w:type="dxa"/>
            <w:vAlign w:val="center"/>
          </w:tcPr>
          <w:p w14:paraId="518D9910">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5ED7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1A27C53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WH01</w:t>
            </w:r>
          </w:p>
        </w:tc>
        <w:tc>
          <w:tcPr>
            <w:tcW w:w="4642" w:type="dxa"/>
            <w:vAlign w:val="center"/>
          </w:tcPr>
          <w:p w14:paraId="39DD3E6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临边、洞口未按规定要求做好安全防护</w:t>
            </w:r>
          </w:p>
        </w:tc>
        <w:tc>
          <w:tcPr>
            <w:tcW w:w="2536" w:type="dxa"/>
            <w:vAlign w:val="center"/>
          </w:tcPr>
          <w:p w14:paraId="6FEB6FE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每处每次1000-30000元</w:t>
            </w:r>
          </w:p>
        </w:tc>
        <w:tc>
          <w:tcPr>
            <w:tcW w:w="1134" w:type="dxa"/>
            <w:vAlign w:val="center"/>
          </w:tcPr>
          <w:p w14:paraId="7506EEA4">
            <w:pPr>
              <w:widowControl w:val="0"/>
              <w:adjustRightInd/>
              <w:snapToGrid/>
              <w:spacing w:line="360" w:lineRule="auto"/>
              <w:jc w:val="both"/>
              <w:rPr>
                <w:rFonts w:hint="eastAsia" w:ascii="宋体" w:hAnsi="宋体" w:eastAsia="宋体" w:cs="宋体"/>
                <w:bCs/>
                <w:color w:val="auto"/>
                <w:kern w:val="2"/>
                <w:szCs w:val="21"/>
                <w:highlight w:val="none"/>
              </w:rPr>
            </w:pPr>
          </w:p>
        </w:tc>
      </w:tr>
      <w:tr w14:paraId="6E0D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1FDDA0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WH02</w:t>
            </w:r>
          </w:p>
        </w:tc>
        <w:tc>
          <w:tcPr>
            <w:tcW w:w="4642" w:type="dxa"/>
            <w:vAlign w:val="center"/>
          </w:tcPr>
          <w:p w14:paraId="35B745D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高处作业人员未佩戴安全带或无其他可靠措施</w:t>
            </w:r>
          </w:p>
        </w:tc>
        <w:tc>
          <w:tcPr>
            <w:tcW w:w="2536" w:type="dxa"/>
            <w:vAlign w:val="center"/>
          </w:tcPr>
          <w:p w14:paraId="17D9A53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每人每次1000元</w:t>
            </w:r>
          </w:p>
        </w:tc>
        <w:tc>
          <w:tcPr>
            <w:tcW w:w="1134" w:type="dxa"/>
            <w:vAlign w:val="center"/>
          </w:tcPr>
          <w:p w14:paraId="45313591">
            <w:pPr>
              <w:widowControl w:val="0"/>
              <w:adjustRightInd/>
              <w:snapToGrid/>
              <w:spacing w:line="360" w:lineRule="auto"/>
              <w:jc w:val="both"/>
              <w:rPr>
                <w:rFonts w:hint="eastAsia" w:ascii="宋体" w:hAnsi="宋体" w:eastAsia="宋体" w:cs="宋体"/>
                <w:bCs/>
                <w:color w:val="auto"/>
                <w:kern w:val="2"/>
                <w:szCs w:val="21"/>
                <w:highlight w:val="none"/>
              </w:rPr>
            </w:pPr>
          </w:p>
        </w:tc>
      </w:tr>
      <w:tr w14:paraId="0099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884C1A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WH03</w:t>
            </w:r>
          </w:p>
        </w:tc>
        <w:tc>
          <w:tcPr>
            <w:tcW w:w="4642" w:type="dxa"/>
            <w:vAlign w:val="center"/>
          </w:tcPr>
          <w:p w14:paraId="2B92D8B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临时性构筑物未规定做好安全防砸防护</w:t>
            </w:r>
          </w:p>
        </w:tc>
        <w:tc>
          <w:tcPr>
            <w:tcW w:w="2536" w:type="dxa"/>
            <w:vAlign w:val="center"/>
          </w:tcPr>
          <w:p w14:paraId="1547745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1134" w:type="dxa"/>
            <w:vAlign w:val="center"/>
          </w:tcPr>
          <w:p w14:paraId="541DF64D">
            <w:pPr>
              <w:widowControl w:val="0"/>
              <w:adjustRightInd/>
              <w:snapToGrid/>
              <w:spacing w:line="360" w:lineRule="auto"/>
              <w:jc w:val="both"/>
              <w:rPr>
                <w:rFonts w:hint="eastAsia" w:ascii="宋体" w:hAnsi="宋体" w:eastAsia="宋体" w:cs="宋体"/>
                <w:bCs/>
                <w:color w:val="auto"/>
                <w:kern w:val="2"/>
                <w:szCs w:val="21"/>
                <w:highlight w:val="none"/>
              </w:rPr>
            </w:pPr>
          </w:p>
        </w:tc>
      </w:tr>
      <w:tr w14:paraId="00CB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2EF00BC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WH04</w:t>
            </w:r>
          </w:p>
        </w:tc>
        <w:tc>
          <w:tcPr>
            <w:tcW w:w="4642" w:type="dxa"/>
            <w:vAlign w:val="center"/>
          </w:tcPr>
          <w:p w14:paraId="7C6D28B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未按照施工方案落实高坠安全防护措施</w:t>
            </w:r>
          </w:p>
        </w:tc>
        <w:tc>
          <w:tcPr>
            <w:tcW w:w="2536" w:type="dxa"/>
            <w:vAlign w:val="center"/>
          </w:tcPr>
          <w:p w14:paraId="3B83161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每处每次10000元</w:t>
            </w:r>
          </w:p>
        </w:tc>
        <w:tc>
          <w:tcPr>
            <w:tcW w:w="1134" w:type="dxa"/>
            <w:vAlign w:val="center"/>
          </w:tcPr>
          <w:p w14:paraId="3EEED69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停止施工</w:t>
            </w:r>
          </w:p>
        </w:tc>
      </w:tr>
      <w:tr w14:paraId="6ED1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8D5878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WH05</w:t>
            </w:r>
          </w:p>
        </w:tc>
        <w:tc>
          <w:tcPr>
            <w:tcW w:w="4642" w:type="dxa"/>
            <w:vAlign w:val="center"/>
          </w:tcPr>
          <w:p w14:paraId="38E5C97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私自拆除安全防护，未可靠防栌措施</w:t>
            </w:r>
          </w:p>
        </w:tc>
        <w:tc>
          <w:tcPr>
            <w:tcW w:w="2536" w:type="dxa"/>
            <w:vAlign w:val="center"/>
          </w:tcPr>
          <w:p w14:paraId="6633C1F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35D7BA13">
            <w:pPr>
              <w:widowControl w:val="0"/>
              <w:adjustRightInd/>
              <w:snapToGrid/>
              <w:spacing w:line="360" w:lineRule="auto"/>
              <w:jc w:val="both"/>
              <w:rPr>
                <w:rFonts w:hint="eastAsia" w:ascii="宋体" w:hAnsi="宋体" w:eastAsia="宋体" w:cs="宋体"/>
                <w:bCs/>
                <w:color w:val="auto"/>
                <w:kern w:val="2"/>
                <w:szCs w:val="21"/>
                <w:highlight w:val="none"/>
              </w:rPr>
            </w:pPr>
          </w:p>
        </w:tc>
      </w:tr>
      <w:tr w14:paraId="741A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2E1F35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WH06</w:t>
            </w:r>
          </w:p>
        </w:tc>
        <w:tc>
          <w:tcPr>
            <w:tcW w:w="4642" w:type="dxa"/>
            <w:vAlign w:val="center"/>
          </w:tcPr>
          <w:p w14:paraId="1F43B8B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各型式登高设备不符合国家相关标准要求</w:t>
            </w:r>
          </w:p>
        </w:tc>
        <w:tc>
          <w:tcPr>
            <w:tcW w:w="2536" w:type="dxa"/>
            <w:vAlign w:val="center"/>
          </w:tcPr>
          <w:p w14:paraId="758164C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center"/>
          </w:tcPr>
          <w:p w14:paraId="32AE3E0F">
            <w:pPr>
              <w:widowControl w:val="0"/>
              <w:adjustRightInd/>
              <w:snapToGrid/>
              <w:spacing w:line="360" w:lineRule="auto"/>
              <w:jc w:val="both"/>
              <w:rPr>
                <w:rFonts w:hint="eastAsia" w:ascii="宋体" w:hAnsi="宋体" w:eastAsia="宋体" w:cs="宋体"/>
                <w:bCs/>
                <w:color w:val="auto"/>
                <w:kern w:val="2"/>
                <w:szCs w:val="21"/>
                <w:highlight w:val="none"/>
              </w:rPr>
            </w:pPr>
          </w:p>
        </w:tc>
      </w:tr>
      <w:tr w14:paraId="6D18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1D35849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WH07</w:t>
            </w:r>
          </w:p>
        </w:tc>
        <w:tc>
          <w:tcPr>
            <w:tcW w:w="4642" w:type="dxa"/>
            <w:vAlign w:val="center"/>
          </w:tcPr>
          <w:p w14:paraId="70F6142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作业平面内有洞口、临边等或平台不可靠</w:t>
            </w:r>
          </w:p>
        </w:tc>
        <w:tc>
          <w:tcPr>
            <w:tcW w:w="2536" w:type="dxa"/>
            <w:vAlign w:val="center"/>
          </w:tcPr>
          <w:p w14:paraId="6E6063B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76574DEA">
            <w:pPr>
              <w:widowControl w:val="0"/>
              <w:adjustRightInd/>
              <w:snapToGrid/>
              <w:spacing w:line="360" w:lineRule="auto"/>
              <w:jc w:val="both"/>
              <w:rPr>
                <w:rFonts w:hint="eastAsia" w:ascii="宋体" w:hAnsi="宋体" w:eastAsia="宋体" w:cs="宋体"/>
                <w:bCs/>
                <w:color w:val="auto"/>
                <w:kern w:val="2"/>
                <w:szCs w:val="21"/>
                <w:highlight w:val="none"/>
              </w:rPr>
            </w:pPr>
          </w:p>
        </w:tc>
      </w:tr>
      <w:tr w14:paraId="6114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73FEAD1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WH08</w:t>
            </w:r>
          </w:p>
        </w:tc>
        <w:tc>
          <w:tcPr>
            <w:tcW w:w="4642" w:type="dxa"/>
            <w:vAlign w:val="center"/>
          </w:tcPr>
          <w:p w14:paraId="553A6CA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悬空上下未设置安全通道或可靠安全措施</w:t>
            </w:r>
          </w:p>
        </w:tc>
        <w:tc>
          <w:tcPr>
            <w:tcW w:w="2536" w:type="dxa"/>
            <w:vAlign w:val="center"/>
          </w:tcPr>
          <w:p w14:paraId="225DA13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center"/>
          </w:tcPr>
          <w:p w14:paraId="2CF966FD">
            <w:pPr>
              <w:widowControl w:val="0"/>
              <w:adjustRightInd/>
              <w:snapToGrid/>
              <w:spacing w:line="360" w:lineRule="auto"/>
              <w:jc w:val="both"/>
              <w:rPr>
                <w:rFonts w:hint="eastAsia" w:ascii="宋体" w:hAnsi="宋体" w:eastAsia="宋体" w:cs="宋体"/>
                <w:bCs/>
                <w:color w:val="auto"/>
                <w:kern w:val="2"/>
                <w:szCs w:val="21"/>
                <w:highlight w:val="none"/>
              </w:rPr>
            </w:pPr>
          </w:p>
        </w:tc>
      </w:tr>
      <w:tr w14:paraId="7B392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A440BE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WH09</w:t>
            </w:r>
          </w:p>
        </w:tc>
        <w:tc>
          <w:tcPr>
            <w:tcW w:w="4642" w:type="dxa"/>
            <w:vAlign w:val="center"/>
          </w:tcPr>
          <w:p w14:paraId="11F5F24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开洞开孔未经申请未制作安全防护</w:t>
            </w:r>
          </w:p>
        </w:tc>
        <w:tc>
          <w:tcPr>
            <w:tcW w:w="2536" w:type="dxa"/>
            <w:vAlign w:val="center"/>
          </w:tcPr>
          <w:p w14:paraId="0C0E193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1134" w:type="dxa"/>
            <w:vAlign w:val="center"/>
          </w:tcPr>
          <w:p w14:paraId="5C18A92B">
            <w:pPr>
              <w:widowControl w:val="0"/>
              <w:adjustRightInd/>
              <w:snapToGrid/>
              <w:spacing w:line="360" w:lineRule="auto"/>
              <w:jc w:val="both"/>
              <w:rPr>
                <w:rFonts w:hint="eastAsia" w:ascii="宋体" w:hAnsi="宋体" w:eastAsia="宋体" w:cs="宋体"/>
                <w:bCs/>
                <w:color w:val="auto"/>
                <w:kern w:val="2"/>
                <w:szCs w:val="21"/>
                <w:highlight w:val="none"/>
              </w:rPr>
            </w:pPr>
          </w:p>
        </w:tc>
      </w:tr>
      <w:tr w14:paraId="7F47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5F4E06A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WH10</w:t>
            </w:r>
          </w:p>
        </w:tc>
        <w:tc>
          <w:tcPr>
            <w:tcW w:w="4642" w:type="dxa"/>
            <w:vAlign w:val="center"/>
          </w:tcPr>
          <w:p w14:paraId="6AAD878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高处作业平台在周边未设置围挡或警示围篱</w:t>
            </w:r>
          </w:p>
        </w:tc>
        <w:tc>
          <w:tcPr>
            <w:tcW w:w="2536" w:type="dxa"/>
            <w:vAlign w:val="center"/>
          </w:tcPr>
          <w:p w14:paraId="7EAE605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2B162F6A">
            <w:pPr>
              <w:widowControl w:val="0"/>
              <w:adjustRightInd/>
              <w:snapToGrid/>
              <w:spacing w:line="360" w:lineRule="auto"/>
              <w:jc w:val="both"/>
              <w:rPr>
                <w:rFonts w:hint="eastAsia" w:ascii="宋体" w:hAnsi="宋体" w:eastAsia="宋体" w:cs="宋体"/>
                <w:bCs/>
                <w:color w:val="auto"/>
                <w:kern w:val="2"/>
                <w:szCs w:val="21"/>
                <w:highlight w:val="none"/>
              </w:rPr>
            </w:pPr>
          </w:p>
        </w:tc>
      </w:tr>
      <w:tr w14:paraId="7FB46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13FC9FE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WH11</w:t>
            </w:r>
          </w:p>
        </w:tc>
        <w:tc>
          <w:tcPr>
            <w:tcW w:w="4642" w:type="dxa"/>
            <w:vAlign w:val="center"/>
          </w:tcPr>
          <w:p w14:paraId="5DA4351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从高空抛物等</w:t>
            </w:r>
          </w:p>
        </w:tc>
        <w:tc>
          <w:tcPr>
            <w:tcW w:w="2536" w:type="dxa"/>
            <w:vAlign w:val="center"/>
          </w:tcPr>
          <w:p w14:paraId="6662562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1035316A">
            <w:pPr>
              <w:widowControl w:val="0"/>
              <w:adjustRightInd/>
              <w:snapToGrid/>
              <w:spacing w:line="360" w:lineRule="auto"/>
              <w:jc w:val="both"/>
              <w:rPr>
                <w:rFonts w:hint="eastAsia" w:ascii="宋体" w:hAnsi="宋体" w:eastAsia="宋体" w:cs="宋体"/>
                <w:bCs/>
                <w:color w:val="auto"/>
                <w:kern w:val="2"/>
                <w:szCs w:val="21"/>
                <w:highlight w:val="none"/>
              </w:rPr>
            </w:pPr>
          </w:p>
        </w:tc>
      </w:tr>
      <w:tr w14:paraId="7867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49E13DF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WH12</w:t>
            </w:r>
          </w:p>
        </w:tc>
        <w:tc>
          <w:tcPr>
            <w:tcW w:w="4642" w:type="dxa"/>
            <w:vAlign w:val="center"/>
          </w:tcPr>
          <w:p w14:paraId="497CAF8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其他违反国家相关标准或项目管理规定</w:t>
            </w:r>
          </w:p>
        </w:tc>
        <w:tc>
          <w:tcPr>
            <w:tcW w:w="2536" w:type="dxa"/>
            <w:vAlign w:val="center"/>
          </w:tcPr>
          <w:p w14:paraId="5E053E8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每处每次500-50000元</w:t>
            </w:r>
          </w:p>
        </w:tc>
        <w:tc>
          <w:tcPr>
            <w:tcW w:w="1134" w:type="dxa"/>
            <w:vAlign w:val="center"/>
          </w:tcPr>
          <w:p w14:paraId="2C45E487">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7BF10CF1">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4.7.6 安全保卫管理</w:t>
      </w:r>
    </w:p>
    <w:tbl>
      <w:tblPr>
        <w:tblStyle w:val="31"/>
        <w:tblW w:w="9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4649"/>
        <w:gridCol w:w="2381"/>
        <w:gridCol w:w="1134"/>
      </w:tblGrid>
      <w:tr w14:paraId="77F2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76" w:type="dxa"/>
            <w:vAlign w:val="center"/>
          </w:tcPr>
          <w:p w14:paraId="4B10FB27">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4649" w:type="dxa"/>
            <w:vAlign w:val="center"/>
          </w:tcPr>
          <w:p w14:paraId="215F9287">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381" w:type="dxa"/>
            <w:vAlign w:val="center"/>
          </w:tcPr>
          <w:p w14:paraId="15168CD7">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1134" w:type="dxa"/>
            <w:vAlign w:val="center"/>
          </w:tcPr>
          <w:p w14:paraId="15AC31D1">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0B14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1EB360C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SG01</w:t>
            </w:r>
          </w:p>
        </w:tc>
        <w:tc>
          <w:tcPr>
            <w:tcW w:w="4649" w:type="dxa"/>
            <w:vAlign w:val="center"/>
          </w:tcPr>
          <w:p w14:paraId="0C473AD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未经同意随意打开项目围墙围挡</w:t>
            </w:r>
          </w:p>
        </w:tc>
        <w:tc>
          <w:tcPr>
            <w:tcW w:w="2381" w:type="dxa"/>
            <w:vAlign w:val="center"/>
          </w:tcPr>
          <w:p w14:paraId="27FA5FA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1134" w:type="dxa"/>
            <w:vAlign w:val="center"/>
          </w:tcPr>
          <w:p w14:paraId="6FC154F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立即修复</w:t>
            </w:r>
          </w:p>
        </w:tc>
      </w:tr>
      <w:tr w14:paraId="5317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4EA785C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SG02</w:t>
            </w:r>
          </w:p>
        </w:tc>
        <w:tc>
          <w:tcPr>
            <w:tcW w:w="4649" w:type="dxa"/>
            <w:vAlign w:val="center"/>
          </w:tcPr>
          <w:p w14:paraId="5AF0DE0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违规翻越、破坏工地围墙、围挡</w:t>
            </w:r>
          </w:p>
        </w:tc>
        <w:tc>
          <w:tcPr>
            <w:tcW w:w="2381" w:type="dxa"/>
            <w:vAlign w:val="center"/>
          </w:tcPr>
          <w:p w14:paraId="425F49B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1134" w:type="dxa"/>
            <w:vAlign w:val="center"/>
          </w:tcPr>
          <w:p w14:paraId="5A73FEF2">
            <w:pPr>
              <w:widowControl w:val="0"/>
              <w:adjustRightInd/>
              <w:snapToGrid/>
              <w:spacing w:line="360" w:lineRule="auto"/>
              <w:jc w:val="both"/>
              <w:rPr>
                <w:rFonts w:hint="eastAsia" w:ascii="宋体" w:hAnsi="宋体" w:eastAsia="宋体" w:cs="宋体"/>
                <w:bCs/>
                <w:color w:val="auto"/>
                <w:kern w:val="2"/>
                <w:szCs w:val="21"/>
                <w:highlight w:val="none"/>
              </w:rPr>
            </w:pPr>
          </w:p>
        </w:tc>
      </w:tr>
      <w:tr w14:paraId="0CD0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0A9D441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SG03</w:t>
            </w:r>
          </w:p>
        </w:tc>
        <w:tc>
          <w:tcPr>
            <w:tcW w:w="4649" w:type="dxa"/>
            <w:vAlign w:val="center"/>
          </w:tcPr>
          <w:p w14:paraId="7598754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进出工地不配合检查，强行闯门</w:t>
            </w:r>
          </w:p>
        </w:tc>
        <w:tc>
          <w:tcPr>
            <w:tcW w:w="2381" w:type="dxa"/>
            <w:vAlign w:val="center"/>
          </w:tcPr>
          <w:p w14:paraId="4FD84BB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1134" w:type="dxa"/>
            <w:vAlign w:val="center"/>
          </w:tcPr>
          <w:p w14:paraId="06E61FB7">
            <w:pPr>
              <w:widowControl w:val="0"/>
              <w:adjustRightInd/>
              <w:snapToGrid/>
              <w:spacing w:line="360" w:lineRule="auto"/>
              <w:jc w:val="both"/>
              <w:rPr>
                <w:rFonts w:hint="eastAsia" w:ascii="宋体" w:hAnsi="宋体" w:eastAsia="宋体" w:cs="宋体"/>
                <w:bCs/>
                <w:color w:val="auto"/>
                <w:kern w:val="2"/>
                <w:szCs w:val="21"/>
                <w:highlight w:val="none"/>
              </w:rPr>
            </w:pPr>
          </w:p>
        </w:tc>
      </w:tr>
      <w:tr w14:paraId="0155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431A024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SG04</w:t>
            </w:r>
          </w:p>
        </w:tc>
        <w:tc>
          <w:tcPr>
            <w:tcW w:w="4649" w:type="dxa"/>
            <w:vAlign w:val="center"/>
          </w:tcPr>
          <w:p w14:paraId="4236A85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工地内不按指挥停靠车辆、占道</w:t>
            </w:r>
          </w:p>
        </w:tc>
        <w:tc>
          <w:tcPr>
            <w:tcW w:w="2381" w:type="dxa"/>
            <w:vAlign w:val="center"/>
          </w:tcPr>
          <w:p w14:paraId="3F1971E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021B1D21">
            <w:pPr>
              <w:widowControl w:val="0"/>
              <w:adjustRightInd/>
              <w:snapToGrid/>
              <w:spacing w:line="360" w:lineRule="auto"/>
              <w:jc w:val="both"/>
              <w:rPr>
                <w:rFonts w:hint="eastAsia" w:ascii="宋体" w:hAnsi="宋体" w:eastAsia="宋体" w:cs="宋体"/>
                <w:bCs/>
                <w:color w:val="auto"/>
                <w:kern w:val="2"/>
                <w:szCs w:val="21"/>
                <w:highlight w:val="none"/>
              </w:rPr>
            </w:pPr>
          </w:p>
        </w:tc>
      </w:tr>
      <w:tr w14:paraId="385C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4B73895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SG05</w:t>
            </w:r>
          </w:p>
        </w:tc>
        <w:tc>
          <w:tcPr>
            <w:tcW w:w="4649" w:type="dxa"/>
            <w:vAlign w:val="center"/>
          </w:tcPr>
          <w:p w14:paraId="7237E6F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不服从交通调度、指挥</w:t>
            </w:r>
          </w:p>
        </w:tc>
        <w:tc>
          <w:tcPr>
            <w:tcW w:w="2381" w:type="dxa"/>
            <w:vAlign w:val="center"/>
          </w:tcPr>
          <w:p w14:paraId="0BA3B04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256FEB6B">
            <w:pPr>
              <w:widowControl w:val="0"/>
              <w:adjustRightInd/>
              <w:snapToGrid/>
              <w:spacing w:line="360" w:lineRule="auto"/>
              <w:jc w:val="both"/>
              <w:rPr>
                <w:rFonts w:hint="eastAsia" w:ascii="宋体" w:hAnsi="宋体" w:eastAsia="宋体" w:cs="宋体"/>
                <w:bCs/>
                <w:color w:val="auto"/>
                <w:kern w:val="2"/>
                <w:szCs w:val="21"/>
                <w:highlight w:val="none"/>
              </w:rPr>
            </w:pPr>
          </w:p>
        </w:tc>
      </w:tr>
      <w:tr w14:paraId="7D51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54B8750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SG06</w:t>
            </w:r>
          </w:p>
        </w:tc>
        <w:tc>
          <w:tcPr>
            <w:tcW w:w="4649" w:type="dxa"/>
            <w:vAlign w:val="center"/>
          </w:tcPr>
          <w:p w14:paraId="1C35E74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偷盗物品、材料等非放行单罗列物品</w:t>
            </w:r>
          </w:p>
        </w:tc>
        <w:tc>
          <w:tcPr>
            <w:tcW w:w="2381" w:type="dxa"/>
            <w:vAlign w:val="center"/>
          </w:tcPr>
          <w:p w14:paraId="60368F4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每处每次10000元</w:t>
            </w:r>
          </w:p>
        </w:tc>
        <w:tc>
          <w:tcPr>
            <w:tcW w:w="1134" w:type="dxa"/>
            <w:vAlign w:val="center"/>
          </w:tcPr>
          <w:p w14:paraId="25431401">
            <w:pPr>
              <w:widowControl w:val="0"/>
              <w:adjustRightInd/>
              <w:snapToGrid/>
              <w:spacing w:line="360" w:lineRule="auto"/>
              <w:jc w:val="both"/>
              <w:rPr>
                <w:rFonts w:hint="eastAsia" w:ascii="宋体" w:hAnsi="宋体" w:eastAsia="宋体" w:cs="宋体"/>
                <w:bCs/>
                <w:color w:val="auto"/>
                <w:kern w:val="2"/>
                <w:szCs w:val="21"/>
                <w:highlight w:val="none"/>
              </w:rPr>
            </w:pPr>
          </w:p>
        </w:tc>
      </w:tr>
      <w:tr w14:paraId="3857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0085F00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SG07</w:t>
            </w:r>
          </w:p>
        </w:tc>
        <w:tc>
          <w:tcPr>
            <w:tcW w:w="4649" w:type="dxa"/>
            <w:vAlign w:val="center"/>
          </w:tcPr>
          <w:p w14:paraId="65B7E50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运出物品与放行单不符合</w:t>
            </w:r>
          </w:p>
        </w:tc>
        <w:tc>
          <w:tcPr>
            <w:tcW w:w="2381" w:type="dxa"/>
            <w:vAlign w:val="center"/>
          </w:tcPr>
          <w:p w14:paraId="1195BDA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553C690D">
            <w:pPr>
              <w:widowControl w:val="0"/>
              <w:adjustRightInd/>
              <w:snapToGrid/>
              <w:spacing w:line="360" w:lineRule="auto"/>
              <w:jc w:val="both"/>
              <w:rPr>
                <w:rFonts w:hint="eastAsia" w:ascii="宋体" w:hAnsi="宋体" w:eastAsia="宋体" w:cs="宋体"/>
                <w:bCs/>
                <w:color w:val="auto"/>
                <w:kern w:val="2"/>
                <w:szCs w:val="21"/>
                <w:highlight w:val="none"/>
              </w:rPr>
            </w:pPr>
          </w:p>
        </w:tc>
      </w:tr>
      <w:tr w14:paraId="0F5B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55AD52A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SG08</w:t>
            </w:r>
          </w:p>
        </w:tc>
        <w:tc>
          <w:tcPr>
            <w:tcW w:w="4649" w:type="dxa"/>
            <w:vAlign w:val="center"/>
          </w:tcPr>
          <w:p w14:paraId="096708C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必要时不配合安全引导、应急疏导等</w:t>
            </w:r>
          </w:p>
        </w:tc>
        <w:tc>
          <w:tcPr>
            <w:tcW w:w="2381" w:type="dxa"/>
            <w:vAlign w:val="center"/>
          </w:tcPr>
          <w:p w14:paraId="25534EA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1134" w:type="dxa"/>
            <w:vAlign w:val="center"/>
          </w:tcPr>
          <w:p w14:paraId="1C56FE8B">
            <w:pPr>
              <w:widowControl w:val="0"/>
              <w:adjustRightInd/>
              <w:snapToGrid/>
              <w:spacing w:line="360" w:lineRule="auto"/>
              <w:jc w:val="both"/>
              <w:rPr>
                <w:rFonts w:hint="eastAsia" w:ascii="宋体" w:hAnsi="宋体" w:eastAsia="宋体" w:cs="宋体"/>
                <w:bCs/>
                <w:color w:val="auto"/>
                <w:kern w:val="2"/>
                <w:szCs w:val="21"/>
                <w:highlight w:val="none"/>
              </w:rPr>
            </w:pPr>
          </w:p>
        </w:tc>
      </w:tr>
      <w:tr w14:paraId="36A4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5E1D18E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SG09</w:t>
            </w:r>
          </w:p>
        </w:tc>
        <w:tc>
          <w:tcPr>
            <w:tcW w:w="4649" w:type="dxa"/>
            <w:vAlign w:val="center"/>
          </w:tcPr>
          <w:p w14:paraId="211F422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破坏门禁、监控等设备、材料成品等</w:t>
            </w:r>
          </w:p>
        </w:tc>
        <w:tc>
          <w:tcPr>
            <w:tcW w:w="2381" w:type="dxa"/>
            <w:vAlign w:val="center"/>
          </w:tcPr>
          <w:p w14:paraId="1D2BCC0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每处每次3000元</w:t>
            </w:r>
          </w:p>
        </w:tc>
        <w:tc>
          <w:tcPr>
            <w:tcW w:w="1134" w:type="dxa"/>
            <w:vAlign w:val="center"/>
          </w:tcPr>
          <w:p w14:paraId="33396F6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损失另计</w:t>
            </w:r>
          </w:p>
        </w:tc>
      </w:tr>
      <w:tr w14:paraId="4619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20267B5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SG10</w:t>
            </w:r>
          </w:p>
        </w:tc>
        <w:tc>
          <w:tcPr>
            <w:tcW w:w="4649" w:type="dxa"/>
            <w:vAlign w:val="center"/>
          </w:tcPr>
          <w:p w14:paraId="418B0F4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其他违反国家相关标准或项目管理规定的</w:t>
            </w:r>
          </w:p>
        </w:tc>
        <w:tc>
          <w:tcPr>
            <w:tcW w:w="2381" w:type="dxa"/>
            <w:vAlign w:val="center"/>
          </w:tcPr>
          <w:p w14:paraId="26D8CE1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每处每次500-10000元</w:t>
            </w:r>
          </w:p>
        </w:tc>
        <w:tc>
          <w:tcPr>
            <w:tcW w:w="1134" w:type="dxa"/>
            <w:vAlign w:val="center"/>
          </w:tcPr>
          <w:p w14:paraId="219ABDCE">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1CC6B02E">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p>
    <w:p w14:paraId="690060F0">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4.7.7 施工机械管理</w:t>
      </w:r>
    </w:p>
    <w:tbl>
      <w:tblPr>
        <w:tblStyle w:val="31"/>
        <w:tblW w:w="8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046"/>
        <w:gridCol w:w="2487"/>
        <w:gridCol w:w="747"/>
      </w:tblGrid>
      <w:tr w14:paraId="0F62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8" w:type="dxa"/>
            <w:vAlign w:val="center"/>
          </w:tcPr>
          <w:p w14:paraId="2F7168AD">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5046" w:type="dxa"/>
            <w:vAlign w:val="center"/>
          </w:tcPr>
          <w:p w14:paraId="455C9D4C">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487" w:type="dxa"/>
            <w:vAlign w:val="center"/>
          </w:tcPr>
          <w:p w14:paraId="52D1DA0A">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747" w:type="dxa"/>
            <w:vAlign w:val="center"/>
          </w:tcPr>
          <w:p w14:paraId="4645B91A">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559D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77B6CD9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CM01</w:t>
            </w:r>
          </w:p>
        </w:tc>
        <w:tc>
          <w:tcPr>
            <w:tcW w:w="5046" w:type="dxa"/>
            <w:vAlign w:val="center"/>
          </w:tcPr>
          <w:p w14:paraId="266F74A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进场设备、机械未进行报审验收的</w:t>
            </w:r>
          </w:p>
        </w:tc>
        <w:tc>
          <w:tcPr>
            <w:tcW w:w="2487" w:type="dxa"/>
            <w:vAlign w:val="center"/>
          </w:tcPr>
          <w:p w14:paraId="1FA8F67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47" w:type="dxa"/>
            <w:vAlign w:val="center"/>
          </w:tcPr>
          <w:p w14:paraId="4535D89E">
            <w:pPr>
              <w:widowControl w:val="0"/>
              <w:adjustRightInd/>
              <w:snapToGrid/>
              <w:spacing w:line="360" w:lineRule="auto"/>
              <w:jc w:val="both"/>
              <w:rPr>
                <w:rFonts w:hint="eastAsia" w:ascii="宋体" w:hAnsi="宋体" w:eastAsia="宋体" w:cs="宋体"/>
                <w:bCs/>
                <w:color w:val="auto"/>
                <w:kern w:val="2"/>
                <w:szCs w:val="21"/>
                <w:highlight w:val="none"/>
              </w:rPr>
            </w:pPr>
          </w:p>
        </w:tc>
      </w:tr>
      <w:tr w14:paraId="0838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4EEDBE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CM02</w:t>
            </w:r>
          </w:p>
        </w:tc>
        <w:tc>
          <w:tcPr>
            <w:tcW w:w="5046" w:type="dxa"/>
            <w:vAlign w:val="center"/>
          </w:tcPr>
          <w:p w14:paraId="5D9A815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施工机具机械危险部位缺少安全装置</w:t>
            </w:r>
          </w:p>
        </w:tc>
        <w:tc>
          <w:tcPr>
            <w:tcW w:w="2487" w:type="dxa"/>
            <w:vAlign w:val="center"/>
          </w:tcPr>
          <w:p w14:paraId="6C54BA3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47" w:type="dxa"/>
            <w:vAlign w:val="center"/>
          </w:tcPr>
          <w:p w14:paraId="271FD2BA">
            <w:pPr>
              <w:widowControl w:val="0"/>
              <w:adjustRightInd/>
              <w:snapToGrid/>
              <w:spacing w:line="360" w:lineRule="auto"/>
              <w:jc w:val="both"/>
              <w:rPr>
                <w:rFonts w:hint="eastAsia" w:ascii="宋体" w:hAnsi="宋体" w:eastAsia="宋体" w:cs="宋体"/>
                <w:bCs/>
                <w:color w:val="auto"/>
                <w:kern w:val="2"/>
                <w:szCs w:val="21"/>
                <w:highlight w:val="none"/>
              </w:rPr>
            </w:pPr>
          </w:p>
        </w:tc>
      </w:tr>
      <w:tr w14:paraId="5FF4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159140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CM03</w:t>
            </w:r>
          </w:p>
        </w:tc>
        <w:tc>
          <w:tcPr>
            <w:tcW w:w="5046" w:type="dxa"/>
            <w:vAlign w:val="center"/>
          </w:tcPr>
          <w:p w14:paraId="2F67656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施工机械机具未按照规范要求接地保护</w:t>
            </w:r>
          </w:p>
        </w:tc>
        <w:tc>
          <w:tcPr>
            <w:tcW w:w="2487" w:type="dxa"/>
            <w:vAlign w:val="center"/>
          </w:tcPr>
          <w:p w14:paraId="07FBBD6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每处每次500元</w:t>
            </w:r>
          </w:p>
        </w:tc>
        <w:tc>
          <w:tcPr>
            <w:tcW w:w="747" w:type="dxa"/>
            <w:vAlign w:val="center"/>
          </w:tcPr>
          <w:p w14:paraId="641F84F0">
            <w:pPr>
              <w:widowControl w:val="0"/>
              <w:adjustRightInd/>
              <w:snapToGrid/>
              <w:spacing w:line="360" w:lineRule="auto"/>
              <w:jc w:val="both"/>
              <w:rPr>
                <w:rFonts w:hint="eastAsia" w:ascii="宋体" w:hAnsi="宋体" w:eastAsia="宋体" w:cs="宋体"/>
                <w:bCs/>
                <w:color w:val="auto"/>
                <w:kern w:val="2"/>
                <w:szCs w:val="21"/>
                <w:highlight w:val="none"/>
              </w:rPr>
            </w:pPr>
          </w:p>
        </w:tc>
      </w:tr>
      <w:tr w14:paraId="084B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7E5A152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CM04</w:t>
            </w:r>
          </w:p>
        </w:tc>
        <w:tc>
          <w:tcPr>
            <w:tcW w:w="5046" w:type="dxa"/>
            <w:vAlign w:val="center"/>
          </w:tcPr>
          <w:p w14:paraId="513CFDC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特种设备未定期检测并购置保险</w:t>
            </w:r>
          </w:p>
        </w:tc>
        <w:tc>
          <w:tcPr>
            <w:tcW w:w="2487" w:type="dxa"/>
            <w:vAlign w:val="center"/>
          </w:tcPr>
          <w:p w14:paraId="3390505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747" w:type="dxa"/>
            <w:vAlign w:val="center"/>
          </w:tcPr>
          <w:p w14:paraId="34548E5D">
            <w:pPr>
              <w:widowControl w:val="0"/>
              <w:adjustRightInd/>
              <w:snapToGrid/>
              <w:spacing w:line="360" w:lineRule="auto"/>
              <w:jc w:val="both"/>
              <w:rPr>
                <w:rFonts w:hint="eastAsia" w:ascii="宋体" w:hAnsi="宋体" w:eastAsia="宋体" w:cs="宋体"/>
                <w:bCs/>
                <w:color w:val="auto"/>
                <w:kern w:val="2"/>
                <w:szCs w:val="21"/>
                <w:highlight w:val="none"/>
              </w:rPr>
            </w:pPr>
          </w:p>
        </w:tc>
      </w:tr>
      <w:tr w14:paraId="33FC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569DB97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CM05</w:t>
            </w:r>
          </w:p>
        </w:tc>
        <w:tc>
          <w:tcPr>
            <w:tcW w:w="5046" w:type="dxa"/>
            <w:vAlign w:val="center"/>
          </w:tcPr>
          <w:p w14:paraId="361ED3C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私自改装机械、机具</w:t>
            </w:r>
          </w:p>
        </w:tc>
        <w:tc>
          <w:tcPr>
            <w:tcW w:w="2487" w:type="dxa"/>
            <w:vAlign w:val="center"/>
          </w:tcPr>
          <w:p w14:paraId="1D3C8AE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47" w:type="dxa"/>
            <w:vAlign w:val="center"/>
          </w:tcPr>
          <w:p w14:paraId="700853D2">
            <w:pPr>
              <w:widowControl w:val="0"/>
              <w:adjustRightInd/>
              <w:snapToGrid/>
              <w:spacing w:line="360" w:lineRule="auto"/>
              <w:jc w:val="both"/>
              <w:rPr>
                <w:rFonts w:hint="eastAsia" w:ascii="宋体" w:hAnsi="宋体" w:eastAsia="宋体" w:cs="宋体"/>
                <w:bCs/>
                <w:color w:val="auto"/>
                <w:kern w:val="2"/>
                <w:szCs w:val="21"/>
                <w:highlight w:val="none"/>
              </w:rPr>
            </w:pPr>
          </w:p>
        </w:tc>
      </w:tr>
      <w:tr w14:paraId="468C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22E4771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CM06</w:t>
            </w:r>
          </w:p>
        </w:tc>
        <w:tc>
          <w:tcPr>
            <w:tcW w:w="5046" w:type="dxa"/>
            <w:vAlign w:val="center"/>
          </w:tcPr>
          <w:p w14:paraId="4922AA9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平刨、塔吊、吊篮等机具 机械安装完成未经过检测验收直接投入使用</w:t>
            </w:r>
          </w:p>
        </w:tc>
        <w:tc>
          <w:tcPr>
            <w:tcW w:w="2487" w:type="dxa"/>
            <w:vAlign w:val="center"/>
          </w:tcPr>
          <w:p w14:paraId="1D4F50C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747" w:type="dxa"/>
            <w:vAlign w:val="center"/>
          </w:tcPr>
          <w:p w14:paraId="5B6B266A">
            <w:pPr>
              <w:widowControl w:val="0"/>
              <w:adjustRightInd/>
              <w:snapToGrid/>
              <w:spacing w:line="360" w:lineRule="auto"/>
              <w:jc w:val="both"/>
              <w:rPr>
                <w:rFonts w:hint="eastAsia" w:ascii="宋体" w:hAnsi="宋体" w:eastAsia="宋体" w:cs="宋体"/>
                <w:bCs/>
                <w:color w:val="auto"/>
                <w:kern w:val="2"/>
                <w:szCs w:val="21"/>
                <w:highlight w:val="none"/>
              </w:rPr>
            </w:pPr>
          </w:p>
        </w:tc>
      </w:tr>
      <w:tr w14:paraId="5C36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23F8F08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CM07</w:t>
            </w:r>
          </w:p>
        </w:tc>
        <w:tc>
          <w:tcPr>
            <w:tcW w:w="5046" w:type="dxa"/>
            <w:vAlign w:val="center"/>
          </w:tcPr>
          <w:p w14:paraId="64056E8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违反操作规程操作机械、设备、机具等</w:t>
            </w:r>
          </w:p>
        </w:tc>
        <w:tc>
          <w:tcPr>
            <w:tcW w:w="2487" w:type="dxa"/>
            <w:vAlign w:val="center"/>
          </w:tcPr>
          <w:p w14:paraId="3C771E1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47" w:type="dxa"/>
            <w:vAlign w:val="center"/>
          </w:tcPr>
          <w:p w14:paraId="72910F3E">
            <w:pPr>
              <w:widowControl w:val="0"/>
              <w:adjustRightInd/>
              <w:snapToGrid/>
              <w:spacing w:line="360" w:lineRule="auto"/>
              <w:jc w:val="both"/>
              <w:rPr>
                <w:rFonts w:hint="eastAsia" w:ascii="宋体" w:hAnsi="宋体" w:eastAsia="宋体" w:cs="宋体"/>
                <w:bCs/>
                <w:color w:val="auto"/>
                <w:kern w:val="2"/>
                <w:szCs w:val="21"/>
                <w:highlight w:val="none"/>
              </w:rPr>
            </w:pPr>
          </w:p>
        </w:tc>
      </w:tr>
      <w:tr w14:paraId="1DD9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AF8149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CM08</w:t>
            </w:r>
          </w:p>
        </w:tc>
        <w:tc>
          <w:tcPr>
            <w:tcW w:w="5046" w:type="dxa"/>
            <w:vAlign w:val="center"/>
          </w:tcPr>
          <w:p w14:paraId="6614BC0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未持作业橾作证操作相关需要操作证机械设备</w:t>
            </w:r>
          </w:p>
        </w:tc>
        <w:tc>
          <w:tcPr>
            <w:tcW w:w="2487" w:type="dxa"/>
            <w:vAlign w:val="center"/>
          </w:tcPr>
          <w:p w14:paraId="6527FDD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47" w:type="dxa"/>
            <w:vAlign w:val="center"/>
          </w:tcPr>
          <w:p w14:paraId="26564BDE">
            <w:pPr>
              <w:widowControl w:val="0"/>
              <w:adjustRightInd/>
              <w:snapToGrid/>
              <w:spacing w:line="360" w:lineRule="auto"/>
              <w:jc w:val="both"/>
              <w:rPr>
                <w:rFonts w:hint="eastAsia" w:ascii="宋体" w:hAnsi="宋体" w:eastAsia="宋体" w:cs="宋体"/>
                <w:bCs/>
                <w:color w:val="auto"/>
                <w:kern w:val="2"/>
                <w:szCs w:val="21"/>
                <w:highlight w:val="none"/>
              </w:rPr>
            </w:pPr>
          </w:p>
        </w:tc>
      </w:tr>
      <w:tr w14:paraId="6DAF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4AB818D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CM09</w:t>
            </w:r>
          </w:p>
        </w:tc>
        <w:tc>
          <w:tcPr>
            <w:tcW w:w="5046" w:type="dxa"/>
            <w:vAlign w:val="center"/>
          </w:tcPr>
          <w:p w14:paraId="48B29DD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设备未达电气防护要求</w:t>
            </w:r>
          </w:p>
        </w:tc>
        <w:tc>
          <w:tcPr>
            <w:tcW w:w="2487" w:type="dxa"/>
            <w:vAlign w:val="center"/>
          </w:tcPr>
          <w:p w14:paraId="11A957C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47" w:type="dxa"/>
            <w:vAlign w:val="center"/>
          </w:tcPr>
          <w:p w14:paraId="6E447825">
            <w:pPr>
              <w:widowControl w:val="0"/>
              <w:adjustRightInd/>
              <w:snapToGrid/>
              <w:spacing w:line="360" w:lineRule="auto"/>
              <w:jc w:val="both"/>
              <w:rPr>
                <w:rFonts w:hint="eastAsia" w:ascii="宋体" w:hAnsi="宋体" w:eastAsia="宋体" w:cs="宋体"/>
                <w:bCs/>
                <w:color w:val="auto"/>
                <w:kern w:val="2"/>
                <w:szCs w:val="21"/>
                <w:highlight w:val="none"/>
              </w:rPr>
            </w:pPr>
          </w:p>
        </w:tc>
      </w:tr>
      <w:tr w14:paraId="67C4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9F3735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CM10</w:t>
            </w:r>
          </w:p>
        </w:tc>
        <w:tc>
          <w:tcPr>
            <w:tcW w:w="5046" w:type="dxa"/>
            <w:vAlign w:val="center"/>
          </w:tcPr>
          <w:p w14:paraId="258956B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其他违反国家相关标准或项目管理规定的</w:t>
            </w:r>
          </w:p>
        </w:tc>
        <w:tc>
          <w:tcPr>
            <w:tcW w:w="2487" w:type="dxa"/>
            <w:vAlign w:val="center"/>
          </w:tcPr>
          <w:p w14:paraId="73840A0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每处每次500-50000元</w:t>
            </w:r>
          </w:p>
        </w:tc>
        <w:tc>
          <w:tcPr>
            <w:tcW w:w="747" w:type="dxa"/>
            <w:vAlign w:val="center"/>
          </w:tcPr>
          <w:p w14:paraId="2F344442">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6E75F55B">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4.7.8 脚手架管理</w:t>
      </w:r>
    </w:p>
    <w:tbl>
      <w:tblPr>
        <w:tblStyle w:val="31"/>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5071"/>
        <w:gridCol w:w="2299"/>
        <w:gridCol w:w="738"/>
      </w:tblGrid>
      <w:tr w14:paraId="2E96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08C67247">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5071" w:type="dxa"/>
            <w:vAlign w:val="center"/>
          </w:tcPr>
          <w:p w14:paraId="7451E1BD">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299" w:type="dxa"/>
            <w:vAlign w:val="center"/>
          </w:tcPr>
          <w:p w14:paraId="07945127">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738" w:type="dxa"/>
            <w:vAlign w:val="center"/>
          </w:tcPr>
          <w:p w14:paraId="319158D8">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0675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5E026DB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SC01</w:t>
            </w:r>
          </w:p>
        </w:tc>
        <w:tc>
          <w:tcPr>
            <w:tcW w:w="5071" w:type="dxa"/>
            <w:vAlign w:val="center"/>
          </w:tcPr>
          <w:p w14:paraId="02E01E3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各型制脚手架未编制施工方案</w:t>
            </w:r>
          </w:p>
        </w:tc>
        <w:tc>
          <w:tcPr>
            <w:tcW w:w="2299" w:type="dxa"/>
            <w:vAlign w:val="center"/>
          </w:tcPr>
          <w:p w14:paraId="0137859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738" w:type="dxa"/>
            <w:vAlign w:val="center"/>
          </w:tcPr>
          <w:p w14:paraId="6FB466A0">
            <w:pPr>
              <w:widowControl w:val="0"/>
              <w:adjustRightInd/>
              <w:snapToGrid/>
              <w:spacing w:line="360" w:lineRule="auto"/>
              <w:jc w:val="both"/>
              <w:rPr>
                <w:rFonts w:hint="eastAsia" w:ascii="宋体" w:hAnsi="宋体" w:eastAsia="宋体" w:cs="宋体"/>
                <w:bCs/>
                <w:color w:val="auto"/>
                <w:kern w:val="2"/>
                <w:szCs w:val="21"/>
                <w:highlight w:val="none"/>
              </w:rPr>
            </w:pPr>
          </w:p>
        </w:tc>
      </w:tr>
      <w:tr w14:paraId="53D6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5D553BD6">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SC02</w:t>
            </w:r>
          </w:p>
        </w:tc>
        <w:tc>
          <w:tcPr>
            <w:tcW w:w="5071" w:type="dxa"/>
            <w:vAlign w:val="center"/>
          </w:tcPr>
          <w:p w14:paraId="64073F8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架体基础不符合方案要求</w:t>
            </w:r>
          </w:p>
        </w:tc>
        <w:tc>
          <w:tcPr>
            <w:tcW w:w="2299" w:type="dxa"/>
            <w:vAlign w:val="center"/>
          </w:tcPr>
          <w:p w14:paraId="780AF65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738" w:type="dxa"/>
            <w:vAlign w:val="center"/>
          </w:tcPr>
          <w:p w14:paraId="7BEE622C">
            <w:pPr>
              <w:widowControl w:val="0"/>
              <w:adjustRightInd/>
              <w:snapToGrid/>
              <w:spacing w:line="360" w:lineRule="auto"/>
              <w:jc w:val="both"/>
              <w:rPr>
                <w:rFonts w:hint="eastAsia" w:ascii="宋体" w:hAnsi="宋体" w:eastAsia="宋体" w:cs="宋体"/>
                <w:bCs/>
                <w:color w:val="auto"/>
                <w:kern w:val="2"/>
                <w:szCs w:val="21"/>
                <w:highlight w:val="none"/>
              </w:rPr>
            </w:pPr>
          </w:p>
        </w:tc>
      </w:tr>
      <w:tr w14:paraId="03EB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2716D43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SC03</w:t>
            </w:r>
          </w:p>
        </w:tc>
        <w:tc>
          <w:tcPr>
            <w:tcW w:w="5071" w:type="dxa"/>
            <w:vAlign w:val="center"/>
          </w:tcPr>
          <w:p w14:paraId="3BBB1C1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搭设前未进行安全技术交底和安全教育</w:t>
            </w:r>
          </w:p>
        </w:tc>
        <w:tc>
          <w:tcPr>
            <w:tcW w:w="2299" w:type="dxa"/>
            <w:vAlign w:val="center"/>
          </w:tcPr>
          <w:p w14:paraId="77372701">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738" w:type="dxa"/>
            <w:vAlign w:val="center"/>
          </w:tcPr>
          <w:p w14:paraId="4485D5C0">
            <w:pPr>
              <w:widowControl w:val="0"/>
              <w:adjustRightInd/>
              <w:snapToGrid/>
              <w:spacing w:line="360" w:lineRule="auto"/>
              <w:jc w:val="both"/>
              <w:rPr>
                <w:rFonts w:hint="eastAsia" w:ascii="宋体" w:hAnsi="宋体" w:eastAsia="宋体" w:cs="宋体"/>
                <w:bCs/>
                <w:color w:val="auto"/>
                <w:kern w:val="2"/>
                <w:szCs w:val="21"/>
                <w:highlight w:val="none"/>
              </w:rPr>
            </w:pPr>
          </w:p>
        </w:tc>
      </w:tr>
      <w:tr w14:paraId="1BCA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4FDC644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SC04</w:t>
            </w:r>
          </w:p>
        </w:tc>
        <w:tc>
          <w:tcPr>
            <w:tcW w:w="5071" w:type="dxa"/>
            <w:vAlign w:val="center"/>
          </w:tcPr>
          <w:p w14:paraId="5F930BB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搭设、拆除过程中无旁站监督人员</w:t>
            </w:r>
          </w:p>
        </w:tc>
        <w:tc>
          <w:tcPr>
            <w:tcW w:w="2299" w:type="dxa"/>
            <w:vAlign w:val="center"/>
          </w:tcPr>
          <w:p w14:paraId="214710B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38" w:type="dxa"/>
            <w:vAlign w:val="center"/>
          </w:tcPr>
          <w:p w14:paraId="379FBA2F">
            <w:pPr>
              <w:widowControl w:val="0"/>
              <w:adjustRightInd/>
              <w:snapToGrid/>
              <w:spacing w:line="360" w:lineRule="auto"/>
              <w:jc w:val="both"/>
              <w:rPr>
                <w:rFonts w:hint="eastAsia" w:ascii="宋体" w:hAnsi="宋体" w:eastAsia="宋体" w:cs="宋体"/>
                <w:bCs/>
                <w:color w:val="auto"/>
                <w:kern w:val="2"/>
                <w:szCs w:val="21"/>
                <w:highlight w:val="none"/>
              </w:rPr>
            </w:pPr>
          </w:p>
        </w:tc>
      </w:tr>
      <w:tr w14:paraId="7F89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70D9BC1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SC05</w:t>
            </w:r>
          </w:p>
        </w:tc>
        <w:tc>
          <w:tcPr>
            <w:tcW w:w="5071" w:type="dxa"/>
            <w:vAlign w:val="center"/>
          </w:tcPr>
          <w:p w14:paraId="38624B8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脚手板、防护栏杆不符合安全要求</w:t>
            </w:r>
          </w:p>
        </w:tc>
        <w:tc>
          <w:tcPr>
            <w:tcW w:w="2299" w:type="dxa"/>
            <w:vAlign w:val="center"/>
          </w:tcPr>
          <w:p w14:paraId="61BDFF3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38" w:type="dxa"/>
            <w:vAlign w:val="center"/>
          </w:tcPr>
          <w:p w14:paraId="19CEC73B">
            <w:pPr>
              <w:widowControl w:val="0"/>
              <w:adjustRightInd/>
              <w:snapToGrid/>
              <w:spacing w:line="360" w:lineRule="auto"/>
              <w:jc w:val="both"/>
              <w:rPr>
                <w:rFonts w:hint="eastAsia" w:ascii="宋体" w:hAnsi="宋体" w:eastAsia="宋体" w:cs="宋体"/>
                <w:bCs/>
                <w:color w:val="auto"/>
                <w:kern w:val="2"/>
                <w:szCs w:val="21"/>
                <w:highlight w:val="none"/>
              </w:rPr>
            </w:pPr>
          </w:p>
        </w:tc>
      </w:tr>
      <w:tr w14:paraId="2814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2836870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SC06</w:t>
            </w:r>
          </w:p>
        </w:tc>
        <w:tc>
          <w:tcPr>
            <w:tcW w:w="5071" w:type="dxa"/>
            <w:vAlign w:val="center"/>
          </w:tcPr>
          <w:p w14:paraId="2722274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未按方案设置拉结点或私自拆除拉结点</w:t>
            </w:r>
          </w:p>
        </w:tc>
        <w:tc>
          <w:tcPr>
            <w:tcW w:w="2299" w:type="dxa"/>
            <w:vAlign w:val="center"/>
          </w:tcPr>
          <w:p w14:paraId="3E0F16E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738" w:type="dxa"/>
            <w:vAlign w:val="center"/>
          </w:tcPr>
          <w:p w14:paraId="7BFF501C">
            <w:pPr>
              <w:widowControl w:val="0"/>
              <w:adjustRightInd/>
              <w:snapToGrid/>
              <w:spacing w:line="360" w:lineRule="auto"/>
              <w:jc w:val="both"/>
              <w:rPr>
                <w:rFonts w:hint="eastAsia" w:ascii="宋体" w:hAnsi="宋体" w:eastAsia="宋体" w:cs="宋体"/>
                <w:bCs/>
                <w:color w:val="auto"/>
                <w:kern w:val="2"/>
                <w:szCs w:val="21"/>
                <w:highlight w:val="none"/>
              </w:rPr>
            </w:pPr>
          </w:p>
        </w:tc>
      </w:tr>
      <w:tr w14:paraId="6F13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00242D0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SC07</w:t>
            </w:r>
          </w:p>
        </w:tc>
        <w:tc>
          <w:tcPr>
            <w:tcW w:w="5071" w:type="dxa"/>
            <w:vAlign w:val="center"/>
          </w:tcPr>
          <w:p w14:paraId="206BCDF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未按照方案要求设置剪刀撑、斜撑、斜杠等稳定支撑</w:t>
            </w:r>
          </w:p>
        </w:tc>
        <w:tc>
          <w:tcPr>
            <w:tcW w:w="2299" w:type="dxa"/>
            <w:vAlign w:val="center"/>
          </w:tcPr>
          <w:p w14:paraId="2961294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每处每次3000元</w:t>
            </w:r>
          </w:p>
        </w:tc>
        <w:tc>
          <w:tcPr>
            <w:tcW w:w="738" w:type="dxa"/>
            <w:vAlign w:val="center"/>
          </w:tcPr>
          <w:p w14:paraId="117045C5">
            <w:pPr>
              <w:widowControl w:val="0"/>
              <w:adjustRightInd/>
              <w:snapToGrid/>
              <w:spacing w:line="360" w:lineRule="auto"/>
              <w:jc w:val="both"/>
              <w:rPr>
                <w:rFonts w:hint="eastAsia" w:ascii="宋体" w:hAnsi="宋体" w:eastAsia="宋体" w:cs="宋体"/>
                <w:bCs/>
                <w:color w:val="auto"/>
                <w:kern w:val="2"/>
                <w:szCs w:val="21"/>
                <w:highlight w:val="none"/>
              </w:rPr>
            </w:pPr>
          </w:p>
        </w:tc>
      </w:tr>
      <w:tr w14:paraId="33EB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337B1A9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SC08</w:t>
            </w:r>
          </w:p>
        </w:tc>
        <w:tc>
          <w:tcPr>
            <w:tcW w:w="5071" w:type="dxa"/>
            <w:vAlign w:val="center"/>
          </w:tcPr>
          <w:p w14:paraId="744004E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架体外侧未采用密目网封闭并绑扎严密的</w:t>
            </w:r>
          </w:p>
        </w:tc>
        <w:tc>
          <w:tcPr>
            <w:tcW w:w="2299" w:type="dxa"/>
            <w:vAlign w:val="center"/>
          </w:tcPr>
          <w:p w14:paraId="1A61F18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38" w:type="dxa"/>
            <w:vAlign w:val="center"/>
          </w:tcPr>
          <w:p w14:paraId="62862E31">
            <w:pPr>
              <w:widowControl w:val="0"/>
              <w:adjustRightInd/>
              <w:snapToGrid/>
              <w:spacing w:line="360" w:lineRule="auto"/>
              <w:jc w:val="both"/>
              <w:rPr>
                <w:rFonts w:hint="eastAsia" w:ascii="宋体" w:hAnsi="宋体" w:eastAsia="宋体" w:cs="宋体"/>
                <w:bCs/>
                <w:color w:val="auto"/>
                <w:kern w:val="2"/>
                <w:szCs w:val="21"/>
                <w:highlight w:val="none"/>
              </w:rPr>
            </w:pPr>
          </w:p>
        </w:tc>
      </w:tr>
      <w:tr w14:paraId="49A8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6200E24D">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SC09</w:t>
            </w:r>
          </w:p>
        </w:tc>
        <w:tc>
          <w:tcPr>
            <w:tcW w:w="5071" w:type="dxa"/>
            <w:vAlign w:val="center"/>
          </w:tcPr>
          <w:p w14:paraId="61D9EA8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作业层未按规范要求设置挡脚板</w:t>
            </w:r>
          </w:p>
        </w:tc>
        <w:tc>
          <w:tcPr>
            <w:tcW w:w="2299" w:type="dxa"/>
            <w:vAlign w:val="center"/>
          </w:tcPr>
          <w:p w14:paraId="0C2FEC3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38" w:type="dxa"/>
            <w:vAlign w:val="center"/>
          </w:tcPr>
          <w:p w14:paraId="3DE40BE9">
            <w:pPr>
              <w:widowControl w:val="0"/>
              <w:adjustRightInd/>
              <w:snapToGrid/>
              <w:spacing w:line="360" w:lineRule="auto"/>
              <w:jc w:val="both"/>
              <w:rPr>
                <w:rFonts w:hint="eastAsia" w:ascii="宋体" w:hAnsi="宋体" w:eastAsia="宋体" w:cs="宋体"/>
                <w:bCs/>
                <w:color w:val="auto"/>
                <w:kern w:val="2"/>
                <w:szCs w:val="21"/>
                <w:highlight w:val="none"/>
              </w:rPr>
            </w:pPr>
          </w:p>
        </w:tc>
      </w:tr>
      <w:tr w14:paraId="1FA5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0D4F79A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SC10</w:t>
            </w:r>
          </w:p>
        </w:tc>
        <w:tc>
          <w:tcPr>
            <w:tcW w:w="5071" w:type="dxa"/>
            <w:vAlign w:val="center"/>
          </w:tcPr>
          <w:p w14:paraId="0EEEE96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脚手架作业层脚手板下未按规范采用安全兜底</w:t>
            </w:r>
          </w:p>
        </w:tc>
        <w:tc>
          <w:tcPr>
            <w:tcW w:w="2299" w:type="dxa"/>
            <w:vAlign w:val="center"/>
          </w:tcPr>
          <w:p w14:paraId="073832A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738" w:type="dxa"/>
            <w:vAlign w:val="center"/>
          </w:tcPr>
          <w:p w14:paraId="5A4E8C63">
            <w:pPr>
              <w:widowControl w:val="0"/>
              <w:adjustRightInd/>
              <w:snapToGrid/>
              <w:spacing w:line="360" w:lineRule="auto"/>
              <w:jc w:val="both"/>
              <w:rPr>
                <w:rFonts w:hint="eastAsia" w:ascii="宋体" w:hAnsi="宋体" w:eastAsia="宋体" w:cs="宋体"/>
                <w:bCs/>
                <w:color w:val="auto"/>
                <w:kern w:val="2"/>
                <w:szCs w:val="21"/>
                <w:highlight w:val="none"/>
              </w:rPr>
            </w:pPr>
          </w:p>
        </w:tc>
      </w:tr>
      <w:tr w14:paraId="664E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272C6C5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SC11</w:t>
            </w:r>
          </w:p>
        </w:tc>
        <w:tc>
          <w:tcPr>
            <w:tcW w:w="5071" w:type="dxa"/>
            <w:vAlign w:val="center"/>
          </w:tcPr>
          <w:p w14:paraId="5DD5FDA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未按照方案和安全措施随意拆除脚手架拆除过程中随意抛扔钢管构件等</w:t>
            </w:r>
          </w:p>
        </w:tc>
        <w:tc>
          <w:tcPr>
            <w:tcW w:w="2299" w:type="dxa"/>
            <w:vAlign w:val="center"/>
          </w:tcPr>
          <w:p w14:paraId="1409B29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738" w:type="dxa"/>
            <w:vAlign w:val="center"/>
          </w:tcPr>
          <w:p w14:paraId="7A0C146F">
            <w:pPr>
              <w:widowControl w:val="0"/>
              <w:adjustRightInd/>
              <w:snapToGrid/>
              <w:spacing w:line="360" w:lineRule="auto"/>
              <w:jc w:val="both"/>
              <w:rPr>
                <w:rFonts w:hint="eastAsia" w:ascii="宋体" w:hAnsi="宋体" w:eastAsia="宋体" w:cs="宋体"/>
                <w:bCs/>
                <w:color w:val="auto"/>
                <w:kern w:val="2"/>
                <w:szCs w:val="21"/>
                <w:highlight w:val="none"/>
              </w:rPr>
            </w:pPr>
          </w:p>
        </w:tc>
      </w:tr>
      <w:tr w14:paraId="4411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7A64967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SC12</w:t>
            </w:r>
          </w:p>
        </w:tc>
        <w:tc>
          <w:tcPr>
            <w:tcW w:w="5071" w:type="dxa"/>
            <w:vAlign w:val="center"/>
          </w:tcPr>
          <w:p w14:paraId="6E225A3A">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搭设拆除脚手架作业人员无可靠安全防护措施</w:t>
            </w:r>
          </w:p>
        </w:tc>
        <w:tc>
          <w:tcPr>
            <w:tcW w:w="2299" w:type="dxa"/>
            <w:vAlign w:val="center"/>
          </w:tcPr>
          <w:p w14:paraId="3CB35F28">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38" w:type="dxa"/>
            <w:vAlign w:val="center"/>
          </w:tcPr>
          <w:p w14:paraId="1E971242">
            <w:pPr>
              <w:widowControl w:val="0"/>
              <w:adjustRightInd/>
              <w:snapToGrid/>
              <w:spacing w:line="360" w:lineRule="auto"/>
              <w:jc w:val="both"/>
              <w:rPr>
                <w:rFonts w:hint="eastAsia" w:ascii="宋体" w:hAnsi="宋体" w:eastAsia="宋体" w:cs="宋体"/>
                <w:bCs/>
                <w:color w:val="auto"/>
                <w:kern w:val="2"/>
                <w:szCs w:val="21"/>
                <w:highlight w:val="none"/>
              </w:rPr>
            </w:pPr>
          </w:p>
        </w:tc>
      </w:tr>
      <w:tr w14:paraId="5D4D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1EB710B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SC13</w:t>
            </w:r>
          </w:p>
        </w:tc>
        <w:tc>
          <w:tcPr>
            <w:tcW w:w="5071" w:type="dxa"/>
            <w:vAlign w:val="center"/>
          </w:tcPr>
          <w:p w14:paraId="5262A3E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未设置人员上下的专用通道</w:t>
            </w:r>
          </w:p>
        </w:tc>
        <w:tc>
          <w:tcPr>
            <w:tcW w:w="2299" w:type="dxa"/>
            <w:vAlign w:val="center"/>
          </w:tcPr>
          <w:p w14:paraId="45F8DF25">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38" w:type="dxa"/>
            <w:vAlign w:val="center"/>
          </w:tcPr>
          <w:p w14:paraId="1AF28155">
            <w:pPr>
              <w:widowControl w:val="0"/>
              <w:adjustRightInd/>
              <w:snapToGrid/>
              <w:spacing w:line="360" w:lineRule="auto"/>
              <w:jc w:val="both"/>
              <w:rPr>
                <w:rFonts w:hint="eastAsia" w:ascii="宋体" w:hAnsi="宋体" w:eastAsia="宋体" w:cs="宋体"/>
                <w:bCs/>
                <w:color w:val="auto"/>
                <w:kern w:val="2"/>
                <w:szCs w:val="21"/>
                <w:highlight w:val="none"/>
              </w:rPr>
            </w:pPr>
          </w:p>
        </w:tc>
      </w:tr>
      <w:tr w14:paraId="0BA8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54D56782">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SC14</w:t>
            </w:r>
          </w:p>
        </w:tc>
        <w:tc>
          <w:tcPr>
            <w:tcW w:w="5071" w:type="dxa"/>
            <w:vAlign w:val="center"/>
          </w:tcPr>
          <w:p w14:paraId="6A21D75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立杆、剪刀撑的接长不符合规范要求</w:t>
            </w:r>
          </w:p>
        </w:tc>
        <w:tc>
          <w:tcPr>
            <w:tcW w:w="2299" w:type="dxa"/>
            <w:vAlign w:val="center"/>
          </w:tcPr>
          <w:p w14:paraId="15A85C67">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每处每次1000元</w:t>
            </w:r>
          </w:p>
        </w:tc>
        <w:tc>
          <w:tcPr>
            <w:tcW w:w="738" w:type="dxa"/>
            <w:vAlign w:val="center"/>
          </w:tcPr>
          <w:p w14:paraId="58133D57">
            <w:pPr>
              <w:widowControl w:val="0"/>
              <w:adjustRightInd/>
              <w:snapToGrid/>
              <w:spacing w:line="360" w:lineRule="auto"/>
              <w:jc w:val="both"/>
              <w:rPr>
                <w:rFonts w:hint="eastAsia" w:ascii="宋体" w:hAnsi="宋体" w:eastAsia="宋体" w:cs="宋体"/>
                <w:bCs/>
                <w:color w:val="auto"/>
                <w:kern w:val="2"/>
                <w:szCs w:val="21"/>
                <w:highlight w:val="none"/>
              </w:rPr>
            </w:pPr>
          </w:p>
        </w:tc>
      </w:tr>
      <w:tr w14:paraId="31DE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788D643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SC15</w:t>
            </w:r>
          </w:p>
        </w:tc>
        <w:tc>
          <w:tcPr>
            <w:tcW w:w="5071" w:type="dxa"/>
            <w:vAlign w:val="center"/>
          </w:tcPr>
          <w:p w14:paraId="118BEFC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立杆的步距、间距不符合设计和规范要求</w:t>
            </w:r>
          </w:p>
        </w:tc>
        <w:tc>
          <w:tcPr>
            <w:tcW w:w="2299" w:type="dxa"/>
            <w:vAlign w:val="center"/>
          </w:tcPr>
          <w:p w14:paraId="358B81A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每处每次5000元</w:t>
            </w:r>
          </w:p>
        </w:tc>
        <w:tc>
          <w:tcPr>
            <w:tcW w:w="738" w:type="dxa"/>
            <w:vAlign w:val="center"/>
          </w:tcPr>
          <w:p w14:paraId="672D8763">
            <w:pPr>
              <w:widowControl w:val="0"/>
              <w:adjustRightInd/>
              <w:snapToGrid/>
              <w:spacing w:line="360" w:lineRule="auto"/>
              <w:jc w:val="both"/>
              <w:rPr>
                <w:rFonts w:hint="eastAsia" w:ascii="宋体" w:hAnsi="宋体" w:eastAsia="宋体" w:cs="宋体"/>
                <w:bCs/>
                <w:color w:val="auto"/>
                <w:kern w:val="2"/>
                <w:szCs w:val="21"/>
                <w:highlight w:val="none"/>
              </w:rPr>
            </w:pPr>
          </w:p>
        </w:tc>
      </w:tr>
      <w:tr w14:paraId="3576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 w:type="dxa"/>
            <w:vAlign w:val="center"/>
          </w:tcPr>
          <w:p w14:paraId="0E77130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SC16</w:t>
            </w:r>
          </w:p>
        </w:tc>
        <w:tc>
          <w:tcPr>
            <w:tcW w:w="5071" w:type="dxa"/>
            <w:vAlign w:val="center"/>
          </w:tcPr>
          <w:p w14:paraId="57C431D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扣件的紧固未达规范要求</w:t>
            </w:r>
          </w:p>
        </w:tc>
        <w:tc>
          <w:tcPr>
            <w:tcW w:w="2299" w:type="dxa"/>
            <w:vAlign w:val="center"/>
          </w:tcPr>
          <w:p w14:paraId="17ED4A0B">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每处每次500元</w:t>
            </w:r>
          </w:p>
        </w:tc>
        <w:tc>
          <w:tcPr>
            <w:tcW w:w="738" w:type="dxa"/>
            <w:vAlign w:val="center"/>
          </w:tcPr>
          <w:p w14:paraId="0637659F">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04A8F034">
      <w:pPr>
        <w:widowControl w:val="0"/>
        <w:adjustRightInd/>
        <w:snapToGrid/>
        <w:spacing w:line="360" w:lineRule="auto"/>
        <w:ind w:firstLine="420" w:firstLineChars="200"/>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4.7.9 危险化学品管理</w:t>
      </w:r>
    </w:p>
    <w:tbl>
      <w:tblPr>
        <w:tblStyle w:val="31"/>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5046"/>
        <w:gridCol w:w="2436"/>
        <w:gridCol w:w="738"/>
      </w:tblGrid>
      <w:tr w14:paraId="3410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6" w:type="dxa"/>
            <w:vAlign w:val="center"/>
          </w:tcPr>
          <w:p w14:paraId="3BFD63BD">
            <w:pPr>
              <w:widowControl w:val="0"/>
              <w:adjustRightInd/>
              <w:snapToGrid/>
              <w:spacing w:line="360" w:lineRule="auto"/>
              <w:jc w:val="both"/>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序号</w:t>
            </w:r>
          </w:p>
        </w:tc>
        <w:tc>
          <w:tcPr>
            <w:tcW w:w="5046" w:type="dxa"/>
            <w:vAlign w:val="center"/>
          </w:tcPr>
          <w:p w14:paraId="105A827A">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违章内容</w:t>
            </w:r>
          </w:p>
        </w:tc>
        <w:tc>
          <w:tcPr>
            <w:tcW w:w="2436" w:type="dxa"/>
            <w:vAlign w:val="center"/>
          </w:tcPr>
          <w:p w14:paraId="06341028">
            <w:pPr>
              <w:widowControl w:val="0"/>
              <w:adjustRightInd/>
              <w:snapToGrid/>
              <w:spacing w:line="360" w:lineRule="auto"/>
              <w:jc w:val="center"/>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罚款金额</w:t>
            </w:r>
          </w:p>
        </w:tc>
        <w:tc>
          <w:tcPr>
            <w:tcW w:w="738" w:type="dxa"/>
            <w:vAlign w:val="center"/>
          </w:tcPr>
          <w:p w14:paraId="60E5F1EC">
            <w:pPr>
              <w:widowControl w:val="0"/>
              <w:adjustRightInd/>
              <w:snapToGrid/>
              <w:spacing w:line="360" w:lineRule="auto"/>
              <w:jc w:val="both"/>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t>备注</w:t>
            </w:r>
          </w:p>
        </w:tc>
      </w:tr>
      <w:tr w14:paraId="2DC0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14:paraId="3BBA6309">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HC01</w:t>
            </w:r>
          </w:p>
        </w:tc>
        <w:tc>
          <w:tcPr>
            <w:tcW w:w="5046" w:type="dxa"/>
            <w:vAlign w:val="center"/>
          </w:tcPr>
          <w:p w14:paraId="49F8C15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未按合法途径采购合格危化品</w:t>
            </w:r>
          </w:p>
        </w:tc>
        <w:tc>
          <w:tcPr>
            <w:tcW w:w="2436" w:type="dxa"/>
            <w:vAlign w:val="center"/>
          </w:tcPr>
          <w:p w14:paraId="5A0C490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 5000元</w:t>
            </w:r>
          </w:p>
        </w:tc>
        <w:tc>
          <w:tcPr>
            <w:tcW w:w="738" w:type="dxa"/>
            <w:vAlign w:val="center"/>
          </w:tcPr>
          <w:p w14:paraId="54F8E9F8">
            <w:pPr>
              <w:widowControl w:val="0"/>
              <w:adjustRightInd/>
              <w:snapToGrid/>
              <w:spacing w:line="360" w:lineRule="auto"/>
              <w:jc w:val="both"/>
              <w:rPr>
                <w:rFonts w:hint="eastAsia" w:ascii="宋体" w:hAnsi="宋体" w:eastAsia="宋体" w:cs="宋体"/>
                <w:bCs/>
                <w:color w:val="auto"/>
                <w:kern w:val="2"/>
                <w:szCs w:val="21"/>
                <w:highlight w:val="none"/>
              </w:rPr>
            </w:pPr>
          </w:p>
        </w:tc>
      </w:tr>
      <w:tr w14:paraId="6E17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14:paraId="5C8230F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HC02</w:t>
            </w:r>
          </w:p>
        </w:tc>
        <w:tc>
          <w:tcPr>
            <w:tcW w:w="5046" w:type="dxa"/>
            <w:vAlign w:val="center"/>
          </w:tcPr>
          <w:p w14:paraId="2BE441C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未按规范规定储存危险化学品</w:t>
            </w:r>
          </w:p>
        </w:tc>
        <w:tc>
          <w:tcPr>
            <w:tcW w:w="2436" w:type="dxa"/>
            <w:vAlign w:val="center"/>
          </w:tcPr>
          <w:p w14:paraId="6AAA2A6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每处每次2000元</w:t>
            </w:r>
          </w:p>
        </w:tc>
        <w:tc>
          <w:tcPr>
            <w:tcW w:w="738" w:type="dxa"/>
            <w:vAlign w:val="center"/>
          </w:tcPr>
          <w:p w14:paraId="2D454539">
            <w:pPr>
              <w:widowControl w:val="0"/>
              <w:adjustRightInd/>
              <w:snapToGrid/>
              <w:spacing w:line="360" w:lineRule="auto"/>
              <w:jc w:val="both"/>
              <w:rPr>
                <w:rFonts w:hint="eastAsia" w:ascii="宋体" w:hAnsi="宋体" w:eastAsia="宋体" w:cs="宋体"/>
                <w:bCs/>
                <w:color w:val="auto"/>
                <w:kern w:val="2"/>
                <w:szCs w:val="21"/>
                <w:highlight w:val="none"/>
              </w:rPr>
            </w:pPr>
          </w:p>
        </w:tc>
      </w:tr>
      <w:tr w14:paraId="7CA9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14:paraId="14AE9D5F">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HC03</w:t>
            </w:r>
          </w:p>
        </w:tc>
        <w:tc>
          <w:tcPr>
            <w:tcW w:w="5046" w:type="dxa"/>
            <w:vAlign w:val="center"/>
          </w:tcPr>
          <w:p w14:paraId="6E030B3C">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储存未设置相应警示、防范措施等</w:t>
            </w:r>
          </w:p>
        </w:tc>
        <w:tc>
          <w:tcPr>
            <w:tcW w:w="2436" w:type="dxa"/>
            <w:vAlign w:val="center"/>
          </w:tcPr>
          <w:p w14:paraId="23182F60">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每处每次3000元</w:t>
            </w:r>
          </w:p>
        </w:tc>
        <w:tc>
          <w:tcPr>
            <w:tcW w:w="738" w:type="dxa"/>
            <w:vAlign w:val="center"/>
          </w:tcPr>
          <w:p w14:paraId="5A064E3D">
            <w:pPr>
              <w:widowControl w:val="0"/>
              <w:adjustRightInd/>
              <w:snapToGrid/>
              <w:spacing w:line="360" w:lineRule="auto"/>
              <w:jc w:val="both"/>
              <w:rPr>
                <w:rFonts w:hint="eastAsia" w:ascii="宋体" w:hAnsi="宋体" w:eastAsia="宋体" w:cs="宋体"/>
                <w:bCs/>
                <w:color w:val="auto"/>
                <w:kern w:val="2"/>
                <w:szCs w:val="21"/>
                <w:highlight w:val="none"/>
              </w:rPr>
            </w:pPr>
          </w:p>
        </w:tc>
      </w:tr>
      <w:tr w14:paraId="1817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14:paraId="691A7023">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HC04</w:t>
            </w:r>
          </w:p>
        </w:tc>
        <w:tc>
          <w:tcPr>
            <w:tcW w:w="5046" w:type="dxa"/>
            <w:vAlign w:val="center"/>
          </w:tcPr>
          <w:p w14:paraId="6EFFB62E">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其他违反国家相关标准和项目管理规定</w:t>
            </w:r>
          </w:p>
        </w:tc>
        <w:tc>
          <w:tcPr>
            <w:tcW w:w="2436" w:type="dxa"/>
            <w:vAlign w:val="center"/>
          </w:tcPr>
          <w:p w14:paraId="54FAE134">
            <w:pPr>
              <w:widowControl w:val="0"/>
              <w:adjustRightInd/>
              <w:snapToGrid/>
              <w:spacing w:line="360" w:lineRule="auto"/>
              <w:jc w:val="both"/>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每处每次500-50000元</w:t>
            </w:r>
          </w:p>
        </w:tc>
        <w:tc>
          <w:tcPr>
            <w:tcW w:w="738" w:type="dxa"/>
            <w:vAlign w:val="center"/>
          </w:tcPr>
          <w:p w14:paraId="4356E8FE">
            <w:pPr>
              <w:widowControl w:val="0"/>
              <w:adjustRightInd/>
              <w:snapToGrid/>
              <w:spacing w:line="360" w:lineRule="auto"/>
              <w:jc w:val="both"/>
              <w:rPr>
                <w:rFonts w:hint="eastAsia" w:ascii="宋体" w:hAnsi="宋体" w:eastAsia="宋体" w:cs="宋体"/>
                <w:bCs/>
                <w:color w:val="auto"/>
                <w:kern w:val="2"/>
                <w:szCs w:val="21"/>
                <w:highlight w:val="none"/>
              </w:rPr>
            </w:pPr>
          </w:p>
        </w:tc>
      </w:tr>
    </w:tbl>
    <w:p w14:paraId="127262B5">
      <w:pPr>
        <w:widowControl w:val="0"/>
        <w:overflowPunct w:val="0"/>
        <w:autoSpaceDE w:val="0"/>
        <w:autoSpaceDN w:val="0"/>
        <w:adjustRightInd w:val="0"/>
        <w:snapToGrid/>
        <w:spacing w:line="360" w:lineRule="auto"/>
        <w:jc w:val="both"/>
        <w:textAlignment w:val="baseline"/>
        <w:rPr>
          <w:rFonts w:hint="eastAsia" w:ascii="宋体" w:hAnsi="宋体" w:eastAsia="宋体" w:cs="宋体"/>
          <w:b/>
          <w:color w:val="auto"/>
          <w:kern w:val="2"/>
          <w:szCs w:val="21"/>
          <w:highlight w:val="none"/>
        </w:rPr>
      </w:pPr>
      <w:r>
        <w:rPr>
          <w:rFonts w:hint="eastAsia" w:ascii="宋体" w:hAnsi="宋体" w:eastAsia="宋体" w:cs="宋体"/>
          <w:b/>
          <w:color w:val="auto"/>
          <w:kern w:val="2"/>
          <w:szCs w:val="21"/>
          <w:highlight w:val="none"/>
        </w:rPr>
        <w:t>5. 重要说明</w:t>
      </w:r>
    </w:p>
    <w:p w14:paraId="472728A4">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5.1 以上罚款均为人民币；</w:t>
      </w:r>
    </w:p>
    <w:p w14:paraId="18F32422">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5.2 收到罚款单之日起5个工作内上交罚款；</w:t>
      </w:r>
    </w:p>
    <w:p w14:paraId="1F8DD1CC">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5.3 拒不缴纳罚款的，按应罚款金额的10倍在工程款中直接扣除；</w:t>
      </w:r>
    </w:p>
    <w:p w14:paraId="14DE3601">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5.4 乙方对于分包单位的管理可参照本罚则，以约束其工作行为；</w:t>
      </w:r>
    </w:p>
    <w:p w14:paraId="2F311E36">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5.5 监理单位对乙方的安全处罚应按照本罚则执行，并将罚款缴纳入甲方指挥部统一管理;</w:t>
      </w:r>
    </w:p>
    <w:p w14:paraId="4A2746EA">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5.6 以上处罚标准按发现情况单次计算，不同违章违规行为累加处罚。</w:t>
      </w:r>
    </w:p>
    <w:p w14:paraId="42D26E73">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5.7 凡违章违规行为均要受到处罚，在限期内整改完毕，拖延整改，拒不整改，甲方工程项指挥部及监理公司均有权直接下停工令，并在原处罚的基础上加倍进行处罚，直至清出现场；对于文明施工管理问题，甲方工程指挥部、监理公司有权调动其它单位人员，雇佣他人去完成，所发生的费用，由乙方支付。</w:t>
      </w:r>
    </w:p>
    <w:p w14:paraId="7416BEA1">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5.8 甲方保留对本细则的最终解释权。</w:t>
      </w:r>
    </w:p>
    <w:p w14:paraId="77F99CB9">
      <w:pPr>
        <w:bidi w:val="0"/>
        <w:rPr>
          <w:rFonts w:hint="eastAsia" w:ascii="宋体" w:hAnsi="宋体" w:eastAsia="宋体" w:cs="宋体"/>
          <w:color w:val="auto"/>
          <w:kern w:val="2"/>
          <w:szCs w:val="21"/>
          <w:highlight w:val="none"/>
        </w:rPr>
      </w:pPr>
      <w:bookmarkStart w:id="222" w:name="_Toc492989837"/>
      <w:bookmarkStart w:id="223" w:name="_Toc497300358"/>
      <w:bookmarkStart w:id="224" w:name="_Toc497325761"/>
      <w:r>
        <w:rPr>
          <w:rFonts w:hint="eastAsia" w:ascii="宋体" w:hAnsi="宋体" w:eastAsia="宋体" w:cs="宋体"/>
          <w:color w:val="auto"/>
          <w:kern w:val="2"/>
          <w:szCs w:val="21"/>
          <w:highlight w:val="none"/>
        </w:rPr>
        <w:br w:type="page"/>
      </w:r>
      <w:bookmarkStart w:id="225" w:name="_Toc131690840"/>
      <w:bookmarkStart w:id="226" w:name="_Toc6787"/>
      <w:r>
        <w:rPr>
          <w:rFonts w:hint="eastAsia" w:ascii="宋体" w:hAnsi="宋体" w:eastAsia="宋体" w:cs="宋体"/>
          <w:b/>
          <w:bCs/>
          <w:color w:val="auto"/>
          <w:kern w:val="2"/>
          <w:szCs w:val="21"/>
          <w:highlight w:val="none"/>
        </w:rPr>
        <w:t>二、事故处罚实施细则</w:t>
      </w:r>
      <w:bookmarkEnd w:id="225"/>
      <w:bookmarkEnd w:id="226"/>
    </w:p>
    <w:p w14:paraId="57ED5375">
      <w:pPr>
        <w:widowControl w:val="0"/>
        <w:autoSpaceDE w:val="0"/>
        <w:autoSpaceDN w:val="0"/>
        <w:adjustRightInd w:val="0"/>
        <w:snapToGrid/>
        <w:spacing w:line="360" w:lineRule="auto"/>
        <w:ind w:firstLine="420" w:firstLineChars="200"/>
        <w:jc w:val="center"/>
        <w:rPr>
          <w:rFonts w:hint="eastAsia" w:ascii="宋体" w:hAnsi="宋体" w:eastAsia="宋体" w:cs="宋体"/>
          <w:color w:val="auto"/>
          <w:kern w:val="2"/>
          <w:szCs w:val="21"/>
          <w:highlight w:val="none"/>
        </w:rPr>
      </w:pPr>
      <w:bookmarkStart w:id="227" w:name="_Toc44263359"/>
      <w:r>
        <w:rPr>
          <w:rFonts w:hint="eastAsia" w:ascii="宋体" w:hAnsi="宋体" w:eastAsia="宋体" w:cs="宋体"/>
          <w:color w:val="auto"/>
          <w:kern w:val="2"/>
          <w:szCs w:val="21"/>
          <w:highlight w:val="none"/>
        </w:rPr>
        <w:t>事故处罚实施细则</w:t>
      </w:r>
      <w:bookmarkEnd w:id="222"/>
      <w:bookmarkEnd w:id="223"/>
      <w:bookmarkEnd w:id="224"/>
      <w:bookmarkEnd w:id="227"/>
    </w:p>
    <w:p w14:paraId="4AFECF18">
      <w:pPr>
        <w:widowControl w:val="0"/>
        <w:overflowPunct w:val="0"/>
        <w:autoSpaceDE w:val="0"/>
        <w:autoSpaceDN w:val="0"/>
        <w:adjustRightInd w:val="0"/>
        <w:snapToGrid/>
        <w:spacing w:line="360" w:lineRule="auto"/>
        <w:ind w:right="-197" w:rightChars="-94"/>
        <w:jc w:val="left"/>
        <w:textAlignment w:val="baseline"/>
        <w:rPr>
          <w:rFonts w:hint="eastAsia" w:ascii="宋体" w:hAnsi="宋体" w:eastAsia="宋体" w:cs="宋体"/>
          <w:b/>
          <w:bCs/>
          <w:color w:val="auto"/>
          <w:kern w:val="2"/>
          <w:szCs w:val="21"/>
          <w:highlight w:val="none"/>
        </w:rPr>
      </w:pPr>
      <w:bookmarkStart w:id="228" w:name="_Toc497319749"/>
      <w:bookmarkStart w:id="229" w:name="_Toc497325762"/>
      <w:bookmarkStart w:id="230" w:name="_Toc44263360"/>
      <w:r>
        <w:rPr>
          <w:rFonts w:hint="eastAsia" w:ascii="宋体" w:hAnsi="宋体" w:eastAsia="宋体" w:cs="宋体"/>
          <w:b/>
          <w:bCs/>
          <w:color w:val="auto"/>
          <w:kern w:val="2"/>
          <w:szCs w:val="21"/>
          <w:highlight w:val="none"/>
        </w:rPr>
        <w:t>1. 范围</w:t>
      </w:r>
      <w:bookmarkEnd w:id="228"/>
      <w:bookmarkEnd w:id="229"/>
      <w:bookmarkEnd w:id="230"/>
    </w:p>
    <w:p w14:paraId="09B6D8E9">
      <w:pPr>
        <w:widowControl w:val="0"/>
        <w:autoSpaceDE w:val="0"/>
        <w:autoSpaceDN w:val="0"/>
        <w:adjustRightInd w:val="0"/>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1.1 本细则明确了甲方所有工程项目各类事故管理标准、管理内容、要求与方法。</w:t>
      </w:r>
    </w:p>
    <w:p w14:paraId="57B64A79">
      <w:pPr>
        <w:widowControl w:val="0"/>
        <w:autoSpaceDE w:val="0"/>
        <w:autoSpaceDN w:val="0"/>
        <w:adjustRightInd w:val="0"/>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1.2 本规定适用于甲方所有标段的工程项目。</w:t>
      </w:r>
    </w:p>
    <w:p w14:paraId="57D81F43">
      <w:pPr>
        <w:widowControl w:val="0"/>
        <w:overflowPunct w:val="0"/>
        <w:autoSpaceDE w:val="0"/>
        <w:autoSpaceDN w:val="0"/>
        <w:adjustRightInd w:val="0"/>
        <w:snapToGrid/>
        <w:spacing w:line="360" w:lineRule="auto"/>
        <w:ind w:right="-197" w:rightChars="-94"/>
        <w:jc w:val="left"/>
        <w:textAlignment w:val="baseline"/>
        <w:rPr>
          <w:rFonts w:hint="eastAsia" w:ascii="宋体" w:hAnsi="宋体" w:eastAsia="宋体" w:cs="宋体"/>
          <w:b/>
          <w:bCs/>
          <w:color w:val="auto"/>
          <w:kern w:val="2"/>
          <w:szCs w:val="21"/>
          <w:highlight w:val="none"/>
        </w:rPr>
      </w:pPr>
      <w:bookmarkStart w:id="231" w:name="_Toc44263361"/>
      <w:bookmarkStart w:id="232" w:name="_Toc497319750"/>
      <w:bookmarkStart w:id="233" w:name="_Toc497325763"/>
      <w:r>
        <w:rPr>
          <w:rFonts w:hint="eastAsia" w:ascii="宋体" w:hAnsi="宋体" w:eastAsia="宋体" w:cs="宋体"/>
          <w:b/>
          <w:bCs/>
          <w:color w:val="auto"/>
          <w:kern w:val="2"/>
          <w:szCs w:val="21"/>
          <w:highlight w:val="none"/>
        </w:rPr>
        <w:t>2. 职责</w:t>
      </w:r>
      <w:bookmarkEnd w:id="231"/>
      <w:bookmarkEnd w:id="232"/>
      <w:bookmarkEnd w:id="233"/>
    </w:p>
    <w:p w14:paraId="4FC1DB25">
      <w:pPr>
        <w:widowControl w:val="0"/>
        <w:autoSpaceDE w:val="0"/>
        <w:autoSpaceDN w:val="0"/>
        <w:adjustRightInd w:val="0"/>
        <w:snapToGrid/>
        <w:spacing w:line="360" w:lineRule="auto"/>
        <w:ind w:firstLine="420" w:firstLine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2.1 甲方工程相关部门、监理单位有关人员对事故单位按本细则标准执行处罚。处罚对象为乙方。</w:t>
      </w:r>
    </w:p>
    <w:p w14:paraId="4FF80974">
      <w:pPr>
        <w:widowControl w:val="0"/>
        <w:overflowPunct w:val="0"/>
        <w:autoSpaceDE w:val="0"/>
        <w:autoSpaceDN w:val="0"/>
        <w:adjustRightInd w:val="0"/>
        <w:snapToGrid/>
        <w:spacing w:line="360" w:lineRule="auto"/>
        <w:ind w:right="-197" w:rightChars="-94"/>
        <w:jc w:val="left"/>
        <w:textAlignment w:val="baseline"/>
        <w:rPr>
          <w:rFonts w:hint="eastAsia" w:ascii="宋体" w:hAnsi="宋体" w:eastAsia="宋体" w:cs="宋体"/>
          <w:b/>
          <w:bCs/>
          <w:color w:val="auto"/>
          <w:kern w:val="2"/>
          <w:szCs w:val="21"/>
          <w:highlight w:val="none"/>
        </w:rPr>
      </w:pPr>
      <w:bookmarkStart w:id="234" w:name="_Toc497319751"/>
      <w:bookmarkStart w:id="235" w:name="_Toc44263362"/>
      <w:bookmarkStart w:id="236" w:name="_Toc497325764"/>
      <w:r>
        <w:rPr>
          <w:rFonts w:hint="eastAsia" w:ascii="宋体" w:hAnsi="宋体" w:eastAsia="宋体" w:cs="宋体"/>
          <w:b/>
          <w:bCs/>
          <w:color w:val="auto"/>
          <w:kern w:val="2"/>
          <w:szCs w:val="21"/>
          <w:highlight w:val="none"/>
        </w:rPr>
        <w:t>3. 内容</w:t>
      </w:r>
      <w:bookmarkEnd w:id="234"/>
      <w:bookmarkEnd w:id="235"/>
      <w:bookmarkEnd w:id="236"/>
    </w:p>
    <w:p w14:paraId="51E2501A">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3.1 未遂事故（有险情，但未造成人员伤害、设备损害，含重物高处坠物。）</w:t>
      </w:r>
    </w:p>
    <w:p w14:paraId="62A741F4">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每次罚乙方三千元，通报批评。</w:t>
      </w:r>
    </w:p>
    <w:p w14:paraId="46D5C1CA">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3.2 记录事故（人员轻微伤害不构成轻伤，设备未造成永久性损坏，可以修复。）</w:t>
      </w:r>
    </w:p>
    <w:p w14:paraId="6BE02A3A">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每次罚乙方五千元，通报批评。</w:t>
      </w:r>
    </w:p>
    <w:p w14:paraId="159C5F41">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3.3 轻伤事故（国家有关规定鉴定）</w:t>
      </w:r>
    </w:p>
    <w:p w14:paraId="71ECFC41">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发生一人次轻伤事故，罚乙方一万元，通报批评。一次事故多人轻伤，按每人次五千元累计相加达三万元终止。</w:t>
      </w:r>
    </w:p>
    <w:p w14:paraId="2ABE57EA">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3.3 重伤事故</w:t>
      </w:r>
    </w:p>
    <w:p w14:paraId="1A07546A">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发生一人次重伤事故，最低罚乙方三万元，通报批评。</w:t>
      </w:r>
    </w:p>
    <w:p w14:paraId="6FF22DB2">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3.4 死亡事故</w:t>
      </w:r>
    </w:p>
    <w:p w14:paraId="4F70F5F9">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3.4.1 发生一人次死亡事故罚乙方十万元，通报批评，停工整顿。</w:t>
      </w:r>
    </w:p>
    <w:p w14:paraId="5CD35DE6">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3.5 机械设备人员重伤以上事故（按机械设备事故损失金额标准确认）最低罚款五万元，通报批评。</w:t>
      </w:r>
    </w:p>
    <w:p w14:paraId="67A20D49">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3.6 火灾事故（按有关火灾损失金额标准确定）最低罚款五万元,通报批评。</w:t>
      </w:r>
    </w:p>
    <w:p w14:paraId="45261903">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3.7人员重伤以上交通事故（以交通管理部门责任认定书为据）</w:t>
      </w:r>
    </w:p>
    <w:p w14:paraId="65DFB601">
      <w:pPr>
        <w:widowControl w:val="0"/>
        <w:overflowPunct w:val="0"/>
        <w:autoSpaceDE w:val="0"/>
        <w:autoSpaceDN w:val="0"/>
        <w:adjustRightInd w:val="0"/>
        <w:snapToGrid/>
        <w:spacing w:line="360" w:lineRule="auto"/>
        <w:ind w:firstLine="315" w:firstLineChars="15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最低罚款五万元，通报批评。</w:t>
      </w:r>
    </w:p>
    <w:p w14:paraId="644CB1EB">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3.8 发生射线职业卫生伤害事故，大范围中暑、食物中毒、建筑物坍塌，受考核的环境污染事故。罚款五万元，上报政府机关，停工整顿，触犯刑律的由公安机关处置。</w:t>
      </w:r>
    </w:p>
    <w:p w14:paraId="2BE91102">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3.9乙方轻伤负伤率超过3‰，处罚五万元。</w:t>
      </w:r>
    </w:p>
    <w:p w14:paraId="3C54D39D">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3.10 乙方故意瞒报、迟报、谎报发生的各类事故，处以发生事故类型罚款的2到5倍罚款，一切随之发生的法律责任由施工单位负责，并赔偿由此给甲方带来的一切损失。</w:t>
      </w:r>
    </w:p>
    <w:p w14:paraId="37671A1B">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3.11 在政府、行业及相关行政管理、执法机构的检查中由于施工单位原因、过错所产生的一切法律、经济处罚皆由乙方负责，并赔偿由此带给甲方的损失。</w:t>
      </w:r>
    </w:p>
    <w:p w14:paraId="163B5FC4">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3.12乙方人员偷盗物品（物品本身加上附加价值计算）除赔偿该物品外，并处以物品价值的20%—50%。当事人移交公安机关处理。</w:t>
      </w:r>
    </w:p>
    <w:p w14:paraId="04F8A08E">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3.13乙方丢失、损坏本公司委托施工单位保管的物品，除赔偿该物品外并承担由此造成的直接损失。</w:t>
      </w:r>
    </w:p>
    <w:p w14:paraId="46B85247">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3.14 由乙方及其人员原因造成群体性事件的，罚款5万元每次，乙方负责赔偿所造成的损失，当事人移交公安机关处理，甲方保留继续追究责任的权利。</w:t>
      </w:r>
    </w:p>
    <w:p w14:paraId="498AD0AC">
      <w:pPr>
        <w:widowControl w:val="0"/>
        <w:overflowPunct w:val="0"/>
        <w:autoSpaceDE w:val="0"/>
        <w:autoSpaceDN w:val="0"/>
        <w:adjustRightInd w:val="0"/>
        <w:snapToGrid/>
        <w:spacing w:line="360" w:lineRule="auto"/>
        <w:ind w:firstLine="420" w:firstLineChars="200"/>
        <w:jc w:val="both"/>
        <w:textAlignment w:val="baseline"/>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4. 甲方保留对本细则的最终解释权。</w:t>
      </w:r>
    </w:p>
    <w:p w14:paraId="1E4100C6">
      <w:pPr>
        <w:widowControl w:val="0"/>
        <w:adjustRightInd/>
        <w:snapToGrid/>
        <w:spacing w:line="360" w:lineRule="auto"/>
        <w:jc w:val="center"/>
        <w:rPr>
          <w:rFonts w:hint="eastAsia" w:ascii="宋体" w:hAnsi="宋体" w:eastAsia="宋体" w:cs="宋体"/>
          <w:color w:val="auto"/>
          <w:kern w:val="2"/>
          <w:szCs w:val="21"/>
          <w:highlight w:val="none"/>
        </w:rPr>
      </w:pPr>
    </w:p>
    <w:p w14:paraId="36B58EE1">
      <w:pPr>
        <w:widowControl w:val="0"/>
        <w:adjustRightInd/>
        <w:snapToGrid/>
        <w:spacing w:line="360" w:lineRule="auto"/>
        <w:jc w:val="center"/>
        <w:rPr>
          <w:rFonts w:hint="eastAsia" w:ascii="宋体" w:hAnsi="宋体" w:eastAsia="宋体" w:cs="宋体"/>
          <w:color w:val="auto"/>
          <w:kern w:val="2"/>
          <w:szCs w:val="21"/>
          <w:highlight w:val="none"/>
        </w:rPr>
      </w:pPr>
    </w:p>
    <w:p w14:paraId="22686063">
      <w:pPr>
        <w:widowControl w:val="0"/>
        <w:adjustRightInd/>
        <w:snapToGrid/>
        <w:spacing w:line="360" w:lineRule="auto"/>
        <w:jc w:val="center"/>
        <w:rPr>
          <w:rFonts w:hint="eastAsia" w:ascii="宋体" w:hAnsi="宋体" w:eastAsia="宋体" w:cs="宋体"/>
          <w:color w:val="auto"/>
          <w:kern w:val="2"/>
          <w:szCs w:val="21"/>
          <w:highlight w:val="none"/>
        </w:rPr>
      </w:pPr>
    </w:p>
    <w:p w14:paraId="073DE10B">
      <w:pPr>
        <w:widowControl w:val="0"/>
        <w:adjustRightInd/>
        <w:snapToGrid/>
        <w:spacing w:line="360" w:lineRule="auto"/>
        <w:jc w:val="center"/>
        <w:rPr>
          <w:rFonts w:hint="eastAsia" w:ascii="宋体" w:hAnsi="宋体" w:eastAsia="宋体" w:cs="宋体"/>
          <w:color w:val="auto"/>
          <w:kern w:val="2"/>
          <w:szCs w:val="21"/>
          <w:highlight w:val="none"/>
        </w:rPr>
      </w:pPr>
    </w:p>
    <w:p w14:paraId="0A08D424">
      <w:pPr>
        <w:widowControl w:val="0"/>
        <w:adjustRightInd/>
        <w:snapToGrid/>
        <w:spacing w:line="360" w:lineRule="auto"/>
        <w:jc w:val="center"/>
        <w:rPr>
          <w:rFonts w:hint="eastAsia" w:ascii="宋体" w:hAnsi="宋体" w:eastAsia="宋体" w:cs="宋体"/>
          <w:color w:val="auto"/>
          <w:kern w:val="2"/>
          <w:szCs w:val="21"/>
          <w:highlight w:val="none"/>
        </w:rPr>
      </w:pPr>
    </w:p>
    <w:p w14:paraId="1DD7201D">
      <w:pPr>
        <w:widowControl w:val="0"/>
        <w:adjustRightInd/>
        <w:snapToGrid/>
        <w:spacing w:line="360" w:lineRule="auto"/>
        <w:jc w:val="center"/>
        <w:rPr>
          <w:rFonts w:hint="eastAsia" w:ascii="宋体" w:hAnsi="宋体" w:eastAsia="宋体" w:cs="宋体"/>
          <w:color w:val="auto"/>
          <w:kern w:val="2"/>
          <w:szCs w:val="21"/>
          <w:highlight w:val="none"/>
        </w:rPr>
      </w:pPr>
    </w:p>
    <w:p w14:paraId="7FE84ED2">
      <w:pPr>
        <w:widowControl w:val="0"/>
        <w:adjustRightInd/>
        <w:snapToGrid/>
        <w:spacing w:line="360" w:lineRule="auto"/>
        <w:jc w:val="center"/>
        <w:rPr>
          <w:rFonts w:hint="eastAsia" w:ascii="宋体" w:hAnsi="宋体" w:eastAsia="宋体" w:cs="宋体"/>
          <w:color w:val="auto"/>
          <w:kern w:val="2"/>
          <w:szCs w:val="21"/>
          <w:highlight w:val="none"/>
        </w:rPr>
      </w:pPr>
    </w:p>
    <w:p w14:paraId="28309A9D">
      <w:pPr>
        <w:widowControl w:val="0"/>
        <w:adjustRightInd/>
        <w:snapToGrid/>
        <w:spacing w:line="360" w:lineRule="auto"/>
        <w:jc w:val="center"/>
        <w:rPr>
          <w:rFonts w:hint="eastAsia" w:ascii="宋体" w:hAnsi="宋体" w:eastAsia="宋体" w:cs="宋体"/>
          <w:color w:val="auto"/>
          <w:kern w:val="2"/>
          <w:szCs w:val="21"/>
          <w:highlight w:val="none"/>
        </w:rPr>
      </w:pPr>
    </w:p>
    <w:p w14:paraId="2C1863EC">
      <w:pPr>
        <w:widowControl w:val="0"/>
        <w:adjustRightInd/>
        <w:snapToGrid/>
        <w:spacing w:line="360" w:lineRule="auto"/>
        <w:jc w:val="center"/>
        <w:rPr>
          <w:rFonts w:hint="eastAsia" w:ascii="宋体" w:hAnsi="宋体" w:eastAsia="宋体" w:cs="宋体"/>
          <w:color w:val="auto"/>
          <w:kern w:val="2"/>
          <w:szCs w:val="21"/>
          <w:highlight w:val="none"/>
        </w:rPr>
      </w:pPr>
    </w:p>
    <w:p w14:paraId="4A36FFE8">
      <w:pPr>
        <w:widowControl w:val="0"/>
        <w:adjustRightInd/>
        <w:snapToGrid/>
        <w:spacing w:line="360" w:lineRule="auto"/>
        <w:jc w:val="center"/>
        <w:rPr>
          <w:rFonts w:hint="eastAsia" w:ascii="宋体" w:hAnsi="宋体" w:eastAsia="宋体" w:cs="宋体"/>
          <w:color w:val="auto"/>
          <w:kern w:val="2"/>
          <w:szCs w:val="21"/>
          <w:highlight w:val="none"/>
        </w:rPr>
      </w:pPr>
    </w:p>
    <w:p w14:paraId="17BAEEA0">
      <w:pPr>
        <w:widowControl w:val="0"/>
        <w:adjustRightInd/>
        <w:snapToGrid/>
        <w:spacing w:line="360" w:lineRule="auto"/>
        <w:jc w:val="center"/>
        <w:rPr>
          <w:rFonts w:hint="eastAsia" w:ascii="宋体" w:hAnsi="宋体" w:eastAsia="宋体" w:cs="宋体"/>
          <w:color w:val="auto"/>
          <w:kern w:val="2"/>
          <w:szCs w:val="21"/>
          <w:highlight w:val="none"/>
        </w:rPr>
      </w:pPr>
    </w:p>
    <w:p w14:paraId="7A01D09E">
      <w:pPr>
        <w:widowControl w:val="0"/>
        <w:adjustRightInd/>
        <w:snapToGrid/>
        <w:spacing w:line="360" w:lineRule="auto"/>
        <w:jc w:val="center"/>
        <w:rPr>
          <w:rFonts w:hint="eastAsia" w:ascii="宋体" w:hAnsi="宋体" w:eastAsia="宋体" w:cs="宋体"/>
          <w:color w:val="auto"/>
          <w:kern w:val="2"/>
          <w:szCs w:val="21"/>
          <w:highlight w:val="none"/>
        </w:rPr>
      </w:pPr>
    </w:p>
    <w:p w14:paraId="495D1E55">
      <w:pPr>
        <w:widowControl w:val="0"/>
        <w:adjustRightInd/>
        <w:snapToGrid/>
        <w:spacing w:line="360" w:lineRule="auto"/>
        <w:jc w:val="center"/>
        <w:rPr>
          <w:rFonts w:hint="eastAsia" w:ascii="宋体" w:hAnsi="宋体" w:eastAsia="宋体" w:cs="宋体"/>
          <w:color w:val="auto"/>
          <w:kern w:val="2"/>
          <w:szCs w:val="21"/>
          <w:highlight w:val="none"/>
        </w:rPr>
      </w:pPr>
    </w:p>
    <w:p w14:paraId="360A00C3">
      <w:pPr>
        <w:bidi w:val="0"/>
        <w:rPr>
          <w:rFonts w:hint="eastAsia" w:ascii="宋体" w:hAnsi="宋体" w:eastAsia="宋体" w:cs="宋体"/>
          <w:color w:val="auto"/>
          <w:kern w:val="2"/>
          <w:szCs w:val="21"/>
          <w:highlight w:val="none"/>
        </w:rPr>
      </w:pPr>
      <w:bookmarkStart w:id="237" w:name="_Toc131690841"/>
      <w:bookmarkStart w:id="238" w:name="_Toc8489"/>
      <w:r>
        <w:rPr>
          <w:rFonts w:hint="eastAsia" w:ascii="宋体" w:hAnsi="宋体" w:eastAsia="宋体" w:cs="宋体"/>
          <w:b/>
          <w:bCs/>
          <w:color w:val="auto"/>
          <w:highlight w:val="none"/>
        </w:rPr>
        <w:t>附件二：阳光合作协议</w:t>
      </w:r>
      <w:bookmarkEnd w:id="237"/>
      <w:bookmarkEnd w:id="238"/>
    </w:p>
    <w:p w14:paraId="3A0A7521">
      <w:pPr>
        <w:widowControl w:val="0"/>
        <w:adjustRightInd/>
        <w:snapToGrid/>
        <w:spacing w:line="360" w:lineRule="auto"/>
        <w:jc w:val="both"/>
        <w:rPr>
          <w:rFonts w:hint="eastAsia" w:ascii="宋体" w:hAnsi="宋体" w:eastAsia="宋体" w:cs="宋体"/>
          <w:bCs/>
          <w:color w:val="auto"/>
          <w:kern w:val="2"/>
          <w:szCs w:val="21"/>
          <w:highlight w:val="none"/>
        </w:rPr>
      </w:pPr>
    </w:p>
    <w:p w14:paraId="231D9744">
      <w:pPr>
        <w:widowControl w:val="0"/>
        <w:adjustRightInd/>
        <w:snapToGrid/>
        <w:spacing w:line="360" w:lineRule="auto"/>
        <w:ind w:firstLine="562" w:firstLineChars="200"/>
        <w:jc w:val="center"/>
        <w:rPr>
          <w:rFonts w:hint="eastAsia" w:ascii="宋体" w:hAnsi="宋体" w:eastAsia="宋体" w:cs="宋体"/>
          <w:b/>
          <w:color w:val="auto"/>
          <w:kern w:val="2"/>
          <w:sz w:val="28"/>
          <w:szCs w:val="28"/>
          <w:highlight w:val="none"/>
        </w:rPr>
      </w:pPr>
      <w:r>
        <w:rPr>
          <w:rFonts w:hint="eastAsia" w:ascii="宋体" w:hAnsi="宋体" w:eastAsia="宋体" w:cs="宋体"/>
          <w:b/>
          <w:color w:val="auto"/>
          <w:kern w:val="2"/>
          <w:sz w:val="28"/>
          <w:szCs w:val="28"/>
          <w:highlight w:val="none"/>
        </w:rPr>
        <w:t>阳光合作协议</w:t>
      </w:r>
    </w:p>
    <w:p w14:paraId="2A700C26">
      <w:pPr>
        <w:widowControl w:val="0"/>
        <w:adjustRightInd/>
        <w:snapToGrid/>
        <w:spacing w:line="360" w:lineRule="auto"/>
        <w:ind w:firstLine="422" w:firstLineChars="200"/>
        <w:jc w:val="center"/>
        <w:rPr>
          <w:rFonts w:hint="eastAsia" w:ascii="宋体" w:hAnsi="宋体" w:eastAsia="宋体" w:cs="宋体"/>
          <w:b/>
          <w:color w:val="auto"/>
          <w:kern w:val="2"/>
          <w:szCs w:val="21"/>
          <w:highlight w:val="none"/>
        </w:rPr>
      </w:pPr>
    </w:p>
    <w:p w14:paraId="3027EA90">
      <w:pPr>
        <w:widowControl w:val="0"/>
        <w:adjustRightInd/>
        <w:snapToGrid/>
        <w:spacing w:line="360" w:lineRule="auto"/>
        <w:ind w:firstLine="420" w:firstLineChars="200"/>
        <w:contextualSpacing/>
        <w:jc w:val="both"/>
        <w:rPr>
          <w:rFonts w:hint="eastAsia" w:ascii="宋体" w:hAnsi="宋体" w:eastAsia="宋体" w:cs="宋体"/>
          <w:color w:val="auto"/>
          <w:kern w:val="2"/>
          <w:szCs w:val="21"/>
          <w:highlight w:val="none"/>
          <w:u w:val="single"/>
        </w:rPr>
      </w:pPr>
      <w:r>
        <w:rPr>
          <w:rFonts w:hint="eastAsia" w:ascii="宋体" w:hAnsi="宋体" w:eastAsia="宋体" w:cs="宋体"/>
          <w:color w:val="auto"/>
          <w:kern w:val="2"/>
          <w:szCs w:val="21"/>
          <w:highlight w:val="none"/>
        </w:rPr>
        <w:t>甲方：</w:t>
      </w:r>
      <w:r>
        <w:rPr>
          <w:rFonts w:hint="eastAsia" w:ascii="宋体" w:hAnsi="宋体" w:eastAsia="宋体" w:cs="宋体"/>
          <w:color w:val="auto"/>
          <w:kern w:val="2"/>
          <w:szCs w:val="21"/>
          <w:highlight w:val="none"/>
          <w:u w:val="single"/>
        </w:rPr>
        <w:t xml:space="preserve">                                      </w:t>
      </w:r>
    </w:p>
    <w:p w14:paraId="6C165B55">
      <w:pPr>
        <w:widowControl w:val="0"/>
        <w:adjustRightInd/>
        <w:snapToGrid/>
        <w:spacing w:line="360" w:lineRule="auto"/>
        <w:jc w:val="left"/>
        <w:rPr>
          <w:rFonts w:hint="eastAsia" w:ascii="宋体" w:hAnsi="宋体" w:eastAsia="宋体" w:cs="宋体"/>
          <w:color w:val="auto"/>
          <w:kern w:val="0"/>
          <w:szCs w:val="21"/>
          <w:highlight w:val="none"/>
        </w:rPr>
      </w:pPr>
    </w:p>
    <w:p w14:paraId="1181DA76">
      <w:pPr>
        <w:widowControl w:val="0"/>
        <w:adjustRightInd/>
        <w:snapToGrid/>
        <w:spacing w:line="360" w:lineRule="auto"/>
        <w:ind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乙方：</w:t>
      </w:r>
      <w:r>
        <w:rPr>
          <w:rFonts w:hint="eastAsia" w:ascii="宋体" w:hAnsi="宋体" w:eastAsia="宋体" w:cs="宋体"/>
          <w:color w:val="auto"/>
          <w:kern w:val="2"/>
          <w:szCs w:val="21"/>
          <w:highlight w:val="none"/>
          <w:u w:val="single"/>
        </w:rPr>
        <w:t xml:space="preserve">                                      </w:t>
      </w:r>
      <w:r>
        <w:rPr>
          <w:rFonts w:hint="eastAsia" w:ascii="宋体" w:hAnsi="宋体" w:eastAsia="宋体" w:cs="宋体"/>
          <w:color w:val="auto"/>
          <w:kern w:val="2"/>
          <w:szCs w:val="21"/>
          <w:highlight w:val="none"/>
        </w:rPr>
        <w:t xml:space="preserve"> </w:t>
      </w:r>
    </w:p>
    <w:p w14:paraId="1D8B225E">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06D8C2A0">
      <w:pPr>
        <w:widowControl w:val="0"/>
        <w:adjustRightInd/>
        <w:snapToGrid/>
        <w:spacing w:line="360" w:lineRule="auto"/>
        <w:ind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甲乙双方于</w:t>
      </w:r>
      <w:r>
        <w:rPr>
          <w:rFonts w:hint="eastAsia" w:ascii="宋体" w:hAnsi="宋体" w:eastAsia="宋体" w:cs="宋体"/>
          <w:color w:val="auto"/>
          <w:kern w:val="2"/>
          <w:szCs w:val="21"/>
          <w:highlight w:val="none"/>
          <w:u w:val="single"/>
        </w:rPr>
        <w:t xml:space="preserve">      </w:t>
      </w:r>
      <w:r>
        <w:rPr>
          <w:rFonts w:hint="eastAsia" w:ascii="宋体" w:hAnsi="宋体" w:eastAsia="宋体" w:cs="宋体"/>
          <w:color w:val="auto"/>
          <w:kern w:val="2"/>
          <w:szCs w:val="21"/>
          <w:highlight w:val="none"/>
        </w:rPr>
        <w:t>年</w:t>
      </w:r>
      <w:r>
        <w:rPr>
          <w:rFonts w:hint="eastAsia" w:ascii="宋体" w:hAnsi="宋体" w:eastAsia="宋体" w:cs="宋体"/>
          <w:color w:val="auto"/>
          <w:kern w:val="2"/>
          <w:szCs w:val="21"/>
          <w:highlight w:val="none"/>
          <w:u w:val="single"/>
        </w:rPr>
        <w:t xml:space="preserve">      </w:t>
      </w:r>
      <w:r>
        <w:rPr>
          <w:rFonts w:hint="eastAsia" w:ascii="宋体" w:hAnsi="宋体" w:eastAsia="宋体" w:cs="宋体"/>
          <w:color w:val="auto"/>
          <w:kern w:val="2"/>
          <w:szCs w:val="21"/>
          <w:highlight w:val="none"/>
        </w:rPr>
        <w:t>月</w:t>
      </w:r>
      <w:r>
        <w:rPr>
          <w:rFonts w:hint="eastAsia" w:ascii="宋体" w:hAnsi="宋体" w:eastAsia="宋体" w:cs="宋体"/>
          <w:color w:val="auto"/>
          <w:kern w:val="2"/>
          <w:szCs w:val="21"/>
          <w:highlight w:val="none"/>
          <w:u w:val="single"/>
        </w:rPr>
        <w:t xml:space="preserve">      </w:t>
      </w:r>
      <w:r>
        <w:rPr>
          <w:rFonts w:hint="eastAsia" w:ascii="宋体" w:hAnsi="宋体" w:eastAsia="宋体" w:cs="宋体"/>
          <w:color w:val="auto"/>
          <w:kern w:val="2"/>
          <w:szCs w:val="21"/>
          <w:highlight w:val="none"/>
        </w:rPr>
        <w:t>日签署了《……合同》（以下简称原合同），为加强双方阳光合作，保证职员职业安全，甲乙双方经协商签订本协议并作为双方共同遵守的阳光合作行为准则。</w:t>
      </w:r>
    </w:p>
    <w:p w14:paraId="532B46A1">
      <w:pPr>
        <w:widowControl w:val="0"/>
        <w:adjustRightInd/>
        <w:snapToGrid/>
        <w:spacing w:line="360" w:lineRule="auto"/>
        <w:ind w:left="420" w:leftChars="200"/>
        <w:contextualSpacing/>
        <w:jc w:val="both"/>
        <w:rPr>
          <w:rFonts w:hint="eastAsia" w:ascii="宋体" w:hAnsi="宋体" w:eastAsia="宋体" w:cs="宋体"/>
          <w:b/>
          <w:color w:val="auto"/>
          <w:kern w:val="2"/>
          <w:szCs w:val="21"/>
          <w:highlight w:val="none"/>
        </w:rPr>
      </w:pPr>
      <w:r>
        <w:rPr>
          <w:rFonts w:hint="eastAsia" w:ascii="宋体" w:hAnsi="宋体" w:eastAsia="宋体" w:cs="宋体"/>
          <w:b/>
          <w:color w:val="auto"/>
          <w:kern w:val="2"/>
          <w:szCs w:val="21"/>
          <w:highlight w:val="none"/>
        </w:rPr>
        <w:t>一、甲方责任</w:t>
      </w:r>
    </w:p>
    <w:p w14:paraId="57D68333">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1.甲方有责任向乙方介绍本单位有关采购管理通用原则和本协议的规定。</w:t>
      </w:r>
    </w:p>
    <w:p w14:paraId="12A03765">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2.甲方有责任对本单位相关人员进行阳光合作教育。</w:t>
      </w:r>
    </w:p>
    <w:p w14:paraId="55EE7209">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27F29FD5">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4.甲方人员如违反阳光合作管理制度及本协议规定，甲方视情节轻重、影响大小给予行政及经济处罚。</w:t>
      </w:r>
    </w:p>
    <w:p w14:paraId="3B8A6377">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5．对于乙方举报甲方人员违反阳光合作规定的情况，甲方应及时进行调查，根据调查情况进行处理，并将调查结果向乙方反馈。</w:t>
      </w:r>
    </w:p>
    <w:p w14:paraId="69ECE263">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6.接受举报的一方应为举报方保密，不得对举报方进行报复，对举报属实和严格遵守《阳光合作协议》的合作方，在同等条件下给予后续合作的优先权。</w:t>
      </w:r>
    </w:p>
    <w:p w14:paraId="338F0324">
      <w:pPr>
        <w:widowControl w:val="0"/>
        <w:adjustRightInd/>
        <w:snapToGrid/>
        <w:spacing w:line="360" w:lineRule="auto"/>
        <w:ind w:left="420" w:leftChars="200"/>
        <w:contextualSpacing/>
        <w:jc w:val="both"/>
        <w:rPr>
          <w:rFonts w:hint="eastAsia" w:ascii="宋体" w:hAnsi="宋体" w:eastAsia="宋体" w:cs="宋体"/>
          <w:b/>
          <w:color w:val="auto"/>
          <w:kern w:val="2"/>
          <w:szCs w:val="21"/>
          <w:highlight w:val="none"/>
        </w:rPr>
      </w:pPr>
      <w:r>
        <w:rPr>
          <w:rFonts w:hint="eastAsia" w:ascii="宋体" w:hAnsi="宋体" w:eastAsia="宋体" w:cs="宋体"/>
          <w:b/>
          <w:color w:val="auto"/>
          <w:kern w:val="2"/>
          <w:szCs w:val="21"/>
          <w:highlight w:val="none"/>
        </w:rPr>
        <w:t>二、乙方责任</w:t>
      </w:r>
    </w:p>
    <w:p w14:paraId="083EE5F7">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1.乙方应保证乙方人员了解甲方有关采购管理通用原则和及本协议的规定，并遵照执行。</w:t>
      </w:r>
    </w:p>
    <w:p w14:paraId="1444AA9D">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2.乙方不得以任何形式给予甲方人员回扣、赠送实物、现金、有价证券、礼券等有价物品或提供旅游等其他可能影响职务行为公正履行的活动（以下统称“财物”）。</w:t>
      </w:r>
    </w:p>
    <w:p w14:paraId="48BEB239">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3.乙方有责任接受甲方对乙方在合作期间阳光合作管理执行情况的监督，并对甲方相关调查工作主动配合。</w:t>
      </w:r>
    </w:p>
    <w:p w14:paraId="7E856AE6">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4.乙方有义务就甲方人员任何形式的索取或收受财物行为及时向甲方（直接联系人为东莞实业投资控股集团有限公司</w:t>
      </w:r>
      <w:r>
        <w:rPr>
          <w:rFonts w:hint="eastAsia" w:ascii="宋体" w:hAnsi="宋体" w:cs="宋体"/>
          <w:color w:val="auto"/>
          <w:kern w:val="2"/>
          <w:szCs w:val="21"/>
          <w:highlight w:val="none"/>
          <w:lang w:eastAsia="zh-CN"/>
        </w:rPr>
        <w:t>风控法务部</w:t>
      </w:r>
      <w:r>
        <w:rPr>
          <w:rFonts w:hint="eastAsia" w:ascii="宋体" w:hAnsi="宋体" w:eastAsia="宋体" w:cs="宋体"/>
          <w:color w:val="auto"/>
          <w:kern w:val="2"/>
          <w:szCs w:val="21"/>
          <w:highlight w:val="none"/>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w:t>
      </w:r>
      <w:r>
        <w:rPr>
          <w:rFonts w:hint="eastAsia" w:ascii="宋体" w:hAnsi="宋体" w:eastAsia="宋体" w:cs="宋体"/>
          <w:color w:val="auto"/>
          <w:kern w:val="2"/>
          <w:szCs w:val="21"/>
          <w:highlight w:val="none"/>
          <w:lang w:eastAsia="zh-CN"/>
        </w:rPr>
        <w:t>投标人</w:t>
      </w:r>
      <w:r>
        <w:rPr>
          <w:rFonts w:hint="eastAsia" w:ascii="宋体" w:hAnsi="宋体" w:eastAsia="宋体" w:cs="宋体"/>
          <w:color w:val="auto"/>
          <w:kern w:val="2"/>
          <w:szCs w:val="21"/>
          <w:highlight w:val="none"/>
        </w:rPr>
        <w:t>。</w:t>
      </w:r>
    </w:p>
    <w:p w14:paraId="3F917E47">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5．甲方接受乙方实名或匿名举报，保证为举报者的信息保密，常设举报部门及电话： </w:t>
      </w:r>
    </w:p>
    <w:p w14:paraId="1AD7B501">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rPr>
        <w:t>举报受理部门：东莞实业投资控股集团有限公司</w:t>
      </w:r>
      <w:r>
        <w:rPr>
          <w:rFonts w:hint="eastAsia" w:ascii="宋体" w:hAnsi="宋体" w:cs="宋体"/>
          <w:color w:val="auto"/>
          <w:kern w:val="2"/>
          <w:szCs w:val="21"/>
          <w:highlight w:val="none"/>
          <w:lang w:eastAsia="zh-CN"/>
        </w:rPr>
        <w:t>风控法务部</w:t>
      </w:r>
    </w:p>
    <w:p w14:paraId="714EDC97">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东实集团举报邮箱：dgsyxf@163.com</w:t>
      </w:r>
    </w:p>
    <w:p w14:paraId="54DB7FD4">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东实集团举报电话：0769-28820703（周一至周五9:00-12:00和14:00-18:00）</w:t>
      </w:r>
    </w:p>
    <w:p w14:paraId="4F4D1CAE">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邮寄地址：东莞市东城区八一路1号机关二号大院9号楼，东莞实业投资控股集团有限公司</w:t>
      </w:r>
      <w:r>
        <w:rPr>
          <w:rFonts w:hint="eastAsia" w:ascii="宋体" w:hAnsi="宋体" w:cs="宋体"/>
          <w:color w:val="auto"/>
          <w:kern w:val="2"/>
          <w:szCs w:val="21"/>
          <w:highlight w:val="none"/>
          <w:lang w:eastAsia="zh-CN"/>
        </w:rPr>
        <w:t>风控法务部</w:t>
      </w:r>
      <w:r>
        <w:rPr>
          <w:rFonts w:hint="eastAsia" w:ascii="宋体" w:hAnsi="宋体" w:eastAsia="宋体" w:cs="宋体"/>
          <w:color w:val="auto"/>
          <w:kern w:val="2"/>
          <w:szCs w:val="21"/>
          <w:highlight w:val="none"/>
        </w:rPr>
        <w:t>收，邮编523000。</w:t>
      </w:r>
    </w:p>
    <w:p w14:paraId="149047BF">
      <w:pPr>
        <w:widowControl w:val="0"/>
        <w:adjustRightInd/>
        <w:snapToGrid/>
        <w:spacing w:line="360" w:lineRule="auto"/>
        <w:ind w:left="420" w:leftChars="200"/>
        <w:contextualSpacing/>
        <w:jc w:val="both"/>
        <w:rPr>
          <w:rFonts w:hint="eastAsia" w:ascii="宋体" w:hAnsi="宋体" w:eastAsia="宋体" w:cs="宋体"/>
          <w:b/>
          <w:color w:val="auto"/>
          <w:kern w:val="2"/>
          <w:szCs w:val="21"/>
          <w:highlight w:val="none"/>
        </w:rPr>
      </w:pPr>
      <w:r>
        <w:rPr>
          <w:rFonts w:hint="eastAsia" w:ascii="宋体" w:hAnsi="宋体" w:eastAsia="宋体" w:cs="宋体"/>
          <w:b/>
          <w:color w:val="auto"/>
          <w:kern w:val="2"/>
          <w:szCs w:val="21"/>
          <w:highlight w:val="none"/>
        </w:rPr>
        <w:t>三、其他</w:t>
      </w:r>
    </w:p>
    <w:p w14:paraId="4F7C5216">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1.本协议是原合同的补充协议，与原合同有同等法律效力。</w:t>
      </w:r>
    </w:p>
    <w:p w14:paraId="56A40B96">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2.本协议一式四份，甲方执贰份，乙方执贰份,具有同等法律效力。</w:t>
      </w:r>
    </w:p>
    <w:p w14:paraId="7B14B960">
      <w:pPr>
        <w:widowControl w:val="0"/>
        <w:adjustRightInd/>
        <w:snapToGrid/>
        <w:spacing w:line="360" w:lineRule="auto"/>
        <w:ind w:left="105" w:leftChars="50"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3.本协议经双方签署后生效。</w:t>
      </w:r>
    </w:p>
    <w:p w14:paraId="087343C5">
      <w:pP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br w:type="page"/>
      </w:r>
    </w:p>
    <w:p w14:paraId="0DE7B79C">
      <w:pPr>
        <w:pStyle w:val="10"/>
        <w:rPr>
          <w:rFonts w:hint="eastAsia" w:ascii="宋体" w:hAnsi="宋体" w:eastAsia="宋体" w:cs="宋体"/>
          <w:color w:val="auto"/>
          <w:highlight w:val="none"/>
        </w:rPr>
      </w:pPr>
    </w:p>
    <w:p w14:paraId="07B43C1C">
      <w:pPr>
        <w:widowControl w:val="0"/>
        <w:adjustRightInd/>
        <w:snapToGrid/>
        <w:spacing w:line="360" w:lineRule="auto"/>
        <w:ind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甲方（盖章）：                      乙方（盖章）： </w:t>
      </w:r>
    </w:p>
    <w:p w14:paraId="1B68BF8F">
      <w:pPr>
        <w:widowControl w:val="0"/>
        <w:adjustRightInd/>
        <w:snapToGrid/>
        <w:spacing w:line="360" w:lineRule="auto"/>
        <w:ind w:firstLine="420" w:firstLineChars="200"/>
        <w:contextualSpacing/>
        <w:jc w:val="both"/>
        <w:rPr>
          <w:rFonts w:hint="eastAsia" w:ascii="宋体" w:hAnsi="宋体" w:eastAsia="宋体" w:cs="宋体"/>
          <w:color w:val="auto"/>
          <w:kern w:val="2"/>
          <w:szCs w:val="21"/>
          <w:highlight w:val="none"/>
        </w:rPr>
      </w:pPr>
    </w:p>
    <w:p w14:paraId="68D83BF5">
      <w:pPr>
        <w:widowControl w:val="0"/>
        <w:adjustRightInd/>
        <w:snapToGrid/>
        <w:spacing w:line="360" w:lineRule="auto"/>
        <w:ind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法定代表人（授权代表）：</w:t>
      </w:r>
      <w:r>
        <w:rPr>
          <w:rFonts w:hint="eastAsia" w:ascii="宋体" w:hAnsi="宋体" w:eastAsia="宋体" w:cs="宋体"/>
          <w:color w:val="auto"/>
          <w:kern w:val="2"/>
          <w:szCs w:val="21"/>
          <w:highlight w:val="none"/>
        </w:rPr>
        <w:tab/>
      </w:r>
      <w:r>
        <w:rPr>
          <w:rFonts w:hint="eastAsia" w:ascii="宋体" w:hAnsi="宋体" w:eastAsia="宋体" w:cs="宋体"/>
          <w:color w:val="auto"/>
          <w:kern w:val="2"/>
          <w:szCs w:val="21"/>
          <w:highlight w:val="none"/>
        </w:rPr>
        <w:tab/>
      </w:r>
      <w:r>
        <w:rPr>
          <w:rFonts w:hint="eastAsia" w:ascii="宋体" w:hAnsi="宋体" w:eastAsia="宋体" w:cs="宋体"/>
          <w:color w:val="auto"/>
          <w:kern w:val="2"/>
          <w:szCs w:val="21"/>
          <w:highlight w:val="none"/>
        </w:rPr>
        <w:t>法定代表人（授权代表）：</w:t>
      </w:r>
    </w:p>
    <w:p w14:paraId="1998B118">
      <w:pPr>
        <w:widowControl w:val="0"/>
        <w:adjustRightInd/>
        <w:snapToGrid/>
        <w:spacing w:line="360" w:lineRule="auto"/>
        <w:ind w:firstLine="420" w:firstLineChars="200"/>
        <w:contextualSpacing/>
        <w:jc w:val="both"/>
        <w:rPr>
          <w:rFonts w:hint="eastAsia" w:ascii="宋体" w:hAnsi="宋体" w:eastAsia="宋体" w:cs="宋体"/>
          <w:color w:val="auto"/>
          <w:kern w:val="2"/>
          <w:szCs w:val="21"/>
          <w:highlight w:val="none"/>
        </w:rPr>
      </w:pPr>
    </w:p>
    <w:p w14:paraId="72707ABF">
      <w:pPr>
        <w:widowControl w:val="0"/>
        <w:adjustRightInd/>
        <w:snapToGrid/>
        <w:spacing w:line="360" w:lineRule="auto"/>
        <w:ind w:firstLine="420" w:firstLineChars="200"/>
        <w:contextualSpacing/>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签约日期：   年   月   日</w:t>
      </w:r>
      <w:bookmarkStart w:id="239" w:name="现场签证通知单"/>
      <w:bookmarkEnd w:id="239"/>
      <w:bookmarkStart w:id="240" w:name="设计变更通知单"/>
      <w:bookmarkEnd w:id="240"/>
      <w:r>
        <w:rPr>
          <w:rFonts w:hint="eastAsia" w:ascii="宋体" w:hAnsi="宋体" w:eastAsia="宋体" w:cs="宋体"/>
          <w:color w:val="auto"/>
          <w:kern w:val="2"/>
          <w:szCs w:val="21"/>
          <w:highlight w:val="none"/>
        </w:rPr>
        <w:tab/>
      </w:r>
      <w:r>
        <w:rPr>
          <w:rFonts w:hint="eastAsia" w:ascii="宋体" w:hAnsi="宋体" w:eastAsia="宋体" w:cs="宋体"/>
          <w:color w:val="auto"/>
          <w:kern w:val="2"/>
          <w:szCs w:val="21"/>
          <w:highlight w:val="none"/>
        </w:rPr>
        <w:t xml:space="preserve">       签约日期：   年   月   日</w:t>
      </w:r>
    </w:p>
    <w:p w14:paraId="386A7F7E">
      <w:pPr>
        <w:widowControl w:val="0"/>
        <w:adjustRightInd/>
        <w:snapToGrid/>
        <w:spacing w:line="360" w:lineRule="auto"/>
        <w:jc w:val="both"/>
        <w:rPr>
          <w:rFonts w:hint="eastAsia" w:ascii="宋体" w:hAnsi="宋体" w:eastAsia="宋体" w:cs="宋体"/>
          <w:color w:val="auto"/>
          <w:kern w:val="2"/>
          <w:szCs w:val="21"/>
          <w:highlight w:val="none"/>
        </w:rPr>
      </w:pPr>
    </w:p>
    <w:p w14:paraId="6C9EAF0F">
      <w:pPr>
        <w:widowControl w:val="0"/>
        <w:adjustRightInd/>
        <w:snapToGrid/>
        <w:spacing w:line="360" w:lineRule="auto"/>
        <w:jc w:val="both"/>
        <w:rPr>
          <w:rFonts w:hint="eastAsia" w:ascii="宋体" w:hAnsi="宋体" w:eastAsia="宋体" w:cs="宋体"/>
          <w:color w:val="auto"/>
          <w:kern w:val="2"/>
          <w:szCs w:val="21"/>
          <w:highlight w:val="none"/>
        </w:rPr>
      </w:pPr>
    </w:p>
    <w:p w14:paraId="68531FBA">
      <w:pPr>
        <w:bidi w:val="0"/>
        <w:rPr>
          <w:rFonts w:hint="eastAsia" w:ascii="宋体" w:hAnsi="宋体" w:eastAsia="宋体" w:cs="宋体"/>
          <w:color w:val="auto"/>
          <w:kern w:val="2"/>
          <w:szCs w:val="21"/>
          <w:highlight w:val="none"/>
          <w:lang w:eastAsia="zh-CN"/>
        </w:rPr>
      </w:pPr>
      <w:r>
        <w:rPr>
          <w:rFonts w:hint="eastAsia" w:ascii="宋体" w:hAnsi="宋体" w:eastAsia="宋体" w:cs="宋体"/>
          <w:color w:val="auto"/>
          <w:kern w:val="2"/>
          <w:szCs w:val="21"/>
          <w:highlight w:val="none"/>
        </w:rPr>
        <w:br w:type="page"/>
      </w:r>
      <w:bookmarkStart w:id="241" w:name="_Toc131690842"/>
      <w:bookmarkStart w:id="242" w:name="_Toc9866"/>
      <w:r>
        <w:rPr>
          <w:rFonts w:hint="eastAsia" w:ascii="宋体" w:hAnsi="宋体" w:eastAsia="宋体" w:cs="宋体"/>
          <w:b/>
          <w:bCs/>
          <w:color w:val="auto"/>
          <w:highlight w:val="none"/>
        </w:rPr>
        <w:t>附件三：</w:t>
      </w:r>
      <w:bookmarkEnd w:id="241"/>
      <w:r>
        <w:rPr>
          <w:rFonts w:hint="eastAsia" w:ascii="宋体" w:hAnsi="宋体" w:eastAsia="宋体" w:cs="宋体"/>
          <w:b/>
          <w:bCs/>
          <w:color w:val="auto"/>
          <w:highlight w:val="none"/>
          <w:lang w:eastAsia="zh-CN"/>
        </w:rPr>
        <w:t>付款方式及相关资料办理流程</w:t>
      </w:r>
      <w:bookmarkEnd w:id="242"/>
    </w:p>
    <w:p w14:paraId="6347BDFE">
      <w:pPr>
        <w:spacing w:line="360" w:lineRule="auto"/>
        <w:ind w:firstLine="367" w:firstLineChars="175"/>
        <w:rPr>
          <w:rFonts w:hint="eastAsia" w:ascii="宋体" w:hAnsi="宋体" w:eastAsia="宋体" w:cs="宋体"/>
          <w:color w:val="auto"/>
          <w:sz w:val="21"/>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sz w:val="21"/>
          <w:highlight w:val="none"/>
        </w:rPr>
        <w:t>付款方式：</w:t>
      </w:r>
    </w:p>
    <w:p w14:paraId="18E2F467">
      <w:pPr>
        <w:spacing w:line="360" w:lineRule="auto"/>
        <w:ind w:firstLine="367" w:firstLineChars="175"/>
        <w:rPr>
          <w:rFonts w:hint="eastAsia" w:ascii="宋体" w:hAnsi="宋体" w:eastAsia="宋体" w:cs="宋体"/>
          <w:color w:val="auto"/>
          <w:sz w:val="21"/>
          <w:highlight w:val="none"/>
        </w:rPr>
      </w:pPr>
      <w:r>
        <w:rPr>
          <w:rFonts w:hint="eastAsia" w:ascii="宋体" w:hAnsi="宋体" w:eastAsia="宋体" w:cs="宋体"/>
          <w:color w:val="auto"/>
          <w:sz w:val="21"/>
          <w:highlight w:val="none"/>
        </w:rPr>
        <w:t>（1）锅炉施工工程（常规项目及特殊项目）：</w:t>
      </w:r>
      <w:r>
        <w:rPr>
          <w:rFonts w:hint="eastAsia" w:ascii="宋体" w:hAnsi="宋体" w:eastAsia="宋体" w:cs="宋体"/>
          <w:color w:val="auto"/>
          <w:sz w:val="21"/>
          <w:highlight w:val="none"/>
          <w:lang w:val="en-US" w:eastAsia="zh-CN"/>
        </w:rPr>
        <w:t>乙</w:t>
      </w:r>
      <w:r>
        <w:rPr>
          <w:rFonts w:hint="eastAsia" w:ascii="宋体" w:hAnsi="宋体" w:eastAsia="宋体" w:cs="宋体"/>
          <w:color w:val="auto"/>
          <w:sz w:val="21"/>
          <w:highlight w:val="none"/>
        </w:rPr>
        <w:t>方凭请款函、工程竣工验收证明、工程量确认单、工程验收</w:t>
      </w:r>
      <w:r>
        <w:rPr>
          <w:rFonts w:hint="eastAsia" w:ascii="宋体" w:hAnsi="宋体" w:eastAsia="宋体" w:cs="宋体"/>
          <w:color w:val="auto"/>
          <w:sz w:val="21"/>
          <w:highlight w:val="none"/>
          <w:lang w:val="en-US" w:eastAsia="zh-CN"/>
        </w:rPr>
        <w:t>核算单</w:t>
      </w:r>
      <w:r>
        <w:rPr>
          <w:rFonts w:hint="eastAsia" w:ascii="宋体" w:hAnsi="宋体" w:eastAsia="宋体" w:cs="宋体"/>
          <w:color w:val="auto"/>
          <w:sz w:val="21"/>
          <w:highlight w:val="none"/>
        </w:rPr>
        <w:t>及对应金额的合格发票等单据，向乙方支付95%的实际</w:t>
      </w:r>
      <w:r>
        <w:rPr>
          <w:rFonts w:hint="eastAsia" w:ascii="宋体" w:hAnsi="宋体" w:eastAsia="宋体" w:cs="宋体"/>
          <w:color w:val="auto"/>
          <w:sz w:val="21"/>
          <w:highlight w:val="none"/>
          <w:lang w:val="en-US" w:eastAsia="zh-CN"/>
        </w:rPr>
        <w:t>核算</w:t>
      </w:r>
      <w:r>
        <w:rPr>
          <w:rFonts w:hint="eastAsia" w:ascii="宋体" w:hAnsi="宋体" w:eastAsia="宋体" w:cs="宋体"/>
          <w:color w:val="auto"/>
          <w:sz w:val="21"/>
          <w:highlight w:val="none"/>
        </w:rPr>
        <w:t>金额作为工程验收</w:t>
      </w:r>
      <w:r>
        <w:rPr>
          <w:rFonts w:hint="eastAsia" w:ascii="宋体" w:hAnsi="宋体" w:eastAsia="宋体" w:cs="宋体"/>
          <w:color w:val="auto"/>
          <w:sz w:val="21"/>
          <w:highlight w:val="none"/>
          <w:lang w:val="en-US" w:eastAsia="zh-CN"/>
        </w:rPr>
        <w:t>进度</w:t>
      </w:r>
      <w:r>
        <w:rPr>
          <w:rFonts w:hint="eastAsia" w:ascii="宋体" w:hAnsi="宋体" w:eastAsia="宋体" w:cs="宋体"/>
          <w:color w:val="auto"/>
          <w:sz w:val="21"/>
          <w:highlight w:val="none"/>
        </w:rPr>
        <w:t>款；质保期为6个月，自设备正常满负荷连续运行72小时之日起计算。</w:t>
      </w:r>
    </w:p>
    <w:p w14:paraId="6A97C770">
      <w:pPr>
        <w:spacing w:line="360" w:lineRule="auto"/>
        <w:ind w:firstLine="367" w:firstLineChars="175"/>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sz w:val="21"/>
          <w:szCs w:val="24"/>
          <w:highlight w:val="none"/>
        </w:rPr>
        <w:t>日常配合项目，月度外判工程及小型施工工程</w:t>
      </w:r>
      <w:r>
        <w:rPr>
          <w:rFonts w:hint="eastAsia" w:ascii="宋体" w:hAnsi="宋体" w:eastAsia="宋体" w:cs="宋体"/>
          <w:color w:val="auto"/>
          <w:highlight w:val="none"/>
        </w:rPr>
        <w:t>：按月支付，甲方凭请款函、工程竣工验收证明、工程量确认单、工程验收</w:t>
      </w:r>
      <w:r>
        <w:rPr>
          <w:rFonts w:hint="eastAsia" w:ascii="宋体" w:hAnsi="宋体" w:eastAsia="宋体" w:cs="宋体"/>
          <w:color w:val="auto"/>
          <w:sz w:val="21"/>
          <w:highlight w:val="none"/>
          <w:lang w:val="en-US" w:eastAsia="zh-CN"/>
        </w:rPr>
        <w:t>核算单</w:t>
      </w:r>
      <w:r>
        <w:rPr>
          <w:rFonts w:hint="eastAsia" w:ascii="宋体" w:hAnsi="宋体" w:eastAsia="宋体" w:cs="宋体"/>
          <w:color w:val="auto"/>
          <w:highlight w:val="none"/>
        </w:rPr>
        <w:t>及对应金额的合格发票等单据，向乙方支付</w:t>
      </w:r>
      <w:r>
        <w:rPr>
          <w:rFonts w:hint="eastAsia" w:ascii="宋体" w:hAnsi="宋体" w:eastAsia="宋体" w:cs="宋体"/>
          <w:color w:val="auto"/>
          <w:highlight w:val="none"/>
          <w:lang w:val="en-US" w:eastAsia="zh-CN"/>
        </w:rPr>
        <w:t>95</w:t>
      </w:r>
      <w:r>
        <w:rPr>
          <w:rFonts w:hint="eastAsia" w:ascii="宋体" w:hAnsi="宋体" w:eastAsia="宋体" w:cs="宋体"/>
          <w:color w:val="auto"/>
          <w:highlight w:val="none"/>
        </w:rPr>
        <w:t>%的上一个月实际</w:t>
      </w:r>
      <w:r>
        <w:rPr>
          <w:rFonts w:hint="eastAsia" w:ascii="宋体" w:hAnsi="宋体" w:eastAsia="宋体" w:cs="宋体"/>
          <w:color w:val="auto"/>
          <w:highlight w:val="none"/>
          <w:lang w:val="en-US" w:eastAsia="zh-CN"/>
        </w:rPr>
        <w:t>核算</w:t>
      </w:r>
      <w:r>
        <w:rPr>
          <w:rFonts w:hint="eastAsia" w:ascii="宋体" w:hAnsi="宋体" w:eastAsia="宋体" w:cs="宋体"/>
          <w:color w:val="auto"/>
          <w:highlight w:val="none"/>
        </w:rPr>
        <w:t>金额作为工程验收</w:t>
      </w:r>
      <w:r>
        <w:rPr>
          <w:rFonts w:hint="eastAsia" w:ascii="宋体" w:hAnsi="宋体" w:eastAsia="宋体" w:cs="宋体"/>
          <w:color w:val="auto"/>
          <w:sz w:val="21"/>
          <w:highlight w:val="none"/>
          <w:lang w:val="en-US" w:eastAsia="zh-CN"/>
        </w:rPr>
        <w:t>进度</w:t>
      </w:r>
      <w:r>
        <w:rPr>
          <w:rFonts w:hint="eastAsia" w:ascii="宋体" w:hAnsi="宋体" w:eastAsia="宋体" w:cs="宋体"/>
          <w:color w:val="auto"/>
          <w:highlight w:val="none"/>
        </w:rPr>
        <w:t>款，质保期为6个月，质保期自该工程完工并经甲方验收合格后起算。</w:t>
      </w:r>
    </w:p>
    <w:p w14:paraId="533CA92F">
      <w:pPr>
        <w:spacing w:line="360" w:lineRule="auto"/>
        <w:ind w:firstLine="367" w:firstLineChars="175"/>
        <w:rPr>
          <w:rFonts w:hint="eastAsia" w:ascii="宋体" w:hAnsi="宋体" w:eastAsia="宋体" w:cs="宋体"/>
          <w:color w:val="auto"/>
          <w:highlight w:val="none"/>
          <w:lang w:val="en-US" w:eastAsia="zh-CN"/>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3</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合同期结束后乙方提交结算资料至甲方单位，双方确认结算资料无异议后办理结算。</w:t>
      </w:r>
      <w:r>
        <w:rPr>
          <w:rFonts w:hint="eastAsia" w:ascii="宋体" w:hAnsi="宋体" w:eastAsia="宋体" w:cs="宋体"/>
          <w:color w:val="auto"/>
          <w:sz w:val="21"/>
          <w:highlight w:val="none"/>
        </w:rPr>
        <w:t>质保期结束，甲方确认无工程质量问题，</w:t>
      </w:r>
      <w:r>
        <w:rPr>
          <w:rFonts w:hint="eastAsia" w:ascii="宋体" w:hAnsi="宋体" w:eastAsia="宋体" w:cs="宋体"/>
          <w:color w:val="auto"/>
          <w:sz w:val="21"/>
          <w:highlight w:val="none"/>
          <w:lang w:eastAsia="zh-CN"/>
        </w:rPr>
        <w:t>30天内付清合同结算款</w:t>
      </w:r>
      <w:r>
        <w:rPr>
          <w:rFonts w:hint="eastAsia" w:ascii="宋体" w:hAnsi="宋体" w:eastAsia="宋体" w:cs="宋体"/>
          <w:color w:val="auto"/>
          <w:highlight w:val="none"/>
          <w:lang w:val="en-US" w:eastAsia="zh-CN"/>
        </w:rPr>
        <w:t>。</w:t>
      </w:r>
    </w:p>
    <w:p w14:paraId="4999EFC3">
      <w:pPr>
        <w:spacing w:line="360" w:lineRule="auto"/>
        <w:ind w:firstLine="367" w:firstLineChars="175"/>
        <w:rPr>
          <w:rFonts w:hint="eastAsia" w:ascii="宋体" w:hAnsi="宋体" w:eastAsia="宋体" w:cs="宋体"/>
          <w:color w:val="auto"/>
          <w:highlight w:val="none"/>
          <w:lang w:val="en-US" w:eastAsia="zh-CN"/>
        </w:rPr>
      </w:pPr>
      <w:r>
        <w:rPr>
          <w:rStyle w:val="33"/>
          <w:rFonts w:hint="eastAsia" w:ascii="宋体" w:hAnsi="宋体" w:eastAsia="宋体" w:cs="宋体"/>
          <w:b w:val="0"/>
          <w:bCs w:val="0"/>
          <w:color w:val="auto"/>
          <w:sz w:val="21"/>
          <w:szCs w:val="24"/>
          <w:highlight w:val="none"/>
          <w:lang w:val="en-US" w:eastAsia="zh-CN"/>
        </w:rPr>
        <w:t>2、相关资料</w:t>
      </w:r>
      <w:r>
        <w:rPr>
          <w:rStyle w:val="33"/>
          <w:rFonts w:hint="eastAsia" w:ascii="宋体" w:hAnsi="宋体" w:eastAsia="宋体" w:cs="宋体"/>
          <w:b w:val="0"/>
          <w:bCs w:val="0"/>
          <w:color w:val="auto"/>
          <w:sz w:val="21"/>
          <w:szCs w:val="24"/>
          <w:highlight w:val="none"/>
          <w:lang w:val="zh-CN"/>
        </w:rPr>
        <w:t>办理流程</w:t>
      </w:r>
    </w:p>
    <w:p w14:paraId="121851D8">
      <w:pPr>
        <w:spacing w:line="360" w:lineRule="auto"/>
        <w:ind w:firstLine="367" w:firstLineChars="175"/>
        <w:rPr>
          <w:rFonts w:hint="eastAsia" w:ascii="宋体" w:hAnsi="宋体" w:eastAsia="宋体" w:cs="宋体"/>
          <w:color w:val="auto"/>
          <w:szCs w:val="24"/>
          <w:highlight w:val="none"/>
        </w:rPr>
      </w:pPr>
      <w:r>
        <w:rPr>
          <w:rFonts w:hint="eastAsia" w:ascii="宋体" w:hAnsi="宋体" w:eastAsia="宋体" w:cs="宋体"/>
          <w:color w:val="auto"/>
          <w:sz w:val="21"/>
          <w:highlight w:val="none"/>
        </w:rPr>
        <w:t>（1）锅炉施工工程</w:t>
      </w:r>
      <w:r>
        <w:rPr>
          <w:rFonts w:hint="eastAsia" w:ascii="宋体" w:hAnsi="宋体" w:eastAsia="宋体" w:cs="宋体"/>
          <w:color w:val="auto"/>
          <w:szCs w:val="24"/>
          <w:highlight w:val="none"/>
          <w:lang w:val="en-US" w:eastAsia="zh-CN"/>
        </w:rPr>
        <w:t>每</w:t>
      </w:r>
      <w:r>
        <w:rPr>
          <w:rFonts w:hint="eastAsia" w:ascii="宋体" w:hAnsi="宋体" w:eastAsia="宋体" w:cs="宋体"/>
          <w:color w:val="auto"/>
          <w:szCs w:val="24"/>
          <w:highlight w:val="none"/>
        </w:rPr>
        <w:t>次施工工程结束后7天内，</w:t>
      </w:r>
      <w:r>
        <w:rPr>
          <w:rFonts w:hint="eastAsia" w:ascii="宋体" w:hAnsi="宋体" w:eastAsia="宋体" w:cs="宋体"/>
          <w:color w:val="auto"/>
          <w:szCs w:val="24"/>
          <w:highlight w:val="none"/>
          <w:lang w:val="en-US" w:eastAsia="zh-CN"/>
        </w:rPr>
        <w:t>乙方出具《新东元锅炉设备及系统检修总结报告》（相关格式可参照附件2），</w:t>
      </w:r>
      <w:r>
        <w:rPr>
          <w:rFonts w:hint="eastAsia" w:ascii="宋体" w:hAnsi="宋体" w:eastAsia="宋体" w:cs="宋体"/>
          <w:color w:val="auto"/>
          <w:szCs w:val="24"/>
          <w:highlight w:val="none"/>
        </w:rPr>
        <w:t>甲方生技部出具《工程竣工验收签证书》和《工程量确认单》经相关人员审签，其中：</w:t>
      </w:r>
    </w:p>
    <w:p w14:paraId="15EA5DB4">
      <w:pPr>
        <w:spacing w:line="360" w:lineRule="auto"/>
        <w:ind w:firstLine="367" w:firstLineChars="175"/>
        <w:rPr>
          <w:rFonts w:hint="eastAsia" w:ascii="宋体" w:hAnsi="宋体" w:eastAsia="宋体" w:cs="宋体"/>
          <w:color w:val="auto"/>
          <w:szCs w:val="24"/>
          <w:highlight w:val="none"/>
        </w:rPr>
      </w:pPr>
      <w:r>
        <w:rPr>
          <w:rFonts w:hint="eastAsia" w:ascii="宋体" w:hAnsi="宋体" w:eastAsia="宋体" w:cs="宋体"/>
          <w:color w:val="auto"/>
          <w:szCs w:val="24"/>
          <w:highlight w:val="none"/>
        </w:rPr>
        <w:t>甲方专业工程师出具《工程竣工验收签证书》一式一份，经乙方负责人签名并盖章后，交甲方签名并盖公章。</w:t>
      </w:r>
    </w:p>
    <w:p w14:paraId="1D0DA1E4">
      <w:pPr>
        <w:spacing w:line="360" w:lineRule="auto"/>
        <w:ind w:firstLine="367" w:firstLineChars="175"/>
        <w:rPr>
          <w:rFonts w:hint="eastAsia" w:ascii="宋体" w:hAnsi="宋体" w:eastAsia="宋体" w:cs="宋体"/>
          <w:color w:val="auto"/>
          <w:szCs w:val="24"/>
          <w:highlight w:val="none"/>
        </w:rPr>
      </w:pPr>
      <w:r>
        <w:rPr>
          <w:rFonts w:hint="eastAsia" w:ascii="宋体" w:hAnsi="宋体" w:eastAsia="宋体" w:cs="宋体"/>
          <w:color w:val="auto"/>
          <w:szCs w:val="24"/>
          <w:highlight w:val="none"/>
        </w:rPr>
        <w:t>甲方专业工程师出具《工程量确认单》一式一份，经乙方负责人、甲方专业工程师签名，交甲方生技部统计员办理签名并盖公章。</w:t>
      </w:r>
    </w:p>
    <w:p w14:paraId="0BD79B29">
      <w:pPr>
        <w:numPr>
          <w:ilvl w:val="0"/>
          <w:numId w:val="2"/>
        </w:numPr>
        <w:spacing w:line="360" w:lineRule="auto"/>
        <w:ind w:firstLine="367" w:firstLineChars="175"/>
        <w:rPr>
          <w:rFonts w:hint="eastAsia" w:ascii="宋体" w:hAnsi="宋体" w:eastAsia="宋体" w:cs="宋体"/>
          <w:color w:val="auto"/>
          <w:szCs w:val="24"/>
          <w:highlight w:val="none"/>
        </w:rPr>
      </w:pPr>
      <w:r>
        <w:rPr>
          <w:rFonts w:hint="eastAsia" w:ascii="宋体" w:hAnsi="宋体" w:eastAsia="宋体" w:cs="宋体"/>
          <w:color w:val="auto"/>
          <w:sz w:val="21"/>
          <w:szCs w:val="24"/>
          <w:highlight w:val="none"/>
        </w:rPr>
        <w:t>日常配合项目，月度外判工程及小型施工工程</w:t>
      </w:r>
      <w:r>
        <w:rPr>
          <w:rFonts w:hint="eastAsia" w:ascii="宋体" w:hAnsi="宋体" w:eastAsia="宋体" w:cs="宋体"/>
          <w:color w:val="auto"/>
          <w:szCs w:val="24"/>
          <w:highlight w:val="none"/>
        </w:rPr>
        <w:t>甲方生技部出具《工程竣工验收签证书》和《工程量确认单》经相关人员审签，其中：</w:t>
      </w:r>
    </w:p>
    <w:p w14:paraId="64C90BB3">
      <w:pPr>
        <w:spacing w:line="360" w:lineRule="auto"/>
        <w:ind w:firstLine="367" w:firstLineChars="175"/>
        <w:rPr>
          <w:rFonts w:hint="eastAsia" w:ascii="宋体" w:hAnsi="宋体" w:eastAsia="宋体" w:cs="宋体"/>
          <w:color w:val="auto"/>
          <w:szCs w:val="24"/>
          <w:highlight w:val="none"/>
        </w:rPr>
      </w:pPr>
      <w:r>
        <w:rPr>
          <w:rFonts w:hint="eastAsia" w:ascii="宋体" w:hAnsi="宋体" w:eastAsia="宋体" w:cs="宋体"/>
          <w:color w:val="auto"/>
          <w:szCs w:val="24"/>
          <w:highlight w:val="none"/>
        </w:rPr>
        <w:t>甲方专业工程师</w:t>
      </w:r>
      <w:r>
        <w:rPr>
          <w:rFonts w:hint="eastAsia" w:ascii="宋体" w:hAnsi="宋体" w:eastAsia="宋体" w:cs="宋体"/>
          <w:color w:val="auto"/>
          <w:szCs w:val="24"/>
          <w:highlight w:val="none"/>
          <w:lang w:val="en-US" w:eastAsia="zh-CN"/>
        </w:rPr>
        <w:t>按月</w:t>
      </w:r>
      <w:r>
        <w:rPr>
          <w:rFonts w:hint="eastAsia" w:ascii="宋体" w:hAnsi="宋体" w:eastAsia="宋体" w:cs="宋体"/>
          <w:color w:val="auto"/>
          <w:szCs w:val="24"/>
          <w:highlight w:val="none"/>
        </w:rPr>
        <w:t>出具《工程竣工验收签证书》一式一份，经乙方负责人签名并盖章后，交甲方签名并盖公章。</w:t>
      </w:r>
    </w:p>
    <w:p w14:paraId="046DBB0A">
      <w:pPr>
        <w:spacing w:line="360" w:lineRule="auto"/>
        <w:ind w:firstLine="367" w:firstLineChars="175"/>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rPr>
        <w:t>甲方专业工程师</w:t>
      </w:r>
      <w:r>
        <w:rPr>
          <w:rFonts w:hint="eastAsia" w:ascii="宋体" w:hAnsi="宋体" w:eastAsia="宋体" w:cs="宋体"/>
          <w:color w:val="auto"/>
          <w:szCs w:val="24"/>
          <w:highlight w:val="none"/>
          <w:lang w:val="en-US" w:eastAsia="zh-CN"/>
        </w:rPr>
        <w:t>按日</w:t>
      </w:r>
      <w:r>
        <w:rPr>
          <w:rFonts w:hint="eastAsia" w:ascii="宋体" w:hAnsi="宋体" w:eastAsia="宋体" w:cs="宋体"/>
          <w:color w:val="auto"/>
          <w:szCs w:val="24"/>
          <w:highlight w:val="none"/>
        </w:rPr>
        <w:t>出具《</w:t>
      </w:r>
      <w:r>
        <w:rPr>
          <w:rFonts w:hint="eastAsia" w:ascii="宋体" w:hAnsi="宋体" w:eastAsia="宋体" w:cs="宋体"/>
          <w:color w:val="auto"/>
          <w:szCs w:val="24"/>
          <w:highlight w:val="none"/>
          <w:lang w:val="en-US" w:eastAsia="zh-CN"/>
        </w:rPr>
        <w:t>用工及日常项</w:t>
      </w:r>
      <w:r>
        <w:rPr>
          <w:rFonts w:hint="eastAsia" w:ascii="宋体" w:hAnsi="宋体" w:eastAsia="宋体" w:cs="宋体"/>
          <w:color w:val="auto"/>
          <w:szCs w:val="24"/>
          <w:highlight w:val="none"/>
        </w:rPr>
        <w:t>确认单》</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rPr>
        <w:t>一式一份，经乙方负责人、甲方专业工程师签名，交甲方生技部统计员办理签名</w:t>
      </w:r>
      <w:r>
        <w:rPr>
          <w:rFonts w:hint="eastAsia" w:ascii="宋体" w:hAnsi="宋体" w:eastAsia="宋体" w:cs="宋体"/>
          <w:color w:val="auto"/>
          <w:szCs w:val="24"/>
          <w:highlight w:val="none"/>
          <w:lang w:eastAsia="zh-CN"/>
        </w:rPr>
        <w:t>，</w:t>
      </w:r>
      <w:r>
        <w:rPr>
          <w:rFonts w:hint="eastAsia" w:ascii="宋体" w:hAnsi="宋体" w:eastAsia="宋体" w:cs="宋体"/>
          <w:color w:val="auto"/>
          <w:szCs w:val="24"/>
          <w:highlight w:val="none"/>
          <w:lang w:val="en-US" w:eastAsia="zh-CN"/>
        </w:rPr>
        <w:t>并于月度汇总单上双方签字盖章</w:t>
      </w:r>
      <w:r>
        <w:rPr>
          <w:rFonts w:hint="eastAsia" w:ascii="宋体" w:hAnsi="宋体" w:eastAsia="宋体" w:cs="宋体"/>
          <w:color w:val="auto"/>
          <w:szCs w:val="24"/>
          <w:highlight w:val="none"/>
        </w:rPr>
        <w:t>。</w:t>
      </w:r>
    </w:p>
    <w:p w14:paraId="5ED43221">
      <w:pPr>
        <w:numPr>
          <w:ilvl w:val="0"/>
          <w:numId w:val="0"/>
        </w:numPr>
        <w:spacing w:line="360" w:lineRule="auto"/>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若因乙方原因没有在上述期限内完成《工程竣工验收签证书》和《工程量确认单》审签工作的，该次检修工程款在以该次检修工程验收合格之日起一年后支付（特殊情况除外）。</w:t>
      </w:r>
    </w:p>
    <w:p w14:paraId="1390FF50">
      <w:pPr>
        <w:pStyle w:val="27"/>
        <w:spacing w:before="0" w:beforeAutospacing="0" w:after="0" w:afterAutospacing="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注：以上流程适用于常规项目及特殊项目、日常配合项目，月度外判工程及小型施工工程（月度外判工程和小型施工工程指不能套用常规项目和特殊项目单价包干按工日结算项目）。</w:t>
      </w:r>
    </w:p>
    <w:p w14:paraId="7EDD624A">
      <w:pPr>
        <w:bidi w:val="0"/>
        <w:rPr>
          <w:rFonts w:hint="eastAsia" w:ascii="宋体" w:hAnsi="宋体" w:eastAsia="宋体" w:cs="宋体"/>
          <w:color w:val="auto"/>
          <w:highlight w:val="none"/>
        </w:rPr>
      </w:pPr>
      <w:bookmarkStart w:id="243" w:name="_Toc131690843"/>
      <w:bookmarkStart w:id="244" w:name="_Toc88"/>
      <w:bookmarkStart w:id="245" w:name="_Toc18966"/>
      <w:r>
        <w:rPr>
          <w:rFonts w:hint="eastAsia" w:ascii="宋体" w:hAnsi="宋体" w:eastAsia="宋体" w:cs="宋体"/>
          <w:color w:val="auto"/>
          <w:highlight w:val="none"/>
        </w:rPr>
        <w:t>一、表单的模板及格式</w:t>
      </w:r>
      <w:bookmarkEnd w:id="243"/>
      <w:bookmarkEnd w:id="244"/>
      <w:bookmarkEnd w:id="245"/>
    </w:p>
    <w:p w14:paraId="3891125F">
      <w:pPr>
        <w:widowControl/>
        <w:adjustRightInd/>
        <w:snapToGrid/>
        <w:spacing w:line="360" w:lineRule="auto"/>
        <w:jc w:val="left"/>
        <w:rPr>
          <w:rFonts w:hint="eastAsia" w:ascii="宋体" w:hAnsi="宋体" w:eastAsia="宋体" w:cs="宋体"/>
          <w:bCs/>
          <w:color w:val="auto"/>
          <w:kern w:val="2"/>
          <w:szCs w:val="21"/>
          <w:highlight w:val="none"/>
        </w:rPr>
      </w:pPr>
    </w:p>
    <w:p w14:paraId="0D7B4A1F">
      <w:pPr>
        <w:widowControl/>
        <w:adjustRightInd/>
        <w:snapToGrid/>
        <w:spacing w:line="360" w:lineRule="auto"/>
        <w:jc w:val="left"/>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t>1、用工确认单</w:t>
      </w:r>
    </w:p>
    <w:tbl>
      <w:tblPr>
        <w:tblStyle w:val="31"/>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40"/>
        <w:gridCol w:w="1040"/>
        <w:gridCol w:w="1040"/>
        <w:gridCol w:w="1044"/>
        <w:gridCol w:w="1040"/>
        <w:gridCol w:w="1040"/>
        <w:gridCol w:w="1041"/>
        <w:gridCol w:w="1051"/>
      </w:tblGrid>
      <w:tr w14:paraId="00C29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trPr>
        <w:tc>
          <w:tcPr>
            <w:tcW w:w="8336" w:type="dxa"/>
            <w:gridSpan w:val="8"/>
            <w:vAlign w:val="center"/>
          </w:tcPr>
          <w:p w14:paraId="7C399424">
            <w:pPr>
              <w:widowControl/>
              <w:adjustRightInd/>
              <w:snapToGrid/>
              <w:spacing w:line="360" w:lineRule="auto"/>
              <w:jc w:val="center"/>
              <w:textAlignment w:val="center"/>
              <w:rPr>
                <w:rFonts w:hint="eastAsia" w:ascii="宋体" w:hAnsi="宋体" w:eastAsia="宋体" w:cs="宋体"/>
                <w:b/>
                <w:color w:val="auto"/>
                <w:kern w:val="2"/>
                <w:szCs w:val="21"/>
                <w:highlight w:val="none"/>
              </w:rPr>
            </w:pPr>
            <w:r>
              <w:rPr>
                <w:rFonts w:hint="eastAsia" w:ascii="宋体" w:hAnsi="宋体" w:eastAsia="宋体" w:cs="宋体"/>
                <w:b/>
                <w:color w:val="auto"/>
                <w:kern w:val="0"/>
                <w:szCs w:val="21"/>
                <w:highlight w:val="none"/>
                <w:lang w:val="en-US" w:eastAsia="zh-CN"/>
              </w:rPr>
              <w:t>东莞市新东元环保投资</w:t>
            </w:r>
            <w:r>
              <w:rPr>
                <w:rFonts w:hint="eastAsia" w:ascii="宋体" w:hAnsi="宋体" w:eastAsia="宋体" w:cs="宋体"/>
                <w:b/>
                <w:color w:val="auto"/>
                <w:kern w:val="0"/>
                <w:szCs w:val="21"/>
                <w:highlight w:val="none"/>
              </w:rPr>
              <w:t>有限公司</w:t>
            </w:r>
          </w:p>
        </w:tc>
      </w:tr>
      <w:tr w14:paraId="0E219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5" w:hRule="atLeast"/>
        </w:trPr>
        <w:tc>
          <w:tcPr>
            <w:tcW w:w="8336" w:type="dxa"/>
            <w:gridSpan w:val="8"/>
            <w:vAlign w:val="center"/>
          </w:tcPr>
          <w:p w14:paraId="61C6A3A2">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**月份外判及小型技改用工确认单（机务）</w:t>
            </w:r>
          </w:p>
        </w:tc>
      </w:tr>
      <w:tr w14:paraId="0378B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90" w:hRule="atLeast"/>
        </w:trPr>
        <w:tc>
          <w:tcPr>
            <w:tcW w:w="1040" w:type="dxa"/>
            <w:tcBorders>
              <w:top w:val="single" w:color="000000" w:sz="4" w:space="0"/>
              <w:left w:val="single" w:color="000000" w:sz="4" w:space="0"/>
              <w:bottom w:val="single" w:color="000000" w:sz="4" w:space="0"/>
              <w:right w:val="single" w:color="000000" w:sz="4" w:space="0"/>
            </w:tcBorders>
            <w:vAlign w:val="center"/>
          </w:tcPr>
          <w:p w14:paraId="2986A199">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序号</w:t>
            </w:r>
          </w:p>
        </w:tc>
        <w:tc>
          <w:tcPr>
            <w:tcW w:w="1040" w:type="dxa"/>
            <w:tcBorders>
              <w:top w:val="single" w:color="000000" w:sz="4" w:space="0"/>
              <w:left w:val="single" w:color="000000" w:sz="4" w:space="0"/>
              <w:bottom w:val="single" w:color="000000" w:sz="4" w:space="0"/>
              <w:right w:val="single" w:color="000000" w:sz="4" w:space="0"/>
            </w:tcBorders>
            <w:vAlign w:val="center"/>
          </w:tcPr>
          <w:p w14:paraId="593ED00A">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日期</w:t>
            </w:r>
          </w:p>
        </w:tc>
        <w:tc>
          <w:tcPr>
            <w:tcW w:w="1040" w:type="dxa"/>
            <w:tcBorders>
              <w:top w:val="single" w:color="000000" w:sz="4" w:space="0"/>
              <w:left w:val="single" w:color="000000" w:sz="4" w:space="0"/>
              <w:bottom w:val="single" w:color="000000" w:sz="4" w:space="0"/>
              <w:right w:val="single" w:color="000000" w:sz="4" w:space="0"/>
            </w:tcBorders>
            <w:vAlign w:val="center"/>
          </w:tcPr>
          <w:p w14:paraId="1D0D40CD">
            <w:pPr>
              <w:widowControl/>
              <w:adjustRightInd/>
              <w:snapToGrid/>
              <w:spacing w:line="360" w:lineRule="auto"/>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人数</w:t>
            </w:r>
          </w:p>
          <w:p w14:paraId="1CE8CE16">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（人）</w:t>
            </w:r>
          </w:p>
        </w:tc>
        <w:tc>
          <w:tcPr>
            <w:tcW w:w="1044" w:type="dxa"/>
            <w:tcBorders>
              <w:top w:val="single" w:color="000000" w:sz="4" w:space="0"/>
              <w:left w:val="single" w:color="000000" w:sz="4" w:space="0"/>
              <w:bottom w:val="single" w:color="000000" w:sz="4" w:space="0"/>
              <w:right w:val="single" w:color="000000" w:sz="4" w:space="0"/>
            </w:tcBorders>
            <w:vAlign w:val="center"/>
          </w:tcPr>
          <w:p w14:paraId="285BDAC4">
            <w:pPr>
              <w:widowControl/>
              <w:adjustRightInd/>
              <w:snapToGrid/>
              <w:spacing w:line="360" w:lineRule="auto"/>
              <w:jc w:val="center"/>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工作时间</w:t>
            </w:r>
          </w:p>
          <w:p w14:paraId="50088D75">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（天）</w:t>
            </w:r>
          </w:p>
        </w:tc>
        <w:tc>
          <w:tcPr>
            <w:tcW w:w="1040" w:type="dxa"/>
            <w:tcBorders>
              <w:top w:val="single" w:color="000000" w:sz="4" w:space="0"/>
              <w:left w:val="single" w:color="000000" w:sz="4" w:space="0"/>
              <w:bottom w:val="single" w:color="000000" w:sz="4" w:space="0"/>
              <w:right w:val="single" w:color="000000" w:sz="4" w:space="0"/>
            </w:tcBorders>
            <w:vAlign w:val="center"/>
          </w:tcPr>
          <w:p w14:paraId="231D8325">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工日</w:t>
            </w:r>
          </w:p>
        </w:tc>
        <w:tc>
          <w:tcPr>
            <w:tcW w:w="1040" w:type="dxa"/>
            <w:tcBorders>
              <w:top w:val="single" w:color="000000" w:sz="4" w:space="0"/>
              <w:left w:val="single" w:color="000000" w:sz="4" w:space="0"/>
              <w:bottom w:val="single" w:color="000000" w:sz="4" w:space="0"/>
              <w:right w:val="single" w:color="000000" w:sz="4" w:space="0"/>
            </w:tcBorders>
            <w:vAlign w:val="center"/>
          </w:tcPr>
          <w:p w14:paraId="629C080E">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用工类别</w:t>
            </w:r>
          </w:p>
        </w:tc>
        <w:tc>
          <w:tcPr>
            <w:tcW w:w="1041" w:type="dxa"/>
            <w:tcBorders>
              <w:top w:val="single" w:color="000000" w:sz="4" w:space="0"/>
              <w:left w:val="single" w:color="000000" w:sz="4" w:space="0"/>
              <w:bottom w:val="single" w:color="000000" w:sz="4" w:space="0"/>
              <w:right w:val="single" w:color="000000" w:sz="4" w:space="0"/>
            </w:tcBorders>
            <w:vAlign w:val="center"/>
          </w:tcPr>
          <w:p w14:paraId="0BECB1D4">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工作内容</w:t>
            </w:r>
          </w:p>
        </w:tc>
        <w:tc>
          <w:tcPr>
            <w:tcW w:w="1051" w:type="dxa"/>
            <w:tcBorders>
              <w:top w:val="single" w:color="000000" w:sz="4" w:space="0"/>
              <w:left w:val="single" w:color="000000" w:sz="4" w:space="0"/>
              <w:bottom w:val="single" w:color="000000" w:sz="4" w:space="0"/>
              <w:right w:val="single" w:color="000000" w:sz="4" w:space="0"/>
            </w:tcBorders>
            <w:vAlign w:val="center"/>
          </w:tcPr>
          <w:p w14:paraId="2F34737A">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派工人</w:t>
            </w:r>
          </w:p>
        </w:tc>
      </w:tr>
      <w:tr w14:paraId="3461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0" w:hRule="atLeast"/>
        </w:trPr>
        <w:tc>
          <w:tcPr>
            <w:tcW w:w="1040" w:type="dxa"/>
            <w:tcBorders>
              <w:top w:val="single" w:color="000000" w:sz="4" w:space="0"/>
              <w:left w:val="single" w:color="000000" w:sz="4" w:space="0"/>
              <w:bottom w:val="single" w:color="000000" w:sz="4" w:space="0"/>
              <w:right w:val="single" w:color="000000" w:sz="4" w:space="0"/>
            </w:tcBorders>
            <w:vAlign w:val="center"/>
          </w:tcPr>
          <w:p w14:paraId="58001892">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1ADBC8C8">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019CEC35">
            <w:pPr>
              <w:widowControl w:val="0"/>
              <w:adjustRightInd/>
              <w:snapToGrid/>
              <w:spacing w:line="360" w:lineRule="auto"/>
              <w:jc w:val="both"/>
              <w:rPr>
                <w:rFonts w:hint="eastAsia" w:ascii="宋体" w:hAnsi="宋体" w:eastAsia="宋体" w:cs="宋体"/>
                <w:color w:val="auto"/>
                <w:kern w:val="2"/>
                <w:szCs w:val="21"/>
                <w:highlight w:val="none"/>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FC123AA">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352F4CD6">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64DFA75C">
            <w:pPr>
              <w:widowControl w:val="0"/>
              <w:adjustRightInd/>
              <w:snapToGrid/>
              <w:spacing w:line="360" w:lineRule="auto"/>
              <w:jc w:val="both"/>
              <w:rPr>
                <w:rFonts w:hint="eastAsia" w:ascii="宋体" w:hAnsi="宋体" w:eastAsia="宋体" w:cs="宋体"/>
                <w:color w:val="auto"/>
                <w:kern w:val="2"/>
                <w:szCs w:val="21"/>
                <w:highlight w:val="none"/>
              </w:rPr>
            </w:pPr>
          </w:p>
        </w:tc>
        <w:tc>
          <w:tcPr>
            <w:tcW w:w="1041" w:type="dxa"/>
            <w:tcBorders>
              <w:top w:val="single" w:color="000000" w:sz="4" w:space="0"/>
              <w:left w:val="single" w:color="000000" w:sz="4" w:space="0"/>
              <w:bottom w:val="single" w:color="000000" w:sz="4" w:space="0"/>
              <w:right w:val="single" w:color="000000" w:sz="4" w:space="0"/>
            </w:tcBorders>
            <w:vAlign w:val="center"/>
          </w:tcPr>
          <w:p w14:paraId="3AEC4C7F">
            <w:pPr>
              <w:widowControl w:val="0"/>
              <w:adjustRightInd/>
              <w:snapToGrid/>
              <w:spacing w:line="360" w:lineRule="auto"/>
              <w:jc w:val="both"/>
              <w:rPr>
                <w:rFonts w:hint="eastAsia" w:ascii="宋体" w:hAnsi="宋体" w:eastAsia="宋体" w:cs="宋体"/>
                <w:color w:val="auto"/>
                <w:kern w:val="2"/>
                <w:szCs w:val="21"/>
                <w:highlight w:val="none"/>
              </w:rPr>
            </w:pPr>
          </w:p>
        </w:tc>
        <w:tc>
          <w:tcPr>
            <w:tcW w:w="1051" w:type="dxa"/>
            <w:tcBorders>
              <w:top w:val="single" w:color="000000" w:sz="4" w:space="0"/>
              <w:left w:val="single" w:color="000000" w:sz="4" w:space="0"/>
              <w:bottom w:val="single" w:color="000000" w:sz="4" w:space="0"/>
              <w:right w:val="single" w:color="000000" w:sz="4" w:space="0"/>
            </w:tcBorders>
            <w:vAlign w:val="center"/>
          </w:tcPr>
          <w:p w14:paraId="390AE630">
            <w:pPr>
              <w:widowControl w:val="0"/>
              <w:adjustRightInd/>
              <w:snapToGrid/>
              <w:spacing w:line="360" w:lineRule="auto"/>
              <w:jc w:val="both"/>
              <w:rPr>
                <w:rFonts w:hint="eastAsia" w:ascii="宋体" w:hAnsi="宋体" w:eastAsia="宋体" w:cs="宋体"/>
                <w:color w:val="auto"/>
                <w:kern w:val="2"/>
                <w:szCs w:val="21"/>
                <w:highlight w:val="none"/>
              </w:rPr>
            </w:pPr>
          </w:p>
        </w:tc>
      </w:tr>
      <w:tr w14:paraId="672F6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0" w:hRule="atLeast"/>
        </w:trPr>
        <w:tc>
          <w:tcPr>
            <w:tcW w:w="1040" w:type="dxa"/>
            <w:tcBorders>
              <w:top w:val="single" w:color="000000" w:sz="4" w:space="0"/>
              <w:left w:val="single" w:color="000000" w:sz="4" w:space="0"/>
              <w:bottom w:val="single" w:color="000000" w:sz="4" w:space="0"/>
              <w:right w:val="single" w:color="000000" w:sz="4" w:space="0"/>
            </w:tcBorders>
            <w:vAlign w:val="center"/>
          </w:tcPr>
          <w:p w14:paraId="580FA32C">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5ED23090">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12DA22C0">
            <w:pPr>
              <w:widowControl w:val="0"/>
              <w:adjustRightInd/>
              <w:snapToGrid/>
              <w:spacing w:line="360" w:lineRule="auto"/>
              <w:jc w:val="both"/>
              <w:rPr>
                <w:rFonts w:hint="eastAsia" w:ascii="宋体" w:hAnsi="宋体" w:eastAsia="宋体" w:cs="宋体"/>
                <w:color w:val="auto"/>
                <w:kern w:val="2"/>
                <w:szCs w:val="21"/>
                <w:highlight w:val="none"/>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179D69E">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200CF521">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0D22CCCF">
            <w:pPr>
              <w:widowControl w:val="0"/>
              <w:adjustRightInd/>
              <w:snapToGrid/>
              <w:spacing w:line="360" w:lineRule="auto"/>
              <w:jc w:val="both"/>
              <w:rPr>
                <w:rFonts w:hint="eastAsia" w:ascii="宋体" w:hAnsi="宋体" w:eastAsia="宋体" w:cs="宋体"/>
                <w:color w:val="auto"/>
                <w:kern w:val="2"/>
                <w:szCs w:val="21"/>
                <w:highlight w:val="none"/>
              </w:rPr>
            </w:pPr>
          </w:p>
        </w:tc>
        <w:tc>
          <w:tcPr>
            <w:tcW w:w="1041" w:type="dxa"/>
            <w:tcBorders>
              <w:top w:val="single" w:color="000000" w:sz="4" w:space="0"/>
              <w:left w:val="single" w:color="000000" w:sz="4" w:space="0"/>
              <w:bottom w:val="single" w:color="000000" w:sz="4" w:space="0"/>
              <w:right w:val="single" w:color="000000" w:sz="4" w:space="0"/>
            </w:tcBorders>
            <w:vAlign w:val="center"/>
          </w:tcPr>
          <w:p w14:paraId="2A0D111E">
            <w:pPr>
              <w:widowControl w:val="0"/>
              <w:adjustRightInd/>
              <w:snapToGrid/>
              <w:spacing w:line="360" w:lineRule="auto"/>
              <w:jc w:val="both"/>
              <w:rPr>
                <w:rFonts w:hint="eastAsia" w:ascii="宋体" w:hAnsi="宋体" w:eastAsia="宋体" w:cs="宋体"/>
                <w:color w:val="auto"/>
                <w:kern w:val="2"/>
                <w:szCs w:val="21"/>
                <w:highlight w:val="none"/>
              </w:rPr>
            </w:pPr>
          </w:p>
        </w:tc>
        <w:tc>
          <w:tcPr>
            <w:tcW w:w="1051" w:type="dxa"/>
            <w:tcBorders>
              <w:top w:val="single" w:color="000000" w:sz="4" w:space="0"/>
              <w:left w:val="single" w:color="000000" w:sz="4" w:space="0"/>
              <w:bottom w:val="single" w:color="000000" w:sz="4" w:space="0"/>
              <w:right w:val="single" w:color="000000" w:sz="4" w:space="0"/>
            </w:tcBorders>
            <w:vAlign w:val="center"/>
          </w:tcPr>
          <w:p w14:paraId="359FB955">
            <w:pPr>
              <w:widowControl w:val="0"/>
              <w:adjustRightInd/>
              <w:snapToGrid/>
              <w:spacing w:line="360" w:lineRule="auto"/>
              <w:jc w:val="both"/>
              <w:rPr>
                <w:rFonts w:hint="eastAsia" w:ascii="宋体" w:hAnsi="宋体" w:eastAsia="宋体" w:cs="宋体"/>
                <w:color w:val="auto"/>
                <w:kern w:val="2"/>
                <w:szCs w:val="21"/>
                <w:highlight w:val="none"/>
              </w:rPr>
            </w:pPr>
          </w:p>
        </w:tc>
      </w:tr>
      <w:tr w14:paraId="2195E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0" w:hRule="atLeast"/>
        </w:trPr>
        <w:tc>
          <w:tcPr>
            <w:tcW w:w="1040" w:type="dxa"/>
            <w:tcBorders>
              <w:top w:val="single" w:color="000000" w:sz="4" w:space="0"/>
              <w:left w:val="single" w:color="000000" w:sz="4" w:space="0"/>
              <w:bottom w:val="single" w:color="000000" w:sz="4" w:space="0"/>
              <w:right w:val="single" w:color="000000" w:sz="4" w:space="0"/>
            </w:tcBorders>
            <w:vAlign w:val="center"/>
          </w:tcPr>
          <w:p w14:paraId="1B92A1A4">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0A9FB0AB">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4691F968">
            <w:pPr>
              <w:widowControl w:val="0"/>
              <w:adjustRightInd/>
              <w:snapToGrid/>
              <w:spacing w:line="360" w:lineRule="auto"/>
              <w:jc w:val="both"/>
              <w:rPr>
                <w:rFonts w:hint="eastAsia" w:ascii="宋体" w:hAnsi="宋体" w:eastAsia="宋体" w:cs="宋体"/>
                <w:color w:val="auto"/>
                <w:kern w:val="2"/>
                <w:szCs w:val="21"/>
                <w:highlight w:val="none"/>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D24B56A">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63663691">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12FC92B0">
            <w:pPr>
              <w:widowControl w:val="0"/>
              <w:adjustRightInd/>
              <w:snapToGrid/>
              <w:spacing w:line="360" w:lineRule="auto"/>
              <w:jc w:val="both"/>
              <w:rPr>
                <w:rFonts w:hint="eastAsia" w:ascii="宋体" w:hAnsi="宋体" w:eastAsia="宋体" w:cs="宋体"/>
                <w:color w:val="auto"/>
                <w:kern w:val="2"/>
                <w:szCs w:val="21"/>
                <w:highlight w:val="none"/>
              </w:rPr>
            </w:pPr>
          </w:p>
        </w:tc>
        <w:tc>
          <w:tcPr>
            <w:tcW w:w="1041" w:type="dxa"/>
            <w:tcBorders>
              <w:top w:val="single" w:color="000000" w:sz="4" w:space="0"/>
              <w:left w:val="single" w:color="000000" w:sz="4" w:space="0"/>
              <w:bottom w:val="single" w:color="000000" w:sz="4" w:space="0"/>
              <w:right w:val="single" w:color="000000" w:sz="4" w:space="0"/>
            </w:tcBorders>
            <w:vAlign w:val="center"/>
          </w:tcPr>
          <w:p w14:paraId="113AA33B">
            <w:pPr>
              <w:widowControl w:val="0"/>
              <w:adjustRightInd/>
              <w:snapToGrid/>
              <w:spacing w:line="360" w:lineRule="auto"/>
              <w:jc w:val="both"/>
              <w:rPr>
                <w:rFonts w:hint="eastAsia" w:ascii="宋体" w:hAnsi="宋体" w:eastAsia="宋体" w:cs="宋体"/>
                <w:color w:val="auto"/>
                <w:kern w:val="2"/>
                <w:szCs w:val="21"/>
                <w:highlight w:val="none"/>
              </w:rPr>
            </w:pPr>
          </w:p>
        </w:tc>
        <w:tc>
          <w:tcPr>
            <w:tcW w:w="1051" w:type="dxa"/>
            <w:tcBorders>
              <w:top w:val="single" w:color="000000" w:sz="4" w:space="0"/>
              <w:left w:val="single" w:color="000000" w:sz="4" w:space="0"/>
              <w:bottom w:val="single" w:color="000000" w:sz="4" w:space="0"/>
              <w:right w:val="single" w:color="000000" w:sz="4" w:space="0"/>
            </w:tcBorders>
            <w:vAlign w:val="center"/>
          </w:tcPr>
          <w:p w14:paraId="7403F1D1">
            <w:pPr>
              <w:widowControl w:val="0"/>
              <w:adjustRightInd/>
              <w:snapToGrid/>
              <w:spacing w:line="360" w:lineRule="auto"/>
              <w:jc w:val="both"/>
              <w:rPr>
                <w:rFonts w:hint="eastAsia" w:ascii="宋体" w:hAnsi="宋体" w:eastAsia="宋体" w:cs="宋体"/>
                <w:color w:val="auto"/>
                <w:kern w:val="2"/>
                <w:szCs w:val="21"/>
                <w:highlight w:val="none"/>
              </w:rPr>
            </w:pPr>
          </w:p>
        </w:tc>
      </w:tr>
      <w:tr w14:paraId="2C71D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0" w:hRule="atLeast"/>
        </w:trPr>
        <w:tc>
          <w:tcPr>
            <w:tcW w:w="1040" w:type="dxa"/>
            <w:tcBorders>
              <w:top w:val="single" w:color="000000" w:sz="4" w:space="0"/>
              <w:left w:val="single" w:color="000000" w:sz="4" w:space="0"/>
              <w:bottom w:val="single" w:color="000000" w:sz="4" w:space="0"/>
              <w:right w:val="single" w:color="000000" w:sz="4" w:space="0"/>
            </w:tcBorders>
            <w:vAlign w:val="center"/>
          </w:tcPr>
          <w:p w14:paraId="40C0F77F">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4FC1CF15">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250E4863">
            <w:pPr>
              <w:widowControl w:val="0"/>
              <w:adjustRightInd/>
              <w:snapToGrid/>
              <w:spacing w:line="360" w:lineRule="auto"/>
              <w:jc w:val="both"/>
              <w:rPr>
                <w:rFonts w:hint="eastAsia" w:ascii="宋体" w:hAnsi="宋体" w:eastAsia="宋体" w:cs="宋体"/>
                <w:color w:val="auto"/>
                <w:kern w:val="2"/>
                <w:szCs w:val="21"/>
                <w:highlight w:val="none"/>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78C54FD0">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73C7AEB0">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35C4DD80">
            <w:pPr>
              <w:widowControl w:val="0"/>
              <w:adjustRightInd/>
              <w:snapToGrid/>
              <w:spacing w:line="360" w:lineRule="auto"/>
              <w:jc w:val="both"/>
              <w:rPr>
                <w:rFonts w:hint="eastAsia" w:ascii="宋体" w:hAnsi="宋体" w:eastAsia="宋体" w:cs="宋体"/>
                <w:color w:val="auto"/>
                <w:kern w:val="2"/>
                <w:szCs w:val="21"/>
                <w:highlight w:val="none"/>
              </w:rPr>
            </w:pPr>
          </w:p>
        </w:tc>
        <w:tc>
          <w:tcPr>
            <w:tcW w:w="1041" w:type="dxa"/>
            <w:tcBorders>
              <w:top w:val="single" w:color="000000" w:sz="4" w:space="0"/>
              <w:left w:val="single" w:color="000000" w:sz="4" w:space="0"/>
              <w:bottom w:val="single" w:color="000000" w:sz="4" w:space="0"/>
              <w:right w:val="single" w:color="000000" w:sz="4" w:space="0"/>
            </w:tcBorders>
            <w:vAlign w:val="center"/>
          </w:tcPr>
          <w:p w14:paraId="7D9AD65D">
            <w:pPr>
              <w:widowControl w:val="0"/>
              <w:adjustRightInd/>
              <w:snapToGrid/>
              <w:spacing w:line="360" w:lineRule="auto"/>
              <w:jc w:val="both"/>
              <w:rPr>
                <w:rFonts w:hint="eastAsia" w:ascii="宋体" w:hAnsi="宋体" w:eastAsia="宋体" w:cs="宋体"/>
                <w:color w:val="auto"/>
                <w:kern w:val="2"/>
                <w:szCs w:val="21"/>
                <w:highlight w:val="none"/>
              </w:rPr>
            </w:pPr>
          </w:p>
        </w:tc>
        <w:tc>
          <w:tcPr>
            <w:tcW w:w="1051" w:type="dxa"/>
            <w:tcBorders>
              <w:top w:val="single" w:color="000000" w:sz="4" w:space="0"/>
              <w:left w:val="single" w:color="000000" w:sz="4" w:space="0"/>
              <w:bottom w:val="single" w:color="000000" w:sz="4" w:space="0"/>
              <w:right w:val="single" w:color="000000" w:sz="4" w:space="0"/>
            </w:tcBorders>
            <w:vAlign w:val="center"/>
          </w:tcPr>
          <w:p w14:paraId="6E5A656D">
            <w:pPr>
              <w:widowControl w:val="0"/>
              <w:adjustRightInd/>
              <w:snapToGrid/>
              <w:spacing w:line="360" w:lineRule="auto"/>
              <w:jc w:val="both"/>
              <w:rPr>
                <w:rFonts w:hint="eastAsia" w:ascii="宋体" w:hAnsi="宋体" w:eastAsia="宋体" w:cs="宋体"/>
                <w:color w:val="auto"/>
                <w:kern w:val="2"/>
                <w:szCs w:val="21"/>
                <w:highlight w:val="none"/>
              </w:rPr>
            </w:pPr>
          </w:p>
        </w:tc>
      </w:tr>
      <w:tr w14:paraId="341BB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0" w:hRule="atLeast"/>
        </w:trPr>
        <w:tc>
          <w:tcPr>
            <w:tcW w:w="1040" w:type="dxa"/>
            <w:tcBorders>
              <w:top w:val="single" w:color="000000" w:sz="4" w:space="0"/>
              <w:left w:val="single" w:color="000000" w:sz="4" w:space="0"/>
              <w:bottom w:val="single" w:color="000000" w:sz="4" w:space="0"/>
              <w:right w:val="single" w:color="000000" w:sz="4" w:space="0"/>
            </w:tcBorders>
            <w:vAlign w:val="center"/>
          </w:tcPr>
          <w:p w14:paraId="17BA485E">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02CF20AA">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356C8575">
            <w:pPr>
              <w:widowControl w:val="0"/>
              <w:adjustRightInd/>
              <w:snapToGrid/>
              <w:spacing w:line="360" w:lineRule="auto"/>
              <w:jc w:val="both"/>
              <w:rPr>
                <w:rFonts w:hint="eastAsia" w:ascii="宋体" w:hAnsi="宋体" w:eastAsia="宋体" w:cs="宋体"/>
                <w:color w:val="auto"/>
                <w:kern w:val="2"/>
                <w:szCs w:val="21"/>
                <w:highlight w:val="none"/>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0BC0FEB1">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6D3B261F">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503A0CA9">
            <w:pPr>
              <w:widowControl w:val="0"/>
              <w:adjustRightInd/>
              <w:snapToGrid/>
              <w:spacing w:line="360" w:lineRule="auto"/>
              <w:jc w:val="both"/>
              <w:rPr>
                <w:rFonts w:hint="eastAsia" w:ascii="宋体" w:hAnsi="宋体" w:eastAsia="宋体" w:cs="宋体"/>
                <w:color w:val="auto"/>
                <w:kern w:val="2"/>
                <w:szCs w:val="21"/>
                <w:highlight w:val="none"/>
              </w:rPr>
            </w:pPr>
          </w:p>
        </w:tc>
        <w:tc>
          <w:tcPr>
            <w:tcW w:w="1041" w:type="dxa"/>
            <w:tcBorders>
              <w:top w:val="single" w:color="000000" w:sz="4" w:space="0"/>
              <w:left w:val="single" w:color="000000" w:sz="4" w:space="0"/>
              <w:bottom w:val="single" w:color="000000" w:sz="4" w:space="0"/>
              <w:right w:val="single" w:color="000000" w:sz="4" w:space="0"/>
            </w:tcBorders>
            <w:vAlign w:val="center"/>
          </w:tcPr>
          <w:p w14:paraId="039B2F77">
            <w:pPr>
              <w:widowControl w:val="0"/>
              <w:adjustRightInd/>
              <w:snapToGrid/>
              <w:spacing w:line="360" w:lineRule="auto"/>
              <w:jc w:val="both"/>
              <w:rPr>
                <w:rFonts w:hint="eastAsia" w:ascii="宋体" w:hAnsi="宋体" w:eastAsia="宋体" w:cs="宋体"/>
                <w:color w:val="auto"/>
                <w:kern w:val="2"/>
                <w:szCs w:val="21"/>
                <w:highlight w:val="none"/>
              </w:rPr>
            </w:pPr>
          </w:p>
        </w:tc>
        <w:tc>
          <w:tcPr>
            <w:tcW w:w="1051" w:type="dxa"/>
            <w:tcBorders>
              <w:top w:val="single" w:color="000000" w:sz="4" w:space="0"/>
              <w:left w:val="single" w:color="000000" w:sz="4" w:space="0"/>
              <w:bottom w:val="single" w:color="000000" w:sz="4" w:space="0"/>
              <w:right w:val="single" w:color="000000" w:sz="4" w:space="0"/>
            </w:tcBorders>
            <w:vAlign w:val="center"/>
          </w:tcPr>
          <w:p w14:paraId="704F3865">
            <w:pPr>
              <w:widowControl w:val="0"/>
              <w:adjustRightInd/>
              <w:snapToGrid/>
              <w:spacing w:line="360" w:lineRule="auto"/>
              <w:jc w:val="both"/>
              <w:rPr>
                <w:rFonts w:hint="eastAsia" w:ascii="宋体" w:hAnsi="宋体" w:eastAsia="宋体" w:cs="宋体"/>
                <w:color w:val="auto"/>
                <w:kern w:val="2"/>
                <w:szCs w:val="21"/>
                <w:highlight w:val="none"/>
              </w:rPr>
            </w:pPr>
          </w:p>
        </w:tc>
      </w:tr>
      <w:tr w14:paraId="4DA32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0" w:hRule="atLeast"/>
        </w:trPr>
        <w:tc>
          <w:tcPr>
            <w:tcW w:w="1040" w:type="dxa"/>
            <w:tcBorders>
              <w:top w:val="single" w:color="000000" w:sz="4" w:space="0"/>
              <w:left w:val="single" w:color="000000" w:sz="4" w:space="0"/>
              <w:bottom w:val="single" w:color="000000" w:sz="4" w:space="0"/>
              <w:right w:val="single" w:color="000000" w:sz="4" w:space="0"/>
            </w:tcBorders>
            <w:vAlign w:val="center"/>
          </w:tcPr>
          <w:p w14:paraId="3F829C5B">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1805130A">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1FC51548">
            <w:pPr>
              <w:widowControl w:val="0"/>
              <w:adjustRightInd/>
              <w:snapToGrid/>
              <w:spacing w:line="360" w:lineRule="auto"/>
              <w:jc w:val="both"/>
              <w:rPr>
                <w:rFonts w:hint="eastAsia" w:ascii="宋体" w:hAnsi="宋体" w:eastAsia="宋体" w:cs="宋体"/>
                <w:color w:val="auto"/>
                <w:kern w:val="2"/>
                <w:szCs w:val="21"/>
                <w:highlight w:val="none"/>
              </w:rPr>
            </w:pPr>
          </w:p>
        </w:tc>
        <w:tc>
          <w:tcPr>
            <w:tcW w:w="1044" w:type="dxa"/>
            <w:tcBorders>
              <w:top w:val="single" w:color="000000" w:sz="4" w:space="0"/>
              <w:left w:val="single" w:color="000000" w:sz="4" w:space="0"/>
              <w:bottom w:val="single" w:color="000000" w:sz="4" w:space="0"/>
              <w:right w:val="single" w:color="000000" w:sz="4" w:space="0"/>
            </w:tcBorders>
            <w:vAlign w:val="center"/>
          </w:tcPr>
          <w:p w14:paraId="154F3F9E">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0F6BF484">
            <w:pPr>
              <w:widowControl w:val="0"/>
              <w:adjustRightInd/>
              <w:snapToGrid/>
              <w:spacing w:line="360" w:lineRule="auto"/>
              <w:jc w:val="both"/>
              <w:rPr>
                <w:rFonts w:hint="eastAsia" w:ascii="宋体" w:hAnsi="宋体" w:eastAsia="宋体" w:cs="宋体"/>
                <w:color w:val="auto"/>
                <w:kern w:val="2"/>
                <w:szCs w:val="21"/>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2A78D1A3">
            <w:pPr>
              <w:widowControl w:val="0"/>
              <w:adjustRightInd/>
              <w:snapToGrid/>
              <w:spacing w:line="360" w:lineRule="auto"/>
              <w:jc w:val="both"/>
              <w:rPr>
                <w:rFonts w:hint="eastAsia" w:ascii="宋体" w:hAnsi="宋体" w:eastAsia="宋体" w:cs="宋体"/>
                <w:color w:val="auto"/>
                <w:kern w:val="2"/>
                <w:szCs w:val="21"/>
                <w:highlight w:val="none"/>
              </w:rPr>
            </w:pPr>
          </w:p>
        </w:tc>
        <w:tc>
          <w:tcPr>
            <w:tcW w:w="1041" w:type="dxa"/>
            <w:tcBorders>
              <w:top w:val="single" w:color="000000" w:sz="4" w:space="0"/>
              <w:left w:val="single" w:color="000000" w:sz="4" w:space="0"/>
              <w:bottom w:val="single" w:color="000000" w:sz="4" w:space="0"/>
              <w:right w:val="single" w:color="000000" w:sz="4" w:space="0"/>
            </w:tcBorders>
            <w:vAlign w:val="center"/>
          </w:tcPr>
          <w:p w14:paraId="7439065E">
            <w:pPr>
              <w:widowControl w:val="0"/>
              <w:adjustRightInd/>
              <w:snapToGrid/>
              <w:spacing w:line="360" w:lineRule="auto"/>
              <w:jc w:val="both"/>
              <w:rPr>
                <w:rFonts w:hint="eastAsia" w:ascii="宋体" w:hAnsi="宋体" w:eastAsia="宋体" w:cs="宋体"/>
                <w:color w:val="auto"/>
                <w:kern w:val="2"/>
                <w:szCs w:val="21"/>
                <w:highlight w:val="none"/>
              </w:rPr>
            </w:pPr>
          </w:p>
        </w:tc>
        <w:tc>
          <w:tcPr>
            <w:tcW w:w="1051" w:type="dxa"/>
            <w:tcBorders>
              <w:top w:val="single" w:color="000000" w:sz="4" w:space="0"/>
              <w:left w:val="single" w:color="000000" w:sz="4" w:space="0"/>
              <w:bottom w:val="single" w:color="000000" w:sz="4" w:space="0"/>
              <w:right w:val="single" w:color="000000" w:sz="4" w:space="0"/>
            </w:tcBorders>
            <w:vAlign w:val="center"/>
          </w:tcPr>
          <w:p w14:paraId="603CED66">
            <w:pPr>
              <w:widowControl w:val="0"/>
              <w:adjustRightInd/>
              <w:snapToGrid/>
              <w:spacing w:line="360" w:lineRule="auto"/>
              <w:jc w:val="both"/>
              <w:rPr>
                <w:rFonts w:hint="eastAsia" w:ascii="宋体" w:hAnsi="宋体" w:eastAsia="宋体" w:cs="宋体"/>
                <w:color w:val="auto"/>
                <w:kern w:val="2"/>
                <w:szCs w:val="21"/>
                <w:highlight w:val="none"/>
              </w:rPr>
            </w:pPr>
          </w:p>
        </w:tc>
      </w:tr>
      <w:tr w14:paraId="37F4B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15" w:hRule="atLeast"/>
        </w:trPr>
        <w:tc>
          <w:tcPr>
            <w:tcW w:w="4164" w:type="dxa"/>
            <w:gridSpan w:val="4"/>
            <w:tcBorders>
              <w:top w:val="single" w:color="000000" w:sz="4" w:space="0"/>
              <w:left w:val="single" w:color="000000" w:sz="4" w:space="0"/>
              <w:bottom w:val="single" w:color="000000" w:sz="4" w:space="0"/>
              <w:right w:val="single" w:color="000000" w:sz="4" w:space="0"/>
            </w:tcBorders>
            <w:vAlign w:val="center"/>
          </w:tcPr>
          <w:p w14:paraId="2F0FF70D">
            <w:pPr>
              <w:widowControl/>
              <w:adjustRightInd/>
              <w:snapToGrid/>
              <w:spacing w:line="360" w:lineRule="auto"/>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施工单位代表：</w:t>
            </w:r>
          </w:p>
          <w:p w14:paraId="708B10BC">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7CDA72E2">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026B684B">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6A9465B0">
            <w:pPr>
              <w:widowControl/>
              <w:adjustRightInd/>
              <w:snapToGrid/>
              <w:spacing w:line="360" w:lineRule="auto"/>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p>
          <w:p w14:paraId="588ECD45">
            <w:pPr>
              <w:widowControl/>
              <w:adjustRightInd/>
              <w:snapToGrid/>
              <w:spacing w:line="360" w:lineRule="auto"/>
              <w:jc w:val="lef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 xml:space="preserve">                           年   月   日</w:t>
            </w:r>
          </w:p>
        </w:tc>
        <w:tc>
          <w:tcPr>
            <w:tcW w:w="4172" w:type="dxa"/>
            <w:gridSpan w:val="4"/>
            <w:tcBorders>
              <w:top w:val="single" w:color="000000" w:sz="4" w:space="0"/>
              <w:left w:val="single" w:color="000000" w:sz="4" w:space="0"/>
              <w:bottom w:val="single" w:color="000000" w:sz="4" w:space="0"/>
              <w:right w:val="single" w:color="000000" w:sz="4" w:space="0"/>
            </w:tcBorders>
            <w:vAlign w:val="center"/>
          </w:tcPr>
          <w:p w14:paraId="4358D192">
            <w:pPr>
              <w:widowControl/>
              <w:adjustRightInd/>
              <w:snapToGrid/>
              <w:spacing w:line="360" w:lineRule="auto"/>
              <w:jc w:val="both"/>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专业工程师：</w:t>
            </w:r>
          </w:p>
          <w:p w14:paraId="7E20C123">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3FC26026">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2DDBE80F">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11615205">
            <w:pPr>
              <w:widowControl/>
              <w:adjustRightInd/>
              <w:snapToGrid/>
              <w:spacing w:line="360" w:lineRule="auto"/>
              <w:jc w:val="both"/>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w:t>
            </w:r>
          </w:p>
          <w:p w14:paraId="669EDA03">
            <w:pPr>
              <w:widowControl/>
              <w:adjustRightInd/>
              <w:snapToGrid/>
              <w:spacing w:line="360" w:lineRule="auto"/>
              <w:jc w:val="both"/>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 xml:space="preserve">                   年   月   日</w:t>
            </w:r>
          </w:p>
        </w:tc>
      </w:tr>
      <w:tr w14:paraId="5A86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05" w:hRule="atLeast"/>
        </w:trPr>
        <w:tc>
          <w:tcPr>
            <w:tcW w:w="4164" w:type="dxa"/>
            <w:gridSpan w:val="4"/>
            <w:tcBorders>
              <w:top w:val="single" w:color="000000" w:sz="4" w:space="0"/>
              <w:left w:val="single" w:color="000000" w:sz="4" w:space="0"/>
              <w:bottom w:val="single" w:color="000000" w:sz="4" w:space="0"/>
              <w:right w:val="single" w:color="000000" w:sz="4" w:space="0"/>
            </w:tcBorders>
            <w:vAlign w:val="center"/>
          </w:tcPr>
          <w:p w14:paraId="2C78BAD5">
            <w:pPr>
              <w:widowControl/>
              <w:adjustRightInd/>
              <w:snapToGrid/>
              <w:spacing w:line="360" w:lineRule="auto"/>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生产技术部： </w:t>
            </w:r>
          </w:p>
          <w:p w14:paraId="7358DBD9">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55B8A20A">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777A209A">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153ACD7C">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4152D89B">
            <w:pPr>
              <w:widowControl/>
              <w:adjustRightInd/>
              <w:snapToGrid/>
              <w:spacing w:line="360" w:lineRule="auto"/>
              <w:jc w:val="lef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 xml:space="preserve">                     年   月   日</w:t>
            </w:r>
          </w:p>
        </w:tc>
        <w:tc>
          <w:tcPr>
            <w:tcW w:w="4172" w:type="dxa"/>
            <w:gridSpan w:val="4"/>
            <w:tcBorders>
              <w:top w:val="single" w:color="000000" w:sz="4" w:space="0"/>
              <w:left w:val="single" w:color="000000" w:sz="4" w:space="0"/>
              <w:bottom w:val="single" w:color="000000" w:sz="4" w:space="0"/>
              <w:right w:val="single" w:color="000000" w:sz="4" w:space="0"/>
            </w:tcBorders>
            <w:vAlign w:val="center"/>
          </w:tcPr>
          <w:p w14:paraId="7DC30EDA">
            <w:pPr>
              <w:widowControl/>
              <w:adjustRightInd/>
              <w:snapToGrid/>
              <w:spacing w:line="360" w:lineRule="auto"/>
              <w:jc w:val="left"/>
              <w:textAlignment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甲方副总经理： </w:t>
            </w:r>
          </w:p>
          <w:p w14:paraId="5CA2B329">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611DF6A8">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7498463F">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4F0960CE">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4AFA5A6D">
            <w:pPr>
              <w:widowControl/>
              <w:adjustRightInd/>
              <w:snapToGrid/>
              <w:spacing w:line="360" w:lineRule="auto"/>
              <w:jc w:val="lef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 xml:space="preserve">                        年   月   日</w:t>
            </w:r>
          </w:p>
        </w:tc>
      </w:tr>
    </w:tbl>
    <w:p w14:paraId="378A9B17">
      <w:pPr>
        <w:bidi w:val="0"/>
        <w:rPr>
          <w:rFonts w:hint="eastAsia" w:ascii="宋体" w:hAnsi="宋体" w:eastAsia="宋体" w:cs="宋体"/>
          <w:color w:val="auto"/>
          <w:highlight w:val="none"/>
        </w:rPr>
      </w:pPr>
      <w:bookmarkStart w:id="246" w:name="_Toc21321"/>
      <w:bookmarkStart w:id="247" w:name="_Toc131690844"/>
      <w:r>
        <w:rPr>
          <w:rFonts w:hint="eastAsia" w:ascii="宋体" w:hAnsi="宋体" w:eastAsia="宋体" w:cs="宋体"/>
          <w:color w:val="auto"/>
          <w:highlight w:val="none"/>
        </w:rPr>
        <w:t>二、锅炉与尾气系统常规项目工程量确认单：</w:t>
      </w:r>
      <w:bookmarkEnd w:id="246"/>
      <w:bookmarkEnd w:id="247"/>
    </w:p>
    <w:tbl>
      <w:tblPr>
        <w:tblStyle w:val="31"/>
        <w:tblW w:w="80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040"/>
        <w:gridCol w:w="1040"/>
        <w:gridCol w:w="919"/>
        <w:gridCol w:w="2168"/>
        <w:gridCol w:w="769"/>
        <w:gridCol w:w="1100"/>
      </w:tblGrid>
      <w:tr w14:paraId="64513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0" w:hRule="atLeast"/>
          <w:jc w:val="center"/>
        </w:trPr>
        <w:tc>
          <w:tcPr>
            <w:tcW w:w="1040" w:type="dxa"/>
            <w:tcBorders>
              <w:top w:val="single" w:color="000000" w:sz="8" w:space="0"/>
              <w:left w:val="single" w:color="000000" w:sz="8" w:space="0"/>
              <w:bottom w:val="single" w:color="000000" w:sz="8" w:space="0"/>
              <w:right w:val="single" w:color="000000" w:sz="8" w:space="0"/>
            </w:tcBorders>
            <w:vAlign w:val="center"/>
          </w:tcPr>
          <w:p w14:paraId="70C676B7">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序号</w:t>
            </w:r>
          </w:p>
        </w:tc>
        <w:tc>
          <w:tcPr>
            <w:tcW w:w="1040" w:type="dxa"/>
            <w:tcBorders>
              <w:top w:val="single" w:color="000000" w:sz="8" w:space="0"/>
              <w:left w:val="nil"/>
              <w:bottom w:val="single" w:color="000000" w:sz="8" w:space="0"/>
              <w:right w:val="single" w:color="000000" w:sz="8" w:space="0"/>
            </w:tcBorders>
            <w:vAlign w:val="center"/>
          </w:tcPr>
          <w:p w14:paraId="613F0A1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系统名称</w:t>
            </w:r>
          </w:p>
        </w:tc>
        <w:tc>
          <w:tcPr>
            <w:tcW w:w="1040" w:type="dxa"/>
            <w:tcBorders>
              <w:top w:val="single" w:color="000000" w:sz="8" w:space="0"/>
              <w:left w:val="nil"/>
              <w:bottom w:val="single" w:color="000000" w:sz="8" w:space="0"/>
              <w:right w:val="single" w:color="000000" w:sz="8" w:space="0"/>
            </w:tcBorders>
            <w:vAlign w:val="center"/>
          </w:tcPr>
          <w:p w14:paraId="1A6CB802">
            <w:pPr>
              <w:widowControl/>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部件</w:t>
            </w:r>
          </w:p>
          <w:p w14:paraId="797F863C">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名称</w:t>
            </w:r>
          </w:p>
        </w:tc>
        <w:tc>
          <w:tcPr>
            <w:tcW w:w="3087" w:type="dxa"/>
            <w:gridSpan w:val="2"/>
            <w:tcBorders>
              <w:top w:val="single" w:color="000000" w:sz="8" w:space="0"/>
              <w:left w:val="nil"/>
              <w:bottom w:val="single" w:color="000000" w:sz="8" w:space="0"/>
              <w:right w:val="single" w:color="000000" w:sz="8" w:space="0"/>
            </w:tcBorders>
            <w:vAlign w:val="center"/>
          </w:tcPr>
          <w:p w14:paraId="33CF7A40">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常规项目</w:t>
            </w:r>
          </w:p>
        </w:tc>
        <w:tc>
          <w:tcPr>
            <w:tcW w:w="769" w:type="dxa"/>
            <w:tcBorders>
              <w:top w:val="single" w:color="000000" w:sz="8" w:space="0"/>
              <w:left w:val="nil"/>
              <w:bottom w:val="single" w:color="000000" w:sz="8" w:space="0"/>
              <w:right w:val="single" w:color="000000" w:sz="8" w:space="0"/>
            </w:tcBorders>
            <w:vAlign w:val="center"/>
          </w:tcPr>
          <w:p w14:paraId="709C79EE">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单位</w:t>
            </w:r>
          </w:p>
        </w:tc>
        <w:tc>
          <w:tcPr>
            <w:tcW w:w="1100" w:type="dxa"/>
            <w:tcBorders>
              <w:top w:val="single" w:color="000000" w:sz="8" w:space="0"/>
              <w:left w:val="nil"/>
              <w:bottom w:val="single" w:color="000000" w:sz="8" w:space="0"/>
              <w:right w:val="single" w:color="000000" w:sz="8" w:space="0"/>
            </w:tcBorders>
            <w:vAlign w:val="center"/>
          </w:tcPr>
          <w:p w14:paraId="241379E0">
            <w:pPr>
              <w:widowControl/>
              <w:adjustRightInd/>
              <w:snapToGrid/>
              <w:spacing w:line="240" w:lineRule="auto"/>
              <w:jc w:val="center"/>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完成情况</w:t>
            </w:r>
          </w:p>
        </w:tc>
      </w:tr>
      <w:tr w14:paraId="0049A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1040" w:type="dxa"/>
            <w:vMerge w:val="restart"/>
            <w:tcBorders>
              <w:top w:val="nil"/>
              <w:left w:val="single" w:color="000000" w:sz="8" w:space="0"/>
              <w:bottom w:val="single" w:color="000000" w:sz="8" w:space="0"/>
              <w:right w:val="single" w:color="000000" w:sz="8" w:space="0"/>
            </w:tcBorders>
            <w:vAlign w:val="center"/>
          </w:tcPr>
          <w:p w14:paraId="319BDC5C">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一</w:t>
            </w:r>
          </w:p>
        </w:tc>
        <w:tc>
          <w:tcPr>
            <w:tcW w:w="1040" w:type="dxa"/>
            <w:vMerge w:val="restart"/>
            <w:tcBorders>
              <w:top w:val="nil"/>
              <w:left w:val="nil"/>
              <w:bottom w:val="single" w:color="000000" w:sz="8" w:space="0"/>
              <w:right w:val="single" w:color="000000" w:sz="8" w:space="0"/>
            </w:tcBorders>
            <w:vAlign w:val="center"/>
          </w:tcPr>
          <w:p w14:paraId="692E9252">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余热锅炉本体</w:t>
            </w:r>
          </w:p>
        </w:tc>
        <w:tc>
          <w:tcPr>
            <w:tcW w:w="1040" w:type="dxa"/>
            <w:vMerge w:val="restart"/>
            <w:tcBorders>
              <w:top w:val="nil"/>
              <w:left w:val="nil"/>
              <w:bottom w:val="single" w:color="000000" w:sz="8" w:space="0"/>
              <w:right w:val="single" w:color="000000" w:sz="8" w:space="0"/>
            </w:tcBorders>
            <w:vAlign w:val="center"/>
          </w:tcPr>
          <w:p w14:paraId="0A3BA49E">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水冷系统</w:t>
            </w:r>
          </w:p>
        </w:tc>
        <w:tc>
          <w:tcPr>
            <w:tcW w:w="3087" w:type="dxa"/>
            <w:gridSpan w:val="2"/>
            <w:vMerge w:val="restart"/>
            <w:tcBorders>
              <w:top w:val="nil"/>
              <w:left w:val="nil"/>
              <w:bottom w:val="single" w:color="000000" w:sz="8" w:space="0"/>
              <w:right w:val="single" w:color="000000" w:sz="8" w:space="0"/>
            </w:tcBorders>
            <w:vAlign w:val="center"/>
          </w:tcPr>
          <w:p w14:paraId="2E2AEF84">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1.一通道炉膛内壁焦块和积灰清理，消缺及更换受热面管；（包括膨胀节联箱以上的部分结焦清理）</w:t>
            </w:r>
          </w:p>
        </w:tc>
        <w:tc>
          <w:tcPr>
            <w:tcW w:w="769" w:type="dxa"/>
            <w:vMerge w:val="restart"/>
            <w:tcBorders>
              <w:top w:val="nil"/>
              <w:left w:val="single" w:color="000000" w:sz="8" w:space="0"/>
              <w:bottom w:val="single" w:color="000000" w:sz="8" w:space="0"/>
              <w:right w:val="single" w:color="000000" w:sz="8" w:space="0"/>
            </w:tcBorders>
            <w:vAlign w:val="center"/>
          </w:tcPr>
          <w:p w14:paraId="231D0DFC">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vMerge w:val="restart"/>
            <w:tcBorders>
              <w:top w:val="nil"/>
              <w:left w:val="nil"/>
              <w:bottom w:val="single" w:color="000000" w:sz="8" w:space="0"/>
              <w:right w:val="single" w:color="000000" w:sz="8" w:space="0"/>
            </w:tcBorders>
            <w:vAlign w:val="center"/>
          </w:tcPr>
          <w:p w14:paraId="48CA655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0C582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6E3B7D2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812283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2DDDC55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vMerge w:val="continue"/>
            <w:tcBorders>
              <w:top w:val="nil"/>
              <w:left w:val="nil"/>
              <w:bottom w:val="single" w:color="000000" w:sz="8" w:space="0"/>
              <w:right w:val="single" w:color="000000" w:sz="8" w:space="0"/>
            </w:tcBorders>
            <w:vAlign w:val="center"/>
          </w:tcPr>
          <w:p w14:paraId="195EF9E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69" w:type="dxa"/>
            <w:vMerge w:val="continue"/>
            <w:tcBorders>
              <w:top w:val="nil"/>
              <w:left w:val="single" w:color="000000" w:sz="8" w:space="0"/>
              <w:bottom w:val="single" w:color="000000" w:sz="8" w:space="0"/>
              <w:right w:val="single" w:color="000000" w:sz="8" w:space="0"/>
            </w:tcBorders>
            <w:vAlign w:val="center"/>
          </w:tcPr>
          <w:p w14:paraId="0B1ACC9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100" w:type="dxa"/>
            <w:vMerge w:val="continue"/>
            <w:tcBorders>
              <w:top w:val="nil"/>
              <w:left w:val="nil"/>
              <w:bottom w:val="single" w:color="000000" w:sz="8" w:space="0"/>
              <w:right w:val="single" w:color="000000" w:sz="8" w:space="0"/>
            </w:tcBorders>
            <w:vAlign w:val="center"/>
          </w:tcPr>
          <w:p w14:paraId="5F5A413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76655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4F0A0D2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1240F4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7B6BFE4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538C14EF">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2.防磨瓦检查；</w:t>
            </w:r>
          </w:p>
        </w:tc>
        <w:tc>
          <w:tcPr>
            <w:tcW w:w="769" w:type="dxa"/>
            <w:tcBorders>
              <w:top w:val="nil"/>
              <w:left w:val="single" w:color="000000" w:sz="8" w:space="0"/>
              <w:bottom w:val="single" w:color="000000" w:sz="8" w:space="0"/>
              <w:right w:val="single" w:color="000000" w:sz="8" w:space="0"/>
            </w:tcBorders>
            <w:vAlign w:val="center"/>
          </w:tcPr>
          <w:p w14:paraId="1C233BE6">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1B19F7A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1FC92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0FB3DDC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02FF0FA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restart"/>
            <w:tcBorders>
              <w:top w:val="nil"/>
              <w:left w:val="nil"/>
              <w:bottom w:val="single" w:color="000000" w:sz="8" w:space="0"/>
              <w:right w:val="single" w:color="000000" w:sz="8" w:space="0"/>
            </w:tcBorders>
            <w:vAlign w:val="center"/>
          </w:tcPr>
          <w:p w14:paraId="566890F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省煤器系统</w:t>
            </w:r>
          </w:p>
        </w:tc>
        <w:tc>
          <w:tcPr>
            <w:tcW w:w="3087" w:type="dxa"/>
            <w:gridSpan w:val="2"/>
            <w:vMerge w:val="restart"/>
            <w:tcBorders>
              <w:top w:val="nil"/>
              <w:left w:val="nil"/>
              <w:bottom w:val="single" w:color="000000" w:sz="8" w:space="0"/>
              <w:right w:val="single" w:color="000000" w:sz="8" w:space="0"/>
            </w:tcBorders>
            <w:vAlign w:val="center"/>
          </w:tcPr>
          <w:p w14:paraId="4909B496">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3.a.检查管子磨损、变形、腐蚀、必要时割管检查；</w:t>
            </w:r>
          </w:p>
        </w:tc>
        <w:tc>
          <w:tcPr>
            <w:tcW w:w="769" w:type="dxa"/>
            <w:vMerge w:val="restart"/>
            <w:tcBorders>
              <w:top w:val="nil"/>
              <w:left w:val="single" w:color="000000" w:sz="8" w:space="0"/>
              <w:bottom w:val="single" w:color="000000" w:sz="8" w:space="0"/>
              <w:right w:val="single" w:color="000000" w:sz="8" w:space="0"/>
            </w:tcBorders>
            <w:vAlign w:val="center"/>
          </w:tcPr>
          <w:p w14:paraId="121BE8BD">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vMerge w:val="restart"/>
            <w:tcBorders>
              <w:top w:val="nil"/>
              <w:left w:val="nil"/>
              <w:bottom w:val="single" w:color="000000" w:sz="8" w:space="0"/>
              <w:right w:val="single" w:color="000000" w:sz="8" w:space="0"/>
            </w:tcBorders>
            <w:vAlign w:val="center"/>
          </w:tcPr>
          <w:p w14:paraId="4C7C203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46C51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1E3BCBD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3CA79C2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0AE7659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vMerge w:val="continue"/>
            <w:tcBorders>
              <w:top w:val="nil"/>
              <w:left w:val="nil"/>
              <w:bottom w:val="single" w:color="000000" w:sz="8" w:space="0"/>
              <w:right w:val="single" w:color="000000" w:sz="8" w:space="0"/>
            </w:tcBorders>
            <w:vAlign w:val="center"/>
          </w:tcPr>
          <w:p w14:paraId="579CB83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69" w:type="dxa"/>
            <w:vMerge w:val="continue"/>
            <w:tcBorders>
              <w:top w:val="nil"/>
              <w:left w:val="single" w:color="000000" w:sz="8" w:space="0"/>
              <w:bottom w:val="single" w:color="000000" w:sz="8" w:space="0"/>
              <w:right w:val="single" w:color="000000" w:sz="8" w:space="0"/>
            </w:tcBorders>
            <w:vAlign w:val="center"/>
          </w:tcPr>
          <w:p w14:paraId="3B40553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100" w:type="dxa"/>
            <w:vMerge w:val="continue"/>
            <w:tcBorders>
              <w:top w:val="nil"/>
              <w:left w:val="nil"/>
              <w:bottom w:val="single" w:color="000000" w:sz="8" w:space="0"/>
              <w:right w:val="single" w:color="000000" w:sz="8" w:space="0"/>
            </w:tcBorders>
            <w:vAlign w:val="center"/>
          </w:tcPr>
          <w:p w14:paraId="29A3274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02738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61BC3E1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772A4C8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restart"/>
            <w:tcBorders>
              <w:top w:val="nil"/>
              <w:left w:val="nil"/>
              <w:bottom w:val="single" w:color="000000" w:sz="8" w:space="0"/>
              <w:right w:val="single" w:color="000000" w:sz="8" w:space="0"/>
            </w:tcBorders>
            <w:vAlign w:val="center"/>
          </w:tcPr>
          <w:p w14:paraId="7994C8DC">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空气预热器</w:t>
            </w:r>
          </w:p>
        </w:tc>
        <w:tc>
          <w:tcPr>
            <w:tcW w:w="3087" w:type="dxa"/>
            <w:gridSpan w:val="2"/>
            <w:vMerge w:val="restart"/>
            <w:tcBorders>
              <w:top w:val="nil"/>
              <w:left w:val="nil"/>
              <w:bottom w:val="single" w:color="000000" w:sz="8" w:space="0"/>
              <w:right w:val="single" w:color="000000" w:sz="8" w:space="0"/>
            </w:tcBorders>
            <w:vAlign w:val="center"/>
          </w:tcPr>
          <w:p w14:paraId="2E51A334">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4.漏风试验，积灰清理，护板防腐，并处理各漏点；</w:t>
            </w:r>
          </w:p>
        </w:tc>
        <w:tc>
          <w:tcPr>
            <w:tcW w:w="769" w:type="dxa"/>
            <w:vMerge w:val="restart"/>
            <w:tcBorders>
              <w:top w:val="nil"/>
              <w:left w:val="single" w:color="000000" w:sz="8" w:space="0"/>
              <w:bottom w:val="single" w:color="000000" w:sz="8" w:space="0"/>
              <w:right w:val="single" w:color="000000" w:sz="8" w:space="0"/>
            </w:tcBorders>
            <w:vAlign w:val="center"/>
          </w:tcPr>
          <w:p w14:paraId="6FE016AD">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vMerge w:val="restart"/>
            <w:tcBorders>
              <w:top w:val="nil"/>
              <w:left w:val="nil"/>
              <w:bottom w:val="single" w:color="000000" w:sz="8" w:space="0"/>
              <w:right w:val="single" w:color="000000" w:sz="8" w:space="0"/>
            </w:tcBorders>
            <w:vAlign w:val="center"/>
          </w:tcPr>
          <w:p w14:paraId="362A759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55C21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05031BF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0553BCF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746F3E9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087" w:type="dxa"/>
            <w:gridSpan w:val="2"/>
            <w:vMerge w:val="continue"/>
            <w:tcBorders>
              <w:top w:val="nil"/>
              <w:left w:val="nil"/>
              <w:bottom w:val="single" w:color="000000" w:sz="8" w:space="0"/>
              <w:right w:val="single" w:color="000000" w:sz="8" w:space="0"/>
            </w:tcBorders>
            <w:vAlign w:val="center"/>
          </w:tcPr>
          <w:p w14:paraId="7610230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769" w:type="dxa"/>
            <w:vMerge w:val="continue"/>
            <w:tcBorders>
              <w:top w:val="nil"/>
              <w:left w:val="single" w:color="000000" w:sz="8" w:space="0"/>
              <w:bottom w:val="single" w:color="000000" w:sz="8" w:space="0"/>
              <w:right w:val="single" w:color="000000" w:sz="8" w:space="0"/>
            </w:tcBorders>
            <w:vAlign w:val="center"/>
          </w:tcPr>
          <w:p w14:paraId="018BB02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100" w:type="dxa"/>
            <w:vMerge w:val="continue"/>
            <w:tcBorders>
              <w:top w:val="nil"/>
              <w:left w:val="nil"/>
              <w:bottom w:val="single" w:color="000000" w:sz="8" w:space="0"/>
              <w:right w:val="single" w:color="000000" w:sz="8" w:space="0"/>
            </w:tcBorders>
            <w:vAlign w:val="center"/>
          </w:tcPr>
          <w:p w14:paraId="2BEFBC4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6E2D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7"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7060D00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272645A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tcBorders>
              <w:top w:val="nil"/>
              <w:left w:val="nil"/>
              <w:bottom w:val="single" w:color="000000" w:sz="8" w:space="0"/>
              <w:right w:val="single" w:color="000000" w:sz="8" w:space="0"/>
            </w:tcBorders>
            <w:vAlign w:val="center"/>
          </w:tcPr>
          <w:p w14:paraId="05A116F5">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钢架炉墙保温</w:t>
            </w:r>
          </w:p>
        </w:tc>
        <w:tc>
          <w:tcPr>
            <w:tcW w:w="3087" w:type="dxa"/>
            <w:gridSpan w:val="2"/>
            <w:tcBorders>
              <w:top w:val="nil"/>
              <w:left w:val="nil"/>
              <w:bottom w:val="single" w:color="000000" w:sz="8" w:space="0"/>
              <w:right w:val="single" w:color="000000" w:sz="8" w:space="0"/>
            </w:tcBorders>
            <w:vAlign w:val="center"/>
          </w:tcPr>
          <w:p w14:paraId="1BEB4243">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5.看火门、人孔门、防爆门、伸缩节、炉墙消缺、积灰清理，各类跑冒滴漏处理；</w:t>
            </w:r>
          </w:p>
        </w:tc>
        <w:tc>
          <w:tcPr>
            <w:tcW w:w="769" w:type="dxa"/>
            <w:tcBorders>
              <w:top w:val="nil"/>
              <w:left w:val="single" w:color="000000" w:sz="8" w:space="0"/>
              <w:bottom w:val="single" w:color="000000" w:sz="8" w:space="0"/>
              <w:right w:val="single" w:color="000000" w:sz="8" w:space="0"/>
            </w:tcBorders>
            <w:vAlign w:val="center"/>
          </w:tcPr>
          <w:p w14:paraId="027A3B8F">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7775B44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1E5D4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37D74EC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00FC48B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restart"/>
            <w:tcBorders>
              <w:top w:val="nil"/>
              <w:left w:val="nil"/>
              <w:bottom w:val="single" w:color="000000" w:sz="8" w:space="0"/>
              <w:right w:val="single" w:color="000000" w:sz="8" w:space="0"/>
            </w:tcBorders>
            <w:vAlign w:val="center"/>
          </w:tcPr>
          <w:p w14:paraId="0A1B2A57">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其他</w:t>
            </w:r>
          </w:p>
        </w:tc>
        <w:tc>
          <w:tcPr>
            <w:tcW w:w="3087" w:type="dxa"/>
            <w:gridSpan w:val="2"/>
            <w:tcBorders>
              <w:top w:val="nil"/>
              <w:left w:val="nil"/>
              <w:bottom w:val="single" w:color="000000" w:sz="8" w:space="0"/>
              <w:right w:val="single" w:color="000000" w:sz="8" w:space="0"/>
            </w:tcBorders>
            <w:vAlign w:val="center"/>
          </w:tcPr>
          <w:p w14:paraId="4B3266D8">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6.锅炉整体水压试验，检查承压部件的严密性，含汽水系统消缺；</w:t>
            </w:r>
          </w:p>
        </w:tc>
        <w:tc>
          <w:tcPr>
            <w:tcW w:w="769" w:type="dxa"/>
            <w:tcBorders>
              <w:top w:val="nil"/>
              <w:left w:val="single" w:color="000000" w:sz="8" w:space="0"/>
              <w:bottom w:val="single" w:color="000000" w:sz="8" w:space="0"/>
              <w:right w:val="single" w:color="000000" w:sz="8" w:space="0"/>
            </w:tcBorders>
            <w:vAlign w:val="center"/>
          </w:tcPr>
          <w:p w14:paraId="6ABD1B30">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6E6E1A9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3CB7C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7"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6FA4E49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C120D1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49E1836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368FAF0F">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7.处理漏风试验漏点；（由于项目施工造成的由施工方负责恢复，不另外进行结算）</w:t>
            </w:r>
          </w:p>
        </w:tc>
        <w:tc>
          <w:tcPr>
            <w:tcW w:w="769" w:type="dxa"/>
            <w:tcBorders>
              <w:top w:val="nil"/>
              <w:left w:val="single" w:color="000000" w:sz="8" w:space="0"/>
              <w:bottom w:val="single" w:color="000000" w:sz="8" w:space="0"/>
              <w:right w:val="single" w:color="000000" w:sz="8" w:space="0"/>
            </w:tcBorders>
            <w:vAlign w:val="center"/>
          </w:tcPr>
          <w:p w14:paraId="2583385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650BA59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48E95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3C31C2D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71B4F12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771BA31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6E173837">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8.锅炉本体中其它附属管道（如压缩空气管）漏点处理；</w:t>
            </w:r>
          </w:p>
        </w:tc>
        <w:tc>
          <w:tcPr>
            <w:tcW w:w="769" w:type="dxa"/>
            <w:tcBorders>
              <w:top w:val="nil"/>
              <w:left w:val="single" w:color="000000" w:sz="8" w:space="0"/>
              <w:bottom w:val="single" w:color="000000" w:sz="8" w:space="0"/>
              <w:right w:val="single" w:color="000000" w:sz="8" w:space="0"/>
            </w:tcBorders>
            <w:vAlign w:val="center"/>
          </w:tcPr>
          <w:p w14:paraId="46E54B5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0147DC5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14E7F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7" w:hRule="atLeast"/>
          <w:jc w:val="center"/>
        </w:trPr>
        <w:tc>
          <w:tcPr>
            <w:tcW w:w="1040" w:type="dxa"/>
            <w:vMerge w:val="restart"/>
            <w:tcBorders>
              <w:top w:val="nil"/>
              <w:left w:val="single" w:color="000000" w:sz="8" w:space="0"/>
              <w:bottom w:val="single" w:color="000000" w:sz="8" w:space="0"/>
              <w:right w:val="single" w:color="000000" w:sz="8" w:space="0"/>
            </w:tcBorders>
            <w:vAlign w:val="center"/>
          </w:tcPr>
          <w:p w14:paraId="27928D1F">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二</w:t>
            </w:r>
          </w:p>
        </w:tc>
        <w:tc>
          <w:tcPr>
            <w:tcW w:w="1040" w:type="dxa"/>
            <w:vMerge w:val="restart"/>
            <w:tcBorders>
              <w:top w:val="nil"/>
              <w:left w:val="nil"/>
              <w:bottom w:val="single" w:color="000000" w:sz="8" w:space="0"/>
              <w:right w:val="single" w:color="000000" w:sz="8" w:space="0"/>
            </w:tcBorders>
            <w:vAlign w:val="center"/>
          </w:tcPr>
          <w:p w14:paraId="41B5CEF2">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炉排本体　</w:t>
            </w:r>
          </w:p>
        </w:tc>
        <w:tc>
          <w:tcPr>
            <w:tcW w:w="1040" w:type="dxa"/>
            <w:vMerge w:val="restart"/>
            <w:tcBorders>
              <w:top w:val="nil"/>
              <w:left w:val="nil"/>
              <w:bottom w:val="single" w:color="000000" w:sz="8" w:space="0"/>
              <w:right w:val="single" w:color="000000" w:sz="8" w:space="0"/>
            </w:tcBorders>
            <w:vAlign w:val="center"/>
          </w:tcPr>
          <w:p w14:paraId="7EF7C484">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给料系统</w:t>
            </w:r>
          </w:p>
        </w:tc>
        <w:tc>
          <w:tcPr>
            <w:tcW w:w="3087" w:type="dxa"/>
            <w:gridSpan w:val="2"/>
            <w:tcBorders>
              <w:top w:val="nil"/>
              <w:left w:val="nil"/>
              <w:bottom w:val="single" w:color="000000" w:sz="8" w:space="0"/>
              <w:right w:val="single" w:color="000000" w:sz="8" w:space="0"/>
            </w:tcBorders>
            <w:vAlign w:val="center"/>
          </w:tcPr>
          <w:p w14:paraId="3642602A">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9.给料小车及小车导轨、加油模块、液压缸周边及渗滤液收集箱杂物清理、卫生清洁；</w:t>
            </w:r>
          </w:p>
        </w:tc>
        <w:tc>
          <w:tcPr>
            <w:tcW w:w="769" w:type="dxa"/>
            <w:tcBorders>
              <w:top w:val="nil"/>
              <w:left w:val="single" w:color="000000" w:sz="8" w:space="0"/>
              <w:bottom w:val="single" w:color="000000" w:sz="8" w:space="0"/>
              <w:right w:val="single" w:color="000000" w:sz="8" w:space="0"/>
            </w:tcBorders>
            <w:vAlign w:val="center"/>
          </w:tcPr>
          <w:p w14:paraId="5B83AC76">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420279A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63409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0558286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2718432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7DB73E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7313DB86">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10.驱动轮、导向轮、行走钢轨检查、加油、维护及调整处理；支点加油系统维护；</w:t>
            </w:r>
          </w:p>
        </w:tc>
        <w:tc>
          <w:tcPr>
            <w:tcW w:w="769" w:type="dxa"/>
            <w:tcBorders>
              <w:top w:val="nil"/>
              <w:left w:val="single" w:color="000000" w:sz="8" w:space="0"/>
              <w:bottom w:val="single" w:color="000000" w:sz="8" w:space="0"/>
              <w:right w:val="single" w:color="000000" w:sz="8" w:space="0"/>
            </w:tcBorders>
            <w:vAlign w:val="center"/>
          </w:tcPr>
          <w:p w14:paraId="163D4E4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7247A32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2D893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7A6C0F6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3166F86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3A87A66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66431E0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11.检查中间框架耐磨板及铸件检查、消缺、更换处理；</w:t>
            </w:r>
          </w:p>
        </w:tc>
        <w:tc>
          <w:tcPr>
            <w:tcW w:w="769" w:type="dxa"/>
            <w:tcBorders>
              <w:top w:val="nil"/>
              <w:left w:val="single" w:color="000000" w:sz="8" w:space="0"/>
              <w:bottom w:val="single" w:color="000000" w:sz="8" w:space="0"/>
              <w:right w:val="single" w:color="000000" w:sz="8" w:space="0"/>
            </w:tcBorders>
            <w:vAlign w:val="center"/>
          </w:tcPr>
          <w:p w14:paraId="6E0D2296">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48482C5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1D88A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5BF8B08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490E27E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54DDE50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0A89073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12.检查各类铸件是否出现断裂、下沉、上翘、松动、铸件间间隙大缝隙等现象；</w:t>
            </w:r>
          </w:p>
        </w:tc>
        <w:tc>
          <w:tcPr>
            <w:tcW w:w="769" w:type="dxa"/>
            <w:tcBorders>
              <w:top w:val="nil"/>
              <w:left w:val="single" w:color="000000" w:sz="8" w:space="0"/>
              <w:bottom w:val="single" w:color="000000" w:sz="8" w:space="0"/>
              <w:right w:val="single" w:color="000000" w:sz="8" w:space="0"/>
            </w:tcBorders>
            <w:vAlign w:val="center"/>
          </w:tcPr>
          <w:p w14:paraId="6095C95E">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008760F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19C8B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2BAA753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4D2079A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25D2930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54627DEC">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13.检查滑动平台铸件平面度、相邻铸件平面度等；</w:t>
            </w:r>
          </w:p>
        </w:tc>
        <w:tc>
          <w:tcPr>
            <w:tcW w:w="769" w:type="dxa"/>
            <w:tcBorders>
              <w:top w:val="nil"/>
              <w:left w:val="single" w:color="000000" w:sz="8" w:space="0"/>
              <w:bottom w:val="single" w:color="000000" w:sz="8" w:space="0"/>
              <w:right w:val="single" w:color="000000" w:sz="8" w:space="0"/>
            </w:tcBorders>
            <w:vAlign w:val="center"/>
          </w:tcPr>
          <w:p w14:paraId="02704721">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44C1223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08596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79F9CEA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4E1AC20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2A28FBE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03094399">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14.溜槽处防磨钢板磨损检查、缺陷处理；</w:t>
            </w:r>
          </w:p>
        </w:tc>
        <w:tc>
          <w:tcPr>
            <w:tcW w:w="769" w:type="dxa"/>
            <w:tcBorders>
              <w:top w:val="nil"/>
              <w:left w:val="single" w:color="000000" w:sz="8" w:space="0"/>
              <w:bottom w:val="single" w:color="000000" w:sz="8" w:space="0"/>
              <w:right w:val="single" w:color="000000" w:sz="8" w:space="0"/>
            </w:tcBorders>
            <w:vAlign w:val="center"/>
          </w:tcPr>
          <w:p w14:paraId="62AC95BF">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78C2831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4E66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7"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67F6F3B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2C70B7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restart"/>
            <w:tcBorders>
              <w:top w:val="nil"/>
              <w:left w:val="nil"/>
              <w:bottom w:val="single" w:color="000000" w:sz="8" w:space="0"/>
              <w:right w:val="single" w:color="000000" w:sz="8" w:space="0"/>
            </w:tcBorders>
            <w:vAlign w:val="center"/>
          </w:tcPr>
          <w:p w14:paraId="194D1C9D">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炉排系统</w:t>
            </w:r>
          </w:p>
        </w:tc>
        <w:tc>
          <w:tcPr>
            <w:tcW w:w="3087" w:type="dxa"/>
            <w:gridSpan w:val="2"/>
            <w:tcBorders>
              <w:top w:val="nil"/>
              <w:left w:val="nil"/>
              <w:bottom w:val="single" w:color="000000" w:sz="8" w:space="0"/>
              <w:right w:val="single" w:color="000000" w:sz="8" w:space="0"/>
            </w:tcBorders>
            <w:vAlign w:val="center"/>
          </w:tcPr>
          <w:p w14:paraId="0D51D82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15.炉排残渣清理，炉排间隙检查、测量、调整（出现生料情况，清理以外判另计）；</w:t>
            </w:r>
          </w:p>
        </w:tc>
        <w:tc>
          <w:tcPr>
            <w:tcW w:w="769" w:type="dxa"/>
            <w:tcBorders>
              <w:top w:val="nil"/>
              <w:left w:val="single" w:color="000000" w:sz="8" w:space="0"/>
              <w:bottom w:val="single" w:color="000000" w:sz="8" w:space="0"/>
              <w:right w:val="single" w:color="000000" w:sz="8" w:space="0"/>
            </w:tcBorders>
            <w:vAlign w:val="center"/>
          </w:tcPr>
          <w:p w14:paraId="201DE491">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46D9349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0BDA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744E62D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3BE7A3E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57095A7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14D37222">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16.炉排垫片处理或更换、连接螺栓检查，缺陷处理；</w:t>
            </w:r>
          </w:p>
        </w:tc>
        <w:tc>
          <w:tcPr>
            <w:tcW w:w="769" w:type="dxa"/>
            <w:tcBorders>
              <w:top w:val="nil"/>
              <w:left w:val="single" w:color="000000" w:sz="8" w:space="0"/>
              <w:bottom w:val="single" w:color="000000" w:sz="8" w:space="0"/>
              <w:right w:val="single" w:color="000000" w:sz="8" w:space="0"/>
            </w:tcBorders>
            <w:vAlign w:val="center"/>
          </w:tcPr>
          <w:p w14:paraId="56CE83A0">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08F3995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7D0F4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3649FBD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4EB82FC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6B4E5D1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27C15FD8">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17.驱动梁维护、密封盒维护；轴承、压紧轮、导向轮等磨损检查、维护。油质检查。托辊维护；</w:t>
            </w:r>
          </w:p>
        </w:tc>
        <w:tc>
          <w:tcPr>
            <w:tcW w:w="769" w:type="dxa"/>
            <w:tcBorders>
              <w:top w:val="nil"/>
              <w:left w:val="single" w:color="000000" w:sz="8" w:space="0"/>
              <w:bottom w:val="single" w:color="000000" w:sz="8" w:space="0"/>
              <w:right w:val="single" w:color="000000" w:sz="8" w:space="0"/>
            </w:tcBorders>
            <w:vAlign w:val="center"/>
          </w:tcPr>
          <w:p w14:paraId="5BBB5D66">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52636EF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21405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4F92F26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4CBBF0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46B9283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0A522F80">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18.各受力部位连接件检查消缺；定位块检查；</w:t>
            </w:r>
          </w:p>
        </w:tc>
        <w:tc>
          <w:tcPr>
            <w:tcW w:w="769" w:type="dxa"/>
            <w:tcBorders>
              <w:top w:val="nil"/>
              <w:left w:val="single" w:color="000000" w:sz="8" w:space="0"/>
              <w:bottom w:val="single" w:color="000000" w:sz="8" w:space="0"/>
              <w:right w:val="single" w:color="000000" w:sz="8" w:space="0"/>
            </w:tcBorders>
            <w:vAlign w:val="center"/>
          </w:tcPr>
          <w:p w14:paraId="68E9F692">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552195B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45C8D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291AD48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34FB4BE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restart"/>
            <w:tcBorders>
              <w:top w:val="nil"/>
              <w:left w:val="nil"/>
              <w:bottom w:val="single" w:color="000000" w:sz="8" w:space="0"/>
              <w:right w:val="single" w:color="000000" w:sz="8" w:space="0"/>
            </w:tcBorders>
            <w:vAlign w:val="center"/>
          </w:tcPr>
          <w:p w14:paraId="395BAB6E">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除渣机</w:t>
            </w:r>
          </w:p>
        </w:tc>
        <w:tc>
          <w:tcPr>
            <w:tcW w:w="3087" w:type="dxa"/>
            <w:gridSpan w:val="2"/>
            <w:tcBorders>
              <w:top w:val="nil"/>
              <w:left w:val="nil"/>
              <w:bottom w:val="single" w:color="000000" w:sz="8" w:space="0"/>
              <w:right w:val="single" w:color="000000" w:sz="8" w:space="0"/>
            </w:tcBorders>
            <w:vAlign w:val="center"/>
          </w:tcPr>
          <w:p w14:paraId="71951553">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19.人孔门开启、封闭以及密封条更换；捞渣机清理；</w:t>
            </w:r>
          </w:p>
        </w:tc>
        <w:tc>
          <w:tcPr>
            <w:tcW w:w="769" w:type="dxa"/>
            <w:tcBorders>
              <w:top w:val="nil"/>
              <w:left w:val="single" w:color="000000" w:sz="8" w:space="0"/>
              <w:bottom w:val="single" w:color="000000" w:sz="8" w:space="0"/>
              <w:right w:val="single" w:color="000000" w:sz="8" w:space="0"/>
            </w:tcBorders>
            <w:vAlign w:val="center"/>
          </w:tcPr>
          <w:p w14:paraId="6308880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37DD6A3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5E331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0773FC5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7E96D6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1EA042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11FC2821">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20.各受力部位连接件及定位块检查消缺；</w:t>
            </w:r>
          </w:p>
        </w:tc>
        <w:tc>
          <w:tcPr>
            <w:tcW w:w="769" w:type="dxa"/>
            <w:tcBorders>
              <w:top w:val="nil"/>
              <w:left w:val="single" w:color="000000" w:sz="8" w:space="0"/>
              <w:bottom w:val="single" w:color="000000" w:sz="8" w:space="0"/>
              <w:right w:val="single" w:color="000000" w:sz="8" w:space="0"/>
            </w:tcBorders>
            <w:vAlign w:val="center"/>
          </w:tcPr>
          <w:p w14:paraId="3402F8E7">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53FCE56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49F40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jc w:val="center"/>
        </w:trPr>
        <w:tc>
          <w:tcPr>
            <w:tcW w:w="1040" w:type="dxa"/>
            <w:vMerge w:val="continue"/>
            <w:tcBorders>
              <w:top w:val="nil"/>
              <w:left w:val="single" w:color="000000" w:sz="8" w:space="0"/>
              <w:bottom w:val="single" w:color="000000" w:sz="8" w:space="0"/>
              <w:right w:val="single" w:color="000000" w:sz="8" w:space="0"/>
            </w:tcBorders>
            <w:vAlign w:val="center"/>
          </w:tcPr>
          <w:p w14:paraId="5D8EE50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CF8BA4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tcBorders>
              <w:top w:val="single" w:color="000000" w:sz="8" w:space="0"/>
              <w:left w:val="single" w:color="000000" w:sz="8" w:space="0"/>
              <w:bottom w:val="single" w:color="000000" w:sz="8" w:space="0"/>
              <w:right w:val="single" w:color="000000" w:sz="8" w:space="0"/>
            </w:tcBorders>
            <w:vAlign w:val="center"/>
          </w:tcPr>
          <w:p w14:paraId="08C08C6A">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刮板机</w:t>
            </w:r>
          </w:p>
        </w:tc>
        <w:tc>
          <w:tcPr>
            <w:tcW w:w="3087" w:type="dxa"/>
            <w:gridSpan w:val="2"/>
            <w:tcBorders>
              <w:top w:val="nil"/>
              <w:left w:val="nil"/>
              <w:bottom w:val="single" w:color="000000" w:sz="8" w:space="0"/>
              <w:right w:val="single" w:color="000000" w:sz="8" w:space="0"/>
            </w:tcBorders>
            <w:vAlign w:val="center"/>
          </w:tcPr>
          <w:p w14:paraId="306C8B44">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21.输灰刮板机维护、链条调整、密封消缺；磨损检查；减速机及轴承解体检查；</w:t>
            </w:r>
          </w:p>
        </w:tc>
        <w:tc>
          <w:tcPr>
            <w:tcW w:w="769" w:type="dxa"/>
            <w:tcBorders>
              <w:top w:val="nil"/>
              <w:left w:val="nil"/>
              <w:bottom w:val="single" w:color="000000" w:sz="8" w:space="0"/>
              <w:right w:val="single" w:color="000000" w:sz="8" w:space="0"/>
            </w:tcBorders>
            <w:vAlign w:val="center"/>
          </w:tcPr>
          <w:p w14:paraId="7BF03AD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nil"/>
              <w:right w:val="single" w:color="000000" w:sz="8" w:space="0"/>
            </w:tcBorders>
            <w:vAlign w:val="center"/>
          </w:tcPr>
          <w:p w14:paraId="4EC9930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7C708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jc w:val="center"/>
        </w:trPr>
        <w:tc>
          <w:tcPr>
            <w:tcW w:w="1040" w:type="dxa"/>
            <w:vMerge w:val="restart"/>
            <w:tcBorders>
              <w:top w:val="nil"/>
              <w:left w:val="single" w:color="000000" w:sz="8" w:space="0"/>
              <w:bottom w:val="nil"/>
              <w:right w:val="single" w:color="000000" w:sz="8" w:space="0"/>
            </w:tcBorders>
            <w:vAlign w:val="center"/>
          </w:tcPr>
          <w:p w14:paraId="765240FF">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三</w:t>
            </w:r>
          </w:p>
        </w:tc>
        <w:tc>
          <w:tcPr>
            <w:tcW w:w="1040" w:type="dxa"/>
            <w:vMerge w:val="restart"/>
            <w:tcBorders>
              <w:top w:val="nil"/>
              <w:left w:val="nil"/>
              <w:bottom w:val="nil"/>
              <w:right w:val="single" w:color="000000" w:sz="8" w:space="0"/>
            </w:tcBorders>
            <w:vAlign w:val="center"/>
          </w:tcPr>
          <w:p w14:paraId="133576E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烟气净化系统</w:t>
            </w:r>
          </w:p>
        </w:tc>
        <w:tc>
          <w:tcPr>
            <w:tcW w:w="1040" w:type="dxa"/>
            <w:vMerge w:val="restart"/>
            <w:tcBorders>
              <w:top w:val="nil"/>
              <w:left w:val="nil"/>
              <w:bottom w:val="single" w:color="000000" w:sz="8" w:space="0"/>
              <w:right w:val="single" w:color="000000" w:sz="8" w:space="0"/>
            </w:tcBorders>
            <w:vAlign w:val="center"/>
          </w:tcPr>
          <w:p w14:paraId="292DA9C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反应塔</w:t>
            </w:r>
          </w:p>
        </w:tc>
        <w:tc>
          <w:tcPr>
            <w:tcW w:w="3087" w:type="dxa"/>
            <w:gridSpan w:val="2"/>
            <w:tcBorders>
              <w:top w:val="single" w:color="000000" w:sz="8" w:space="0"/>
              <w:left w:val="single" w:color="000000" w:sz="8" w:space="0"/>
              <w:bottom w:val="single" w:color="000000" w:sz="8" w:space="0"/>
              <w:right w:val="single" w:color="000000" w:sz="8" w:space="0"/>
            </w:tcBorders>
            <w:vAlign w:val="center"/>
          </w:tcPr>
          <w:p w14:paraId="1C206B28">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22.破碎机维护；</w:t>
            </w:r>
          </w:p>
        </w:tc>
        <w:tc>
          <w:tcPr>
            <w:tcW w:w="769" w:type="dxa"/>
            <w:tcBorders>
              <w:top w:val="nil"/>
              <w:left w:val="nil"/>
              <w:bottom w:val="single" w:color="000000" w:sz="8" w:space="0"/>
              <w:right w:val="single" w:color="000000" w:sz="8" w:space="0"/>
            </w:tcBorders>
            <w:vAlign w:val="center"/>
          </w:tcPr>
          <w:p w14:paraId="5D29024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single" w:color="000000" w:sz="8" w:space="0"/>
              <w:left w:val="single" w:color="000000" w:sz="8" w:space="0"/>
              <w:bottom w:val="single" w:color="000000" w:sz="8" w:space="0"/>
              <w:right w:val="single" w:color="000000" w:sz="8" w:space="0"/>
            </w:tcBorders>
            <w:vAlign w:val="center"/>
          </w:tcPr>
          <w:p w14:paraId="23D67D8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688BC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040" w:type="dxa"/>
            <w:vMerge w:val="continue"/>
            <w:tcBorders>
              <w:top w:val="nil"/>
              <w:left w:val="single" w:color="000000" w:sz="8" w:space="0"/>
              <w:bottom w:val="nil"/>
              <w:right w:val="single" w:color="000000" w:sz="8" w:space="0"/>
            </w:tcBorders>
            <w:vAlign w:val="center"/>
          </w:tcPr>
          <w:p w14:paraId="3B5A244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1CCFECC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00FA057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single" w:color="000000" w:sz="8" w:space="0"/>
              <w:left w:val="single" w:color="000000" w:sz="8" w:space="0"/>
              <w:bottom w:val="single" w:color="000000" w:sz="8" w:space="0"/>
              <w:right w:val="single" w:color="000000" w:sz="8" w:space="0"/>
            </w:tcBorders>
            <w:vAlign w:val="center"/>
          </w:tcPr>
          <w:p w14:paraId="1D8D4C35">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23.星型卸灰阀维护、检修；</w:t>
            </w:r>
          </w:p>
        </w:tc>
        <w:tc>
          <w:tcPr>
            <w:tcW w:w="769" w:type="dxa"/>
            <w:tcBorders>
              <w:top w:val="nil"/>
              <w:left w:val="nil"/>
              <w:bottom w:val="single" w:color="000000" w:sz="8" w:space="0"/>
              <w:right w:val="single" w:color="000000" w:sz="8" w:space="0"/>
            </w:tcBorders>
            <w:vAlign w:val="center"/>
          </w:tcPr>
          <w:p w14:paraId="3886A4E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single" w:color="000000" w:sz="8" w:space="0"/>
              <w:left w:val="single" w:color="000000" w:sz="8" w:space="0"/>
              <w:bottom w:val="single" w:color="000000" w:sz="8" w:space="0"/>
              <w:right w:val="single" w:color="000000" w:sz="8" w:space="0"/>
            </w:tcBorders>
            <w:vAlign w:val="center"/>
          </w:tcPr>
          <w:p w14:paraId="56BD641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539DB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1040" w:type="dxa"/>
            <w:vMerge w:val="continue"/>
            <w:tcBorders>
              <w:top w:val="nil"/>
              <w:left w:val="single" w:color="000000" w:sz="8" w:space="0"/>
              <w:bottom w:val="nil"/>
              <w:right w:val="single" w:color="000000" w:sz="8" w:space="0"/>
            </w:tcBorders>
            <w:vAlign w:val="center"/>
          </w:tcPr>
          <w:p w14:paraId="389093E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382C20A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67A1D1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single" w:color="000000" w:sz="8" w:space="0"/>
              <w:bottom w:val="single" w:color="000000" w:sz="8" w:space="0"/>
              <w:right w:val="single" w:color="000000" w:sz="8" w:space="0"/>
            </w:tcBorders>
            <w:vAlign w:val="center"/>
          </w:tcPr>
          <w:p w14:paraId="512A4FA0">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24.反应塔下埋刮板输送机维护、链条调整、密封修补、磨损检查；</w:t>
            </w:r>
          </w:p>
        </w:tc>
        <w:tc>
          <w:tcPr>
            <w:tcW w:w="769" w:type="dxa"/>
            <w:tcBorders>
              <w:top w:val="nil"/>
              <w:left w:val="nil"/>
              <w:bottom w:val="single" w:color="000000" w:sz="8" w:space="0"/>
              <w:right w:val="single" w:color="000000" w:sz="8" w:space="0"/>
            </w:tcBorders>
            <w:vAlign w:val="center"/>
          </w:tcPr>
          <w:p w14:paraId="5D546866">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single" w:color="000000" w:sz="8" w:space="0"/>
              <w:bottom w:val="single" w:color="000000" w:sz="8" w:space="0"/>
              <w:right w:val="single" w:color="000000" w:sz="8" w:space="0"/>
            </w:tcBorders>
            <w:vAlign w:val="center"/>
          </w:tcPr>
          <w:p w14:paraId="3BFB0FF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43BF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1040" w:type="dxa"/>
            <w:vMerge w:val="continue"/>
            <w:tcBorders>
              <w:top w:val="nil"/>
              <w:left w:val="single" w:color="000000" w:sz="8" w:space="0"/>
              <w:bottom w:val="nil"/>
              <w:right w:val="single" w:color="000000" w:sz="8" w:space="0"/>
            </w:tcBorders>
            <w:vAlign w:val="center"/>
          </w:tcPr>
          <w:p w14:paraId="27FE8DE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05222BB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restart"/>
            <w:tcBorders>
              <w:top w:val="nil"/>
              <w:left w:val="nil"/>
              <w:bottom w:val="single" w:color="000000" w:sz="8" w:space="0"/>
              <w:right w:val="single" w:color="000000" w:sz="8" w:space="0"/>
            </w:tcBorders>
            <w:vAlign w:val="center"/>
          </w:tcPr>
          <w:p w14:paraId="4A18008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布袋除尘器</w:t>
            </w:r>
          </w:p>
        </w:tc>
        <w:tc>
          <w:tcPr>
            <w:tcW w:w="3087" w:type="dxa"/>
            <w:gridSpan w:val="2"/>
            <w:tcBorders>
              <w:top w:val="nil"/>
              <w:left w:val="nil"/>
              <w:bottom w:val="single" w:color="000000" w:sz="8" w:space="0"/>
              <w:right w:val="single" w:color="000000" w:sz="8" w:space="0"/>
            </w:tcBorders>
            <w:vAlign w:val="center"/>
          </w:tcPr>
          <w:p w14:paraId="1FFD4FF6">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25.检查滤袋和骨架的磨损、腐蚀情况；</w:t>
            </w:r>
          </w:p>
        </w:tc>
        <w:tc>
          <w:tcPr>
            <w:tcW w:w="769" w:type="dxa"/>
            <w:tcBorders>
              <w:top w:val="nil"/>
              <w:left w:val="single" w:color="000000" w:sz="8" w:space="0"/>
              <w:bottom w:val="single" w:color="000000" w:sz="8" w:space="0"/>
              <w:right w:val="single" w:color="000000" w:sz="8" w:space="0"/>
            </w:tcBorders>
            <w:vAlign w:val="center"/>
          </w:tcPr>
          <w:p w14:paraId="11E1621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40E145C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77721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1040" w:type="dxa"/>
            <w:vMerge w:val="continue"/>
            <w:tcBorders>
              <w:top w:val="nil"/>
              <w:left w:val="single" w:color="000000" w:sz="8" w:space="0"/>
              <w:bottom w:val="nil"/>
              <w:right w:val="single" w:color="000000" w:sz="8" w:space="0"/>
            </w:tcBorders>
            <w:vAlign w:val="center"/>
          </w:tcPr>
          <w:p w14:paraId="346973C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21B4F88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63CFFB6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729BD9C3">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26.检查箱体、清洁室花板、喷吹管、盖板烟道腐蚀情况；</w:t>
            </w:r>
          </w:p>
        </w:tc>
        <w:tc>
          <w:tcPr>
            <w:tcW w:w="769" w:type="dxa"/>
            <w:tcBorders>
              <w:top w:val="nil"/>
              <w:left w:val="single" w:color="000000" w:sz="8" w:space="0"/>
              <w:bottom w:val="single" w:color="000000" w:sz="8" w:space="0"/>
              <w:right w:val="single" w:color="000000" w:sz="8" w:space="0"/>
            </w:tcBorders>
            <w:vAlign w:val="center"/>
          </w:tcPr>
          <w:p w14:paraId="66EACD8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29BAA14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6CFC9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040" w:type="dxa"/>
            <w:vMerge w:val="continue"/>
            <w:tcBorders>
              <w:top w:val="nil"/>
              <w:left w:val="single" w:color="000000" w:sz="8" w:space="0"/>
              <w:bottom w:val="nil"/>
              <w:right w:val="single" w:color="000000" w:sz="8" w:space="0"/>
            </w:tcBorders>
            <w:vAlign w:val="center"/>
          </w:tcPr>
          <w:p w14:paraId="306931B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7DD5817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695E320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67C38C7E">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27.喷吹管补焊及螺栓紧固；</w:t>
            </w:r>
          </w:p>
        </w:tc>
        <w:tc>
          <w:tcPr>
            <w:tcW w:w="769" w:type="dxa"/>
            <w:tcBorders>
              <w:top w:val="nil"/>
              <w:left w:val="single" w:color="000000" w:sz="8" w:space="0"/>
              <w:bottom w:val="single" w:color="000000" w:sz="8" w:space="0"/>
              <w:right w:val="single" w:color="000000" w:sz="8" w:space="0"/>
            </w:tcBorders>
            <w:vAlign w:val="center"/>
          </w:tcPr>
          <w:p w14:paraId="011F248D">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031D862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1EDE8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040" w:type="dxa"/>
            <w:vMerge w:val="continue"/>
            <w:tcBorders>
              <w:top w:val="nil"/>
              <w:left w:val="single" w:color="000000" w:sz="8" w:space="0"/>
              <w:bottom w:val="nil"/>
              <w:right w:val="single" w:color="000000" w:sz="8" w:space="0"/>
            </w:tcBorders>
            <w:vAlign w:val="center"/>
          </w:tcPr>
          <w:p w14:paraId="0186C2A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64C99EA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06E882A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73C8AFFB">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28.提升阀严密性检查；</w:t>
            </w:r>
          </w:p>
        </w:tc>
        <w:tc>
          <w:tcPr>
            <w:tcW w:w="769" w:type="dxa"/>
            <w:tcBorders>
              <w:top w:val="nil"/>
              <w:left w:val="single" w:color="000000" w:sz="8" w:space="0"/>
              <w:bottom w:val="single" w:color="000000" w:sz="8" w:space="0"/>
              <w:right w:val="single" w:color="000000" w:sz="8" w:space="0"/>
            </w:tcBorders>
            <w:vAlign w:val="center"/>
          </w:tcPr>
          <w:p w14:paraId="78F2F0D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477F3F6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5487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jc w:val="center"/>
        </w:trPr>
        <w:tc>
          <w:tcPr>
            <w:tcW w:w="1040" w:type="dxa"/>
            <w:vMerge w:val="continue"/>
            <w:tcBorders>
              <w:top w:val="nil"/>
              <w:left w:val="single" w:color="000000" w:sz="8" w:space="0"/>
              <w:bottom w:val="nil"/>
              <w:right w:val="single" w:color="000000" w:sz="8" w:space="0"/>
            </w:tcBorders>
            <w:vAlign w:val="center"/>
          </w:tcPr>
          <w:p w14:paraId="4194DB2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1AAB322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652395D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2C70F9AF">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29.全部星型卸灰阀维护、检修；</w:t>
            </w:r>
          </w:p>
        </w:tc>
        <w:tc>
          <w:tcPr>
            <w:tcW w:w="769" w:type="dxa"/>
            <w:tcBorders>
              <w:top w:val="nil"/>
              <w:left w:val="single" w:color="000000" w:sz="8" w:space="0"/>
              <w:bottom w:val="single" w:color="000000" w:sz="8" w:space="0"/>
              <w:right w:val="single" w:color="000000" w:sz="8" w:space="0"/>
            </w:tcBorders>
            <w:vAlign w:val="center"/>
          </w:tcPr>
          <w:p w14:paraId="7E7DDC01">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7ECB6E0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06EF5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jc w:val="center"/>
        </w:trPr>
        <w:tc>
          <w:tcPr>
            <w:tcW w:w="1040" w:type="dxa"/>
            <w:vMerge w:val="continue"/>
            <w:tcBorders>
              <w:top w:val="nil"/>
              <w:left w:val="single" w:color="000000" w:sz="8" w:space="0"/>
              <w:bottom w:val="nil"/>
              <w:right w:val="single" w:color="000000" w:sz="8" w:space="0"/>
            </w:tcBorders>
            <w:vAlign w:val="center"/>
          </w:tcPr>
          <w:p w14:paraId="4732D9B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25D6DF2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208D2BB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56E7E780">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30.除尘器下埋刮板输送机维护、链条调整、密封修补；磨损检查；</w:t>
            </w:r>
          </w:p>
        </w:tc>
        <w:tc>
          <w:tcPr>
            <w:tcW w:w="769" w:type="dxa"/>
            <w:tcBorders>
              <w:top w:val="nil"/>
              <w:left w:val="single" w:color="000000" w:sz="8" w:space="0"/>
              <w:bottom w:val="single" w:color="000000" w:sz="8" w:space="0"/>
              <w:right w:val="single" w:color="000000" w:sz="8" w:space="0"/>
            </w:tcBorders>
            <w:vAlign w:val="center"/>
          </w:tcPr>
          <w:p w14:paraId="3014791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51435A2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2288A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040" w:type="dxa"/>
            <w:vMerge w:val="continue"/>
            <w:tcBorders>
              <w:top w:val="nil"/>
              <w:left w:val="single" w:color="000000" w:sz="8" w:space="0"/>
              <w:bottom w:val="nil"/>
              <w:right w:val="single" w:color="000000" w:sz="8" w:space="0"/>
            </w:tcBorders>
            <w:vAlign w:val="center"/>
          </w:tcPr>
          <w:p w14:paraId="66D08DD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nil"/>
              <w:right w:val="single" w:color="000000" w:sz="8" w:space="0"/>
            </w:tcBorders>
            <w:vAlign w:val="center"/>
          </w:tcPr>
          <w:p w14:paraId="3637285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3653F0F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48232402">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31.除尘器查漏（包括布袋查漏、箱体查漏）及处理；</w:t>
            </w:r>
          </w:p>
        </w:tc>
        <w:tc>
          <w:tcPr>
            <w:tcW w:w="769" w:type="dxa"/>
            <w:tcBorders>
              <w:top w:val="nil"/>
              <w:left w:val="single" w:color="000000" w:sz="8" w:space="0"/>
              <w:bottom w:val="single" w:color="000000" w:sz="8" w:space="0"/>
              <w:right w:val="single" w:color="000000" w:sz="8" w:space="0"/>
            </w:tcBorders>
            <w:vAlign w:val="center"/>
          </w:tcPr>
          <w:p w14:paraId="13188034">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012BCB1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63B3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40" w:type="dxa"/>
            <w:vMerge w:val="restart"/>
            <w:tcBorders>
              <w:top w:val="single" w:color="000000" w:sz="8" w:space="0"/>
              <w:left w:val="single" w:color="000000" w:sz="8" w:space="0"/>
              <w:bottom w:val="single" w:color="000000" w:sz="8" w:space="0"/>
              <w:right w:val="single" w:color="000000" w:sz="8" w:space="0"/>
            </w:tcBorders>
            <w:vAlign w:val="center"/>
          </w:tcPr>
          <w:p w14:paraId="1F3E7EDF">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四</w:t>
            </w:r>
          </w:p>
        </w:tc>
        <w:tc>
          <w:tcPr>
            <w:tcW w:w="1040" w:type="dxa"/>
            <w:vMerge w:val="restart"/>
            <w:tcBorders>
              <w:top w:val="single" w:color="000000" w:sz="8" w:space="0"/>
              <w:left w:val="single" w:color="000000" w:sz="8" w:space="0"/>
              <w:bottom w:val="single" w:color="000000" w:sz="8" w:space="0"/>
              <w:right w:val="single" w:color="000000" w:sz="8" w:space="0"/>
            </w:tcBorders>
            <w:vAlign w:val="center"/>
          </w:tcPr>
          <w:p w14:paraId="483941C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烟风系统</w:t>
            </w:r>
          </w:p>
        </w:tc>
        <w:tc>
          <w:tcPr>
            <w:tcW w:w="1040" w:type="dxa"/>
            <w:vMerge w:val="restart"/>
            <w:tcBorders>
              <w:top w:val="nil"/>
              <w:left w:val="nil"/>
              <w:bottom w:val="single" w:color="000000" w:sz="8" w:space="0"/>
              <w:right w:val="single" w:color="000000" w:sz="8" w:space="0"/>
            </w:tcBorders>
            <w:vAlign w:val="center"/>
          </w:tcPr>
          <w:p w14:paraId="2D7E78ED">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各类风机</w:t>
            </w:r>
          </w:p>
        </w:tc>
        <w:tc>
          <w:tcPr>
            <w:tcW w:w="3087" w:type="dxa"/>
            <w:gridSpan w:val="2"/>
            <w:tcBorders>
              <w:top w:val="nil"/>
              <w:left w:val="nil"/>
              <w:bottom w:val="single" w:color="000000" w:sz="8" w:space="0"/>
              <w:right w:val="single" w:color="000000" w:sz="8" w:space="0"/>
            </w:tcBorders>
            <w:vAlign w:val="center"/>
          </w:tcPr>
          <w:p w14:paraId="1459BB1F">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32.风机内部清灰、检查叶轮磨损；</w:t>
            </w:r>
          </w:p>
        </w:tc>
        <w:tc>
          <w:tcPr>
            <w:tcW w:w="769" w:type="dxa"/>
            <w:tcBorders>
              <w:top w:val="nil"/>
              <w:left w:val="single" w:color="000000" w:sz="8" w:space="0"/>
              <w:bottom w:val="single" w:color="000000" w:sz="8" w:space="0"/>
              <w:right w:val="single" w:color="000000" w:sz="8" w:space="0"/>
            </w:tcBorders>
            <w:vAlign w:val="center"/>
          </w:tcPr>
          <w:p w14:paraId="4ABA637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10C08F4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52636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2FEC66D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4D62DBA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19E90D9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368025E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33.修补磨损外壳、衬板、轴承保护套；</w:t>
            </w:r>
          </w:p>
        </w:tc>
        <w:tc>
          <w:tcPr>
            <w:tcW w:w="769" w:type="dxa"/>
            <w:tcBorders>
              <w:top w:val="nil"/>
              <w:left w:val="single" w:color="000000" w:sz="8" w:space="0"/>
              <w:bottom w:val="single" w:color="000000" w:sz="8" w:space="0"/>
              <w:right w:val="single" w:color="000000" w:sz="8" w:space="0"/>
            </w:tcBorders>
            <w:vAlign w:val="center"/>
          </w:tcPr>
          <w:p w14:paraId="4341E0E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3D86D55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47FC3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408FB62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0A41584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353C4FA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4A5FCD98">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34.清理及检修入口调节挡板；</w:t>
            </w:r>
          </w:p>
        </w:tc>
        <w:tc>
          <w:tcPr>
            <w:tcW w:w="769" w:type="dxa"/>
            <w:tcBorders>
              <w:top w:val="nil"/>
              <w:left w:val="single" w:color="000000" w:sz="8" w:space="0"/>
              <w:bottom w:val="single" w:color="000000" w:sz="8" w:space="0"/>
              <w:right w:val="single" w:color="000000" w:sz="8" w:space="0"/>
            </w:tcBorders>
            <w:vAlign w:val="center"/>
          </w:tcPr>
          <w:p w14:paraId="0E5E7F3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02AB75F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1E4C4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27912B1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206AF61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7989C7A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79CE1EF2">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35.轴承维护及润滑油系统，换油；</w:t>
            </w:r>
          </w:p>
        </w:tc>
        <w:tc>
          <w:tcPr>
            <w:tcW w:w="769" w:type="dxa"/>
            <w:tcBorders>
              <w:top w:val="nil"/>
              <w:left w:val="single" w:color="000000" w:sz="8" w:space="0"/>
              <w:bottom w:val="single" w:color="000000" w:sz="8" w:space="0"/>
              <w:right w:val="single" w:color="000000" w:sz="8" w:space="0"/>
            </w:tcBorders>
            <w:vAlign w:val="center"/>
          </w:tcPr>
          <w:p w14:paraId="71B2245C">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1B25E1E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5BB74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1E32222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6F763EB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restart"/>
            <w:tcBorders>
              <w:top w:val="nil"/>
              <w:left w:val="nil"/>
              <w:bottom w:val="single" w:color="000000" w:sz="8" w:space="0"/>
              <w:right w:val="single" w:color="000000" w:sz="8" w:space="0"/>
            </w:tcBorders>
            <w:vAlign w:val="center"/>
          </w:tcPr>
          <w:p w14:paraId="12DBD63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烟风管路</w:t>
            </w:r>
          </w:p>
        </w:tc>
        <w:tc>
          <w:tcPr>
            <w:tcW w:w="3087" w:type="dxa"/>
            <w:gridSpan w:val="2"/>
            <w:tcBorders>
              <w:top w:val="nil"/>
              <w:left w:val="nil"/>
              <w:bottom w:val="single" w:color="000000" w:sz="8" w:space="0"/>
              <w:right w:val="single" w:color="000000" w:sz="8" w:space="0"/>
            </w:tcBorders>
            <w:vAlign w:val="center"/>
          </w:tcPr>
          <w:p w14:paraId="5637A546">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36.检查管路系统磨损、变形腐蚀、支吊架；</w:t>
            </w:r>
          </w:p>
        </w:tc>
        <w:tc>
          <w:tcPr>
            <w:tcW w:w="769" w:type="dxa"/>
            <w:tcBorders>
              <w:top w:val="nil"/>
              <w:left w:val="single" w:color="000000" w:sz="8" w:space="0"/>
              <w:bottom w:val="single" w:color="000000" w:sz="8" w:space="0"/>
              <w:right w:val="single" w:color="000000" w:sz="8" w:space="0"/>
            </w:tcBorders>
            <w:vAlign w:val="center"/>
          </w:tcPr>
          <w:p w14:paraId="0017FC8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27F35C5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757F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1AA0DD1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4DB04AB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591961A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14B8B1BA">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37.管路内部清灰、破损油漆修补；</w:t>
            </w:r>
          </w:p>
        </w:tc>
        <w:tc>
          <w:tcPr>
            <w:tcW w:w="769" w:type="dxa"/>
            <w:tcBorders>
              <w:top w:val="nil"/>
              <w:left w:val="single" w:color="000000" w:sz="8" w:space="0"/>
              <w:bottom w:val="single" w:color="000000" w:sz="8" w:space="0"/>
              <w:right w:val="single" w:color="000000" w:sz="8" w:space="0"/>
            </w:tcBorders>
            <w:vAlign w:val="center"/>
          </w:tcPr>
          <w:p w14:paraId="6C245B7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07A8442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59984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56D6546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single" w:color="000000" w:sz="8" w:space="0"/>
              <w:left w:val="single" w:color="000000" w:sz="8" w:space="0"/>
              <w:bottom w:val="single" w:color="000000" w:sz="8" w:space="0"/>
              <w:right w:val="single" w:color="000000" w:sz="8" w:space="0"/>
            </w:tcBorders>
            <w:vAlign w:val="center"/>
          </w:tcPr>
          <w:p w14:paraId="40FDEAD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040" w:type="dxa"/>
            <w:vMerge w:val="continue"/>
            <w:tcBorders>
              <w:top w:val="nil"/>
              <w:left w:val="nil"/>
              <w:bottom w:val="single" w:color="000000" w:sz="8" w:space="0"/>
              <w:right w:val="single" w:color="000000" w:sz="8" w:space="0"/>
            </w:tcBorders>
            <w:vAlign w:val="center"/>
          </w:tcPr>
          <w:p w14:paraId="78A41A2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3087" w:type="dxa"/>
            <w:gridSpan w:val="2"/>
            <w:tcBorders>
              <w:top w:val="nil"/>
              <w:left w:val="nil"/>
              <w:bottom w:val="single" w:color="000000" w:sz="8" w:space="0"/>
              <w:right w:val="single" w:color="000000" w:sz="8" w:space="0"/>
            </w:tcBorders>
            <w:vAlign w:val="center"/>
          </w:tcPr>
          <w:p w14:paraId="0A1DA60A">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38.膨胀节检查与修复；</w:t>
            </w:r>
          </w:p>
        </w:tc>
        <w:tc>
          <w:tcPr>
            <w:tcW w:w="769" w:type="dxa"/>
            <w:tcBorders>
              <w:top w:val="nil"/>
              <w:left w:val="single" w:color="000000" w:sz="8" w:space="0"/>
              <w:bottom w:val="single" w:color="000000" w:sz="8" w:space="0"/>
              <w:right w:val="single" w:color="000000" w:sz="8" w:space="0"/>
            </w:tcBorders>
            <w:vAlign w:val="center"/>
          </w:tcPr>
          <w:p w14:paraId="22A4B712">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3A27668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1F2C8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1040" w:type="dxa"/>
            <w:tcBorders>
              <w:top w:val="nil"/>
              <w:left w:val="single" w:color="000000" w:sz="8" w:space="0"/>
              <w:bottom w:val="single" w:color="000000" w:sz="8" w:space="0"/>
              <w:right w:val="single" w:color="000000" w:sz="8" w:space="0"/>
            </w:tcBorders>
            <w:vAlign w:val="center"/>
          </w:tcPr>
          <w:p w14:paraId="6C75C59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五</w:t>
            </w:r>
          </w:p>
        </w:tc>
        <w:tc>
          <w:tcPr>
            <w:tcW w:w="2080" w:type="dxa"/>
            <w:gridSpan w:val="2"/>
            <w:tcBorders>
              <w:top w:val="nil"/>
              <w:left w:val="nil"/>
              <w:bottom w:val="single" w:color="000000" w:sz="8" w:space="0"/>
              <w:right w:val="single" w:color="000000" w:sz="8" w:space="0"/>
            </w:tcBorders>
            <w:vAlign w:val="center"/>
          </w:tcPr>
          <w:p w14:paraId="0BD4739D">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卫生清扫零星用工</w:t>
            </w:r>
          </w:p>
        </w:tc>
        <w:tc>
          <w:tcPr>
            <w:tcW w:w="3087" w:type="dxa"/>
            <w:gridSpan w:val="2"/>
            <w:tcBorders>
              <w:top w:val="nil"/>
              <w:left w:val="nil"/>
              <w:bottom w:val="single" w:color="000000" w:sz="8" w:space="0"/>
              <w:right w:val="single" w:color="000000" w:sz="8" w:space="0"/>
            </w:tcBorders>
            <w:vAlign w:val="center"/>
          </w:tcPr>
          <w:p w14:paraId="6AD23AFE">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39.施工完成后现场卫生清理。</w:t>
            </w:r>
          </w:p>
        </w:tc>
        <w:tc>
          <w:tcPr>
            <w:tcW w:w="769" w:type="dxa"/>
            <w:tcBorders>
              <w:top w:val="nil"/>
              <w:left w:val="single" w:color="000000" w:sz="8" w:space="0"/>
              <w:bottom w:val="single" w:color="000000" w:sz="8" w:space="0"/>
              <w:right w:val="single" w:color="000000" w:sz="8" w:space="0"/>
            </w:tcBorders>
            <w:vAlign w:val="center"/>
          </w:tcPr>
          <w:p w14:paraId="308DB195">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元/项</w:t>
            </w:r>
          </w:p>
        </w:tc>
        <w:tc>
          <w:tcPr>
            <w:tcW w:w="1100" w:type="dxa"/>
            <w:tcBorders>
              <w:top w:val="nil"/>
              <w:left w:val="nil"/>
              <w:bottom w:val="single" w:color="000000" w:sz="8" w:space="0"/>
              <w:right w:val="single" w:color="000000" w:sz="8" w:space="0"/>
            </w:tcBorders>
            <w:vAlign w:val="center"/>
          </w:tcPr>
          <w:p w14:paraId="5DCEF0E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r>
      <w:tr w14:paraId="67670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8" w:hRule="atLeast"/>
          <w:jc w:val="center"/>
        </w:trPr>
        <w:tc>
          <w:tcPr>
            <w:tcW w:w="4039" w:type="dxa"/>
            <w:gridSpan w:val="4"/>
            <w:tcBorders>
              <w:top w:val="nil"/>
              <w:left w:val="single" w:color="000000" w:sz="8" w:space="0"/>
              <w:bottom w:val="single" w:color="auto" w:sz="4" w:space="0"/>
              <w:right w:val="single" w:color="000000" w:sz="8" w:space="0"/>
            </w:tcBorders>
            <w:vAlign w:val="top"/>
          </w:tcPr>
          <w:p w14:paraId="78BEF3DC">
            <w:pPr>
              <w:spacing w:line="240" w:lineRule="auto"/>
              <w:ind w:left="108"/>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施工单位代表：</w:t>
            </w:r>
          </w:p>
          <w:p w14:paraId="7FACE9E2">
            <w:pPr>
              <w:spacing w:line="240" w:lineRule="auto"/>
              <w:ind w:left="108"/>
              <w:jc w:val="left"/>
              <w:rPr>
                <w:rFonts w:hint="eastAsia" w:ascii="宋体" w:hAnsi="宋体" w:eastAsia="宋体" w:cs="宋体"/>
                <w:bCs/>
                <w:color w:val="auto"/>
                <w:szCs w:val="21"/>
                <w:highlight w:val="none"/>
              </w:rPr>
            </w:pPr>
          </w:p>
          <w:p w14:paraId="26C21F46">
            <w:pPr>
              <w:spacing w:line="240" w:lineRule="auto"/>
              <w:ind w:left="108"/>
              <w:jc w:val="left"/>
              <w:rPr>
                <w:rFonts w:hint="eastAsia" w:ascii="宋体" w:hAnsi="宋体" w:eastAsia="宋体" w:cs="宋体"/>
                <w:bCs/>
                <w:color w:val="auto"/>
                <w:szCs w:val="21"/>
                <w:highlight w:val="none"/>
              </w:rPr>
            </w:pPr>
          </w:p>
          <w:p w14:paraId="5DDCC6C0">
            <w:pPr>
              <w:spacing w:line="240" w:lineRule="auto"/>
              <w:ind w:left="108"/>
              <w:jc w:val="left"/>
              <w:rPr>
                <w:rFonts w:hint="eastAsia" w:ascii="宋体" w:hAnsi="宋体" w:eastAsia="宋体" w:cs="宋体"/>
                <w:bCs/>
                <w:color w:val="auto"/>
                <w:szCs w:val="21"/>
                <w:highlight w:val="none"/>
              </w:rPr>
            </w:pPr>
          </w:p>
          <w:p w14:paraId="141AAB47">
            <w:pPr>
              <w:spacing w:line="240" w:lineRule="auto"/>
              <w:ind w:left="108"/>
              <w:jc w:val="left"/>
              <w:rPr>
                <w:rFonts w:hint="eastAsia" w:ascii="宋体" w:hAnsi="宋体" w:eastAsia="宋体" w:cs="宋体"/>
                <w:bCs/>
                <w:color w:val="auto"/>
                <w:szCs w:val="21"/>
                <w:highlight w:val="none"/>
              </w:rPr>
            </w:pPr>
          </w:p>
          <w:p w14:paraId="5634FDA0">
            <w:pPr>
              <w:spacing w:line="240" w:lineRule="auto"/>
              <w:ind w:left="108"/>
              <w:jc w:val="left"/>
              <w:rPr>
                <w:rFonts w:hint="eastAsia" w:ascii="宋体" w:hAnsi="宋体" w:eastAsia="宋体" w:cs="宋体"/>
                <w:bCs/>
                <w:color w:val="auto"/>
                <w:szCs w:val="21"/>
                <w:highlight w:val="none"/>
              </w:rPr>
            </w:pPr>
          </w:p>
          <w:p w14:paraId="7FC2EE32">
            <w:pPr>
              <w:spacing w:line="240" w:lineRule="auto"/>
              <w:ind w:left="108" w:leftChars="0" w:firstLine="2415" w:firstLineChars="1150"/>
              <w:jc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bCs/>
                <w:color w:val="auto"/>
                <w:szCs w:val="21"/>
                <w:highlight w:val="none"/>
              </w:rPr>
              <w:t>年 月  日</w:t>
            </w:r>
          </w:p>
        </w:tc>
        <w:tc>
          <w:tcPr>
            <w:tcW w:w="4037" w:type="dxa"/>
            <w:gridSpan w:val="3"/>
            <w:tcBorders>
              <w:top w:val="nil"/>
              <w:left w:val="single" w:color="000000" w:sz="8" w:space="0"/>
              <w:bottom w:val="single" w:color="auto" w:sz="4" w:space="0"/>
              <w:right w:val="single" w:color="000000" w:sz="8" w:space="0"/>
            </w:tcBorders>
            <w:vAlign w:val="top"/>
          </w:tcPr>
          <w:p w14:paraId="585CE1A2">
            <w:pPr>
              <w:widowControl/>
              <w:spacing w:line="24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专业工程师：</w:t>
            </w:r>
          </w:p>
          <w:p w14:paraId="0B134C9A">
            <w:pPr>
              <w:widowControl/>
              <w:spacing w:line="240" w:lineRule="auto"/>
              <w:jc w:val="left"/>
              <w:rPr>
                <w:rFonts w:hint="eastAsia" w:ascii="宋体" w:hAnsi="宋体" w:eastAsia="宋体" w:cs="宋体"/>
                <w:bCs/>
                <w:color w:val="auto"/>
                <w:szCs w:val="21"/>
                <w:highlight w:val="none"/>
              </w:rPr>
            </w:pPr>
          </w:p>
          <w:p w14:paraId="343162F8">
            <w:pPr>
              <w:widowControl/>
              <w:spacing w:line="240" w:lineRule="auto"/>
              <w:jc w:val="center"/>
              <w:rPr>
                <w:rFonts w:hint="eastAsia" w:ascii="宋体" w:hAnsi="宋体" w:eastAsia="宋体" w:cs="宋体"/>
                <w:bCs/>
                <w:color w:val="auto"/>
                <w:szCs w:val="21"/>
                <w:highlight w:val="none"/>
              </w:rPr>
            </w:pPr>
          </w:p>
          <w:p w14:paraId="5431049E">
            <w:pPr>
              <w:widowControl/>
              <w:spacing w:line="240" w:lineRule="auto"/>
              <w:jc w:val="left"/>
              <w:rPr>
                <w:rFonts w:hint="eastAsia" w:ascii="宋体" w:hAnsi="宋体" w:eastAsia="宋体" w:cs="宋体"/>
                <w:bCs/>
                <w:color w:val="auto"/>
                <w:szCs w:val="21"/>
                <w:highlight w:val="none"/>
              </w:rPr>
            </w:pPr>
          </w:p>
          <w:p w14:paraId="6F48ABD5">
            <w:pPr>
              <w:widowControl/>
              <w:spacing w:line="240" w:lineRule="auto"/>
              <w:jc w:val="left"/>
              <w:rPr>
                <w:rFonts w:hint="eastAsia" w:ascii="宋体" w:hAnsi="宋体" w:eastAsia="宋体" w:cs="宋体"/>
                <w:bCs/>
                <w:color w:val="auto"/>
                <w:szCs w:val="21"/>
                <w:highlight w:val="none"/>
              </w:rPr>
            </w:pPr>
          </w:p>
          <w:p w14:paraId="2BF96704">
            <w:pPr>
              <w:widowControl/>
              <w:spacing w:line="240" w:lineRule="auto"/>
              <w:jc w:val="left"/>
              <w:rPr>
                <w:rFonts w:hint="eastAsia" w:ascii="宋体" w:hAnsi="宋体" w:eastAsia="宋体" w:cs="宋体"/>
                <w:bCs/>
                <w:color w:val="auto"/>
                <w:szCs w:val="21"/>
                <w:highlight w:val="none"/>
              </w:rPr>
            </w:pPr>
          </w:p>
          <w:p w14:paraId="61251035">
            <w:pPr>
              <w:spacing w:line="240" w:lineRule="auto"/>
              <w:ind w:firstLine="0" w:firstLineChars="0"/>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年   月   日</w:t>
            </w:r>
          </w:p>
        </w:tc>
      </w:tr>
      <w:tr w14:paraId="22FEB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4" w:hRule="atLeast"/>
          <w:jc w:val="center"/>
        </w:trPr>
        <w:tc>
          <w:tcPr>
            <w:tcW w:w="4039" w:type="dxa"/>
            <w:gridSpan w:val="4"/>
            <w:tcBorders>
              <w:top w:val="single" w:color="auto" w:sz="4" w:space="0"/>
              <w:left w:val="single" w:color="000000" w:sz="8" w:space="0"/>
              <w:bottom w:val="single" w:color="000000" w:sz="8" w:space="0"/>
              <w:right w:val="single" w:color="000000" w:sz="8" w:space="0"/>
            </w:tcBorders>
            <w:vAlign w:val="top"/>
          </w:tcPr>
          <w:p w14:paraId="4CE694E4">
            <w:pPr>
              <w:spacing w:line="240" w:lineRule="auto"/>
              <w:ind w:left="108"/>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生产技术部：</w:t>
            </w:r>
          </w:p>
          <w:p w14:paraId="3DCE4E8E">
            <w:pPr>
              <w:spacing w:line="240" w:lineRule="auto"/>
              <w:ind w:left="108"/>
              <w:jc w:val="left"/>
              <w:rPr>
                <w:rFonts w:hint="eastAsia" w:ascii="宋体" w:hAnsi="宋体" w:eastAsia="宋体" w:cs="宋体"/>
                <w:bCs/>
                <w:color w:val="auto"/>
                <w:szCs w:val="21"/>
                <w:highlight w:val="none"/>
              </w:rPr>
            </w:pPr>
          </w:p>
          <w:p w14:paraId="2D0F67A0">
            <w:pPr>
              <w:spacing w:line="240" w:lineRule="auto"/>
              <w:ind w:left="108"/>
              <w:jc w:val="left"/>
              <w:rPr>
                <w:rFonts w:hint="eastAsia" w:ascii="宋体" w:hAnsi="宋体" w:eastAsia="宋体" w:cs="宋体"/>
                <w:bCs/>
                <w:color w:val="auto"/>
                <w:szCs w:val="21"/>
                <w:highlight w:val="none"/>
              </w:rPr>
            </w:pPr>
          </w:p>
          <w:p w14:paraId="4496C0BF">
            <w:pPr>
              <w:spacing w:line="240" w:lineRule="auto"/>
              <w:ind w:left="108"/>
              <w:jc w:val="left"/>
              <w:rPr>
                <w:rFonts w:hint="eastAsia" w:ascii="宋体" w:hAnsi="宋体" w:eastAsia="宋体" w:cs="宋体"/>
                <w:bCs/>
                <w:color w:val="auto"/>
                <w:szCs w:val="21"/>
                <w:highlight w:val="none"/>
              </w:rPr>
            </w:pPr>
          </w:p>
          <w:p w14:paraId="65C42FCD">
            <w:pPr>
              <w:spacing w:line="240" w:lineRule="auto"/>
              <w:ind w:left="108"/>
              <w:jc w:val="left"/>
              <w:rPr>
                <w:rFonts w:hint="eastAsia" w:ascii="宋体" w:hAnsi="宋体" w:eastAsia="宋体" w:cs="宋体"/>
                <w:bCs/>
                <w:color w:val="auto"/>
                <w:szCs w:val="21"/>
                <w:highlight w:val="none"/>
              </w:rPr>
            </w:pPr>
          </w:p>
          <w:p w14:paraId="4608FF6C">
            <w:pPr>
              <w:spacing w:line="240" w:lineRule="auto"/>
              <w:ind w:left="108"/>
              <w:jc w:val="left"/>
              <w:rPr>
                <w:rFonts w:hint="eastAsia" w:ascii="宋体" w:hAnsi="宋体" w:eastAsia="宋体" w:cs="宋体"/>
                <w:bCs/>
                <w:color w:val="auto"/>
                <w:szCs w:val="21"/>
                <w:highlight w:val="none"/>
              </w:rPr>
            </w:pPr>
          </w:p>
          <w:p w14:paraId="1487157F">
            <w:pPr>
              <w:spacing w:line="240" w:lineRule="auto"/>
              <w:ind w:left="108"/>
              <w:jc w:val="left"/>
              <w:rPr>
                <w:rFonts w:hint="eastAsia" w:ascii="宋体" w:hAnsi="宋体" w:eastAsia="宋体" w:cs="宋体"/>
                <w:bCs/>
                <w:color w:val="auto"/>
                <w:szCs w:val="21"/>
                <w:highlight w:val="none"/>
              </w:rPr>
            </w:pPr>
          </w:p>
          <w:p w14:paraId="66E62A15">
            <w:pPr>
              <w:spacing w:line="240" w:lineRule="auto"/>
              <w:ind w:left="108" w:leftChars="0" w:firstLine="2310" w:firstLineChars="1100"/>
              <w:jc w:val="left"/>
              <w:rPr>
                <w:rFonts w:hint="eastAsia" w:ascii="宋体" w:hAnsi="宋体" w:eastAsia="宋体" w:cs="宋体"/>
                <w:b/>
                <w:bCs/>
                <w:i w:val="0"/>
                <w:iCs w:val="0"/>
                <w:color w:val="auto"/>
                <w:kern w:val="2"/>
                <w:sz w:val="21"/>
                <w:szCs w:val="21"/>
                <w:highlight w:val="none"/>
                <w:u w:val="none"/>
              </w:rPr>
            </w:pPr>
            <w:r>
              <w:rPr>
                <w:rFonts w:hint="eastAsia" w:ascii="宋体" w:hAnsi="宋体" w:eastAsia="宋体" w:cs="宋体"/>
                <w:bCs/>
                <w:color w:val="auto"/>
                <w:szCs w:val="21"/>
                <w:highlight w:val="none"/>
              </w:rPr>
              <w:t>年  月 日</w:t>
            </w:r>
          </w:p>
        </w:tc>
        <w:tc>
          <w:tcPr>
            <w:tcW w:w="4037" w:type="dxa"/>
            <w:gridSpan w:val="3"/>
            <w:tcBorders>
              <w:top w:val="single" w:color="auto" w:sz="4" w:space="0"/>
              <w:left w:val="single" w:color="000000" w:sz="8" w:space="0"/>
              <w:bottom w:val="single" w:color="000000" w:sz="8" w:space="0"/>
              <w:right w:val="single" w:color="000000" w:sz="8" w:space="0"/>
            </w:tcBorders>
            <w:vAlign w:val="top"/>
          </w:tcPr>
          <w:p w14:paraId="54B8C024">
            <w:pPr>
              <w:widowControl/>
              <w:spacing w:line="24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甲方副总经理：</w:t>
            </w:r>
          </w:p>
          <w:p w14:paraId="678DF1FB">
            <w:pPr>
              <w:widowControl/>
              <w:spacing w:line="240" w:lineRule="auto"/>
              <w:jc w:val="left"/>
              <w:rPr>
                <w:rFonts w:hint="eastAsia" w:ascii="宋体" w:hAnsi="宋体" w:eastAsia="宋体" w:cs="宋体"/>
                <w:bCs/>
                <w:color w:val="auto"/>
                <w:szCs w:val="21"/>
                <w:highlight w:val="none"/>
              </w:rPr>
            </w:pPr>
          </w:p>
          <w:p w14:paraId="763DA650">
            <w:pPr>
              <w:widowControl/>
              <w:spacing w:line="240" w:lineRule="auto"/>
              <w:jc w:val="left"/>
              <w:rPr>
                <w:rFonts w:hint="eastAsia" w:ascii="宋体" w:hAnsi="宋体" w:eastAsia="宋体" w:cs="宋体"/>
                <w:bCs/>
                <w:color w:val="auto"/>
                <w:szCs w:val="21"/>
                <w:highlight w:val="none"/>
              </w:rPr>
            </w:pPr>
          </w:p>
          <w:p w14:paraId="4F4A0429">
            <w:pPr>
              <w:widowControl/>
              <w:spacing w:line="240" w:lineRule="auto"/>
              <w:jc w:val="left"/>
              <w:rPr>
                <w:rFonts w:hint="eastAsia" w:ascii="宋体" w:hAnsi="宋体" w:eastAsia="宋体" w:cs="宋体"/>
                <w:bCs/>
                <w:color w:val="auto"/>
                <w:szCs w:val="21"/>
                <w:highlight w:val="none"/>
              </w:rPr>
            </w:pPr>
          </w:p>
          <w:p w14:paraId="78C15818">
            <w:pPr>
              <w:widowControl/>
              <w:spacing w:line="240" w:lineRule="auto"/>
              <w:jc w:val="left"/>
              <w:rPr>
                <w:rFonts w:hint="eastAsia" w:ascii="宋体" w:hAnsi="宋体" w:eastAsia="宋体" w:cs="宋体"/>
                <w:bCs/>
                <w:color w:val="auto"/>
                <w:szCs w:val="21"/>
                <w:highlight w:val="none"/>
              </w:rPr>
            </w:pPr>
          </w:p>
          <w:p w14:paraId="6A589266">
            <w:pPr>
              <w:widowControl/>
              <w:spacing w:line="240" w:lineRule="auto"/>
              <w:jc w:val="left"/>
              <w:rPr>
                <w:rFonts w:hint="eastAsia" w:ascii="宋体" w:hAnsi="宋体" w:eastAsia="宋体" w:cs="宋体"/>
                <w:bCs/>
                <w:color w:val="auto"/>
                <w:szCs w:val="21"/>
                <w:highlight w:val="none"/>
              </w:rPr>
            </w:pPr>
          </w:p>
          <w:p w14:paraId="5213554B">
            <w:pPr>
              <w:widowControl/>
              <w:spacing w:line="240" w:lineRule="auto"/>
              <w:jc w:val="left"/>
              <w:rPr>
                <w:rFonts w:hint="eastAsia" w:ascii="宋体" w:hAnsi="宋体" w:eastAsia="宋体" w:cs="宋体"/>
                <w:bCs/>
                <w:color w:val="auto"/>
                <w:szCs w:val="21"/>
                <w:highlight w:val="none"/>
              </w:rPr>
            </w:pPr>
          </w:p>
          <w:p w14:paraId="3F2CF63F">
            <w:pPr>
              <w:spacing w:line="240" w:lineRule="auto"/>
              <w:ind w:firstLine="0" w:firstLineChars="0"/>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年  月  日</w:t>
            </w:r>
          </w:p>
        </w:tc>
      </w:tr>
    </w:tbl>
    <w:p w14:paraId="6363DC5A">
      <w:pPr>
        <w:widowControl w:val="0"/>
        <w:adjustRightInd/>
        <w:snapToGrid/>
        <w:spacing w:line="360" w:lineRule="auto"/>
        <w:jc w:val="both"/>
        <w:rPr>
          <w:rFonts w:hint="eastAsia" w:ascii="宋体" w:hAnsi="宋体" w:eastAsia="宋体" w:cs="宋体"/>
          <w:bCs/>
          <w:color w:val="auto"/>
          <w:kern w:val="2"/>
          <w:szCs w:val="21"/>
          <w:highlight w:val="none"/>
        </w:rPr>
      </w:pPr>
    </w:p>
    <w:p w14:paraId="2D28A034">
      <w:pPr>
        <w:numPr>
          <w:ilvl w:val="0"/>
          <w:numId w:val="21"/>
        </w:numPr>
        <w:bidi w:val="0"/>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br w:type="page"/>
      </w:r>
      <w:bookmarkStart w:id="248" w:name="_Toc7894"/>
      <w:bookmarkStart w:id="249" w:name="_Toc131690845"/>
      <w:r>
        <w:rPr>
          <w:rFonts w:hint="eastAsia" w:ascii="宋体" w:hAnsi="宋体" w:eastAsia="宋体" w:cs="宋体"/>
          <w:color w:val="auto"/>
          <w:kern w:val="2"/>
          <w:szCs w:val="21"/>
          <w:highlight w:val="none"/>
        </w:rPr>
        <w:t>锅炉与尾气系统特殊项目</w:t>
      </w:r>
      <w:r>
        <w:rPr>
          <w:rFonts w:hint="eastAsia" w:ascii="宋体" w:hAnsi="宋体" w:eastAsia="宋体" w:cs="宋体"/>
          <w:color w:val="auto"/>
          <w:kern w:val="2"/>
          <w:szCs w:val="21"/>
          <w:highlight w:val="none"/>
          <w:lang w:val="en-US" w:eastAsia="zh-CN"/>
        </w:rPr>
        <w:t>工程量确认单</w:t>
      </w:r>
      <w:r>
        <w:rPr>
          <w:rFonts w:hint="eastAsia" w:ascii="宋体" w:hAnsi="宋体" w:eastAsia="宋体" w:cs="宋体"/>
          <w:color w:val="auto"/>
          <w:kern w:val="2"/>
          <w:szCs w:val="21"/>
          <w:highlight w:val="none"/>
        </w:rPr>
        <w:t>：</w:t>
      </w:r>
      <w:bookmarkEnd w:id="248"/>
      <w:bookmarkEnd w:id="249"/>
    </w:p>
    <w:p w14:paraId="214BBB99">
      <w:pPr>
        <w:widowControl w:val="0"/>
        <w:adjustRightInd/>
        <w:snapToGrid/>
        <w:spacing w:line="360" w:lineRule="auto"/>
        <w:ind w:firstLine="420" w:firstLineChars="200"/>
        <w:jc w:val="both"/>
        <w:rPr>
          <w:rFonts w:hint="eastAsia" w:ascii="宋体" w:hAnsi="宋体" w:eastAsia="宋体" w:cs="宋体"/>
          <w:b/>
          <w:bCs/>
          <w:color w:val="auto"/>
          <w:kern w:val="2"/>
          <w:szCs w:val="24"/>
          <w:highlight w:val="none"/>
        </w:rPr>
      </w:pPr>
      <w:r>
        <w:rPr>
          <w:rFonts w:hint="eastAsia" w:ascii="宋体" w:hAnsi="宋体" w:eastAsia="宋体" w:cs="宋体"/>
          <w:color w:val="auto"/>
          <w:kern w:val="2"/>
          <w:szCs w:val="24"/>
          <w:highlight w:val="none"/>
        </w:rPr>
        <w:t>特殊项目视停炉后检查的实际情况而定，若有需要再进行施工，以下项目若有发生时按单项包干价格进行结算：</w:t>
      </w:r>
    </w:p>
    <w:tbl>
      <w:tblPr>
        <w:tblStyle w:val="31"/>
        <w:tblW w:w="8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91"/>
        <w:gridCol w:w="1300"/>
        <w:gridCol w:w="1309"/>
        <w:gridCol w:w="1043"/>
        <w:gridCol w:w="1859"/>
        <w:gridCol w:w="928"/>
        <w:gridCol w:w="1396"/>
      </w:tblGrid>
      <w:tr w14:paraId="43E1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0" w:hRule="atLeast"/>
        </w:trPr>
        <w:tc>
          <w:tcPr>
            <w:tcW w:w="491" w:type="dxa"/>
            <w:shd w:val="clear" w:color="auto" w:fill="auto"/>
            <w:noWrap/>
            <w:tcMar>
              <w:top w:w="10" w:type="dxa"/>
              <w:left w:w="10" w:type="dxa"/>
              <w:right w:w="10" w:type="dxa"/>
            </w:tcMar>
            <w:vAlign w:val="center"/>
          </w:tcPr>
          <w:p w14:paraId="6D261889">
            <w:pPr>
              <w:widowControl/>
              <w:adjustRightInd/>
              <w:snapToGrid/>
              <w:spacing w:line="240" w:lineRule="auto"/>
              <w:jc w:val="center"/>
              <w:textAlignment w:val="center"/>
              <w:rPr>
                <w:rFonts w:hint="eastAsia" w:ascii="宋体" w:hAnsi="宋体" w:eastAsia="宋体" w:cs="宋体"/>
                <w:b/>
                <w:i w:val="0"/>
                <w:color w:val="auto"/>
                <w:kern w:val="0"/>
                <w:sz w:val="22"/>
                <w:szCs w:val="22"/>
                <w:highlight w:val="none"/>
                <w:u w:val="none"/>
                <w:lang w:val="en-US" w:eastAsia="zh-CN" w:bidi="ar"/>
              </w:rPr>
            </w:pPr>
            <w:bookmarkStart w:id="250" w:name="_Toc32449"/>
            <w:bookmarkStart w:id="251" w:name="_Toc131690846"/>
            <w:r>
              <w:rPr>
                <w:rFonts w:hint="eastAsia" w:ascii="宋体" w:hAnsi="宋体" w:eastAsia="宋体" w:cs="宋体"/>
                <w:i w:val="0"/>
                <w:iCs w:val="0"/>
                <w:color w:val="auto"/>
                <w:kern w:val="0"/>
                <w:sz w:val="21"/>
                <w:szCs w:val="21"/>
                <w:highlight w:val="none"/>
                <w:u w:val="none"/>
                <w:lang w:val="en-US" w:eastAsia="zh-CN"/>
              </w:rPr>
              <w:t>序号</w:t>
            </w:r>
          </w:p>
        </w:tc>
        <w:tc>
          <w:tcPr>
            <w:tcW w:w="1300" w:type="dxa"/>
            <w:shd w:val="clear" w:color="auto" w:fill="auto"/>
            <w:noWrap/>
            <w:tcMar>
              <w:top w:w="10" w:type="dxa"/>
              <w:left w:w="10" w:type="dxa"/>
              <w:right w:w="10" w:type="dxa"/>
            </w:tcMar>
            <w:vAlign w:val="center"/>
          </w:tcPr>
          <w:p w14:paraId="19CACA2B">
            <w:pPr>
              <w:widowControl/>
              <w:adjustRightInd/>
              <w:snapToGrid/>
              <w:spacing w:line="240" w:lineRule="auto"/>
              <w:jc w:val="center"/>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rPr>
              <w:t>系统名称</w:t>
            </w:r>
          </w:p>
        </w:tc>
        <w:tc>
          <w:tcPr>
            <w:tcW w:w="1309" w:type="dxa"/>
            <w:shd w:val="clear" w:color="auto" w:fill="auto"/>
            <w:noWrap/>
            <w:tcMar>
              <w:top w:w="10" w:type="dxa"/>
              <w:left w:w="10" w:type="dxa"/>
              <w:right w:w="10" w:type="dxa"/>
            </w:tcMar>
            <w:vAlign w:val="center"/>
          </w:tcPr>
          <w:p w14:paraId="47F58A30">
            <w:pPr>
              <w:widowControl/>
              <w:adjustRightInd/>
              <w:snapToGrid/>
              <w:spacing w:line="240" w:lineRule="auto"/>
              <w:jc w:val="center"/>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rPr>
              <w:t>部件名称</w:t>
            </w:r>
          </w:p>
        </w:tc>
        <w:tc>
          <w:tcPr>
            <w:tcW w:w="2902" w:type="dxa"/>
            <w:gridSpan w:val="2"/>
            <w:shd w:val="clear" w:color="auto" w:fill="auto"/>
            <w:noWrap/>
            <w:tcMar>
              <w:top w:w="10" w:type="dxa"/>
              <w:left w:w="10" w:type="dxa"/>
              <w:right w:w="10" w:type="dxa"/>
            </w:tcMar>
            <w:vAlign w:val="center"/>
          </w:tcPr>
          <w:p w14:paraId="10A9D6BE">
            <w:pPr>
              <w:widowControl/>
              <w:adjustRightInd/>
              <w:snapToGrid/>
              <w:spacing w:line="240" w:lineRule="auto"/>
              <w:jc w:val="center"/>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rPr>
              <w:t>特殊项目</w:t>
            </w:r>
          </w:p>
        </w:tc>
        <w:tc>
          <w:tcPr>
            <w:tcW w:w="928" w:type="dxa"/>
            <w:shd w:val="clear" w:color="auto" w:fill="auto"/>
            <w:noWrap/>
            <w:tcMar>
              <w:top w:w="10" w:type="dxa"/>
              <w:left w:w="10" w:type="dxa"/>
              <w:right w:w="10" w:type="dxa"/>
            </w:tcMar>
            <w:vAlign w:val="center"/>
          </w:tcPr>
          <w:p w14:paraId="6A025D7B">
            <w:pPr>
              <w:widowControl/>
              <w:adjustRightInd/>
              <w:snapToGrid/>
              <w:spacing w:line="240" w:lineRule="auto"/>
              <w:jc w:val="center"/>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rPr>
              <w:t>单位</w:t>
            </w:r>
          </w:p>
        </w:tc>
        <w:tc>
          <w:tcPr>
            <w:tcW w:w="1396" w:type="dxa"/>
            <w:shd w:val="clear" w:color="auto" w:fill="auto"/>
            <w:noWrap/>
            <w:tcMar>
              <w:top w:w="10" w:type="dxa"/>
              <w:left w:w="10" w:type="dxa"/>
              <w:right w:w="10" w:type="dxa"/>
            </w:tcMar>
            <w:vAlign w:val="center"/>
          </w:tcPr>
          <w:p w14:paraId="3C03CBE9">
            <w:pPr>
              <w:widowControl/>
              <w:adjustRightInd/>
              <w:snapToGrid/>
              <w:spacing w:line="240" w:lineRule="auto"/>
              <w:jc w:val="center"/>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color w:val="auto"/>
                <w:szCs w:val="21"/>
                <w:highlight w:val="none"/>
                <w:u w:val="none"/>
              </w:rPr>
              <w:t>完成情况</w:t>
            </w:r>
          </w:p>
        </w:tc>
      </w:tr>
      <w:tr w14:paraId="1FCB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restart"/>
            <w:shd w:val="clear" w:color="auto" w:fill="auto"/>
            <w:noWrap/>
            <w:tcMar>
              <w:top w:w="10" w:type="dxa"/>
              <w:left w:w="10" w:type="dxa"/>
              <w:right w:w="10" w:type="dxa"/>
            </w:tcMar>
            <w:vAlign w:val="center"/>
          </w:tcPr>
          <w:p w14:paraId="5109413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一、</w:t>
            </w:r>
          </w:p>
        </w:tc>
        <w:tc>
          <w:tcPr>
            <w:tcW w:w="1300" w:type="dxa"/>
            <w:vMerge w:val="restart"/>
            <w:shd w:val="clear" w:color="auto" w:fill="auto"/>
            <w:tcMar>
              <w:top w:w="10" w:type="dxa"/>
              <w:left w:w="10" w:type="dxa"/>
              <w:right w:w="10" w:type="dxa"/>
            </w:tcMar>
            <w:vAlign w:val="center"/>
          </w:tcPr>
          <w:p w14:paraId="0FEAAA9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余热锅炉本体</w:t>
            </w:r>
          </w:p>
        </w:tc>
        <w:tc>
          <w:tcPr>
            <w:tcW w:w="1309" w:type="dxa"/>
            <w:shd w:val="clear" w:color="auto" w:fill="auto"/>
            <w:tcMar>
              <w:top w:w="10" w:type="dxa"/>
              <w:left w:w="10" w:type="dxa"/>
              <w:right w:w="10" w:type="dxa"/>
            </w:tcMar>
            <w:vAlign w:val="center"/>
          </w:tcPr>
          <w:p w14:paraId="727FC5F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协助内检</w:t>
            </w:r>
          </w:p>
        </w:tc>
        <w:tc>
          <w:tcPr>
            <w:tcW w:w="2902" w:type="dxa"/>
            <w:gridSpan w:val="2"/>
            <w:shd w:val="clear" w:color="auto" w:fill="auto"/>
            <w:tcMar>
              <w:top w:w="10" w:type="dxa"/>
              <w:left w:w="10" w:type="dxa"/>
              <w:right w:w="10" w:type="dxa"/>
            </w:tcMar>
            <w:vAlign w:val="center"/>
          </w:tcPr>
          <w:p w14:paraId="547F504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1.协助内检工作，拆除保温、打磨及恢复，根据现场需要搭设脚手架；</w:t>
            </w:r>
          </w:p>
        </w:tc>
        <w:tc>
          <w:tcPr>
            <w:tcW w:w="928" w:type="dxa"/>
            <w:shd w:val="clear" w:color="auto" w:fill="auto"/>
            <w:tcMar>
              <w:top w:w="10" w:type="dxa"/>
              <w:left w:w="10" w:type="dxa"/>
              <w:right w:w="10" w:type="dxa"/>
            </w:tcMar>
            <w:vAlign w:val="center"/>
          </w:tcPr>
          <w:p w14:paraId="66D3567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6E91F1D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5FCD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D2DDA82">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8BD9FF6">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7F66AC7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汽包</w:t>
            </w:r>
          </w:p>
        </w:tc>
        <w:tc>
          <w:tcPr>
            <w:tcW w:w="2902" w:type="dxa"/>
            <w:gridSpan w:val="2"/>
            <w:shd w:val="clear" w:color="auto" w:fill="auto"/>
            <w:tcMar>
              <w:top w:w="10" w:type="dxa"/>
              <w:left w:w="10" w:type="dxa"/>
              <w:right w:w="10" w:type="dxa"/>
            </w:tcMar>
            <w:vAlign w:val="center"/>
          </w:tcPr>
          <w:p w14:paraId="22B05089">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2.检查和清理汽包内部的腐蚀和结垢；</w:t>
            </w:r>
          </w:p>
        </w:tc>
        <w:tc>
          <w:tcPr>
            <w:tcW w:w="928" w:type="dxa"/>
            <w:shd w:val="clear" w:color="auto" w:fill="auto"/>
            <w:tcMar>
              <w:top w:w="10" w:type="dxa"/>
              <w:left w:w="10" w:type="dxa"/>
              <w:right w:w="10" w:type="dxa"/>
            </w:tcMar>
            <w:vAlign w:val="center"/>
          </w:tcPr>
          <w:p w14:paraId="4C642B1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2E9E4DD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DC3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4E07B1E7">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79E6C861">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A4B6E6B">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52C865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3.检查汽水分离器及附件的完整性、严密性和固定情况；</w:t>
            </w:r>
          </w:p>
        </w:tc>
        <w:tc>
          <w:tcPr>
            <w:tcW w:w="928" w:type="dxa"/>
            <w:shd w:val="clear" w:color="auto" w:fill="auto"/>
            <w:tcMar>
              <w:top w:w="10" w:type="dxa"/>
              <w:left w:w="10" w:type="dxa"/>
              <w:right w:w="10" w:type="dxa"/>
            </w:tcMar>
            <w:vAlign w:val="center"/>
          </w:tcPr>
          <w:p w14:paraId="3BA2140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178F699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057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40" w:hRule="atLeast"/>
        </w:trPr>
        <w:tc>
          <w:tcPr>
            <w:tcW w:w="491" w:type="dxa"/>
            <w:vMerge w:val="continue"/>
            <w:shd w:val="clear" w:color="auto" w:fill="auto"/>
            <w:noWrap/>
            <w:tcMar>
              <w:top w:w="10" w:type="dxa"/>
              <w:left w:w="10" w:type="dxa"/>
              <w:right w:w="10" w:type="dxa"/>
            </w:tcMar>
            <w:vAlign w:val="center"/>
          </w:tcPr>
          <w:p w14:paraId="5650E6C7">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94B5624">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7878420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7EB57FC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4.检查内部进水管、事故放水管、取样管、下降管、加药管、排污管、各水位计、压力表接口腐蚀，污垢，裂纹及焊口磨损并恢复；</w:t>
            </w:r>
          </w:p>
        </w:tc>
        <w:tc>
          <w:tcPr>
            <w:tcW w:w="928" w:type="dxa"/>
            <w:shd w:val="clear" w:color="auto" w:fill="auto"/>
            <w:tcMar>
              <w:top w:w="10" w:type="dxa"/>
              <w:left w:w="10" w:type="dxa"/>
              <w:right w:w="10" w:type="dxa"/>
            </w:tcMar>
            <w:vAlign w:val="center"/>
          </w:tcPr>
          <w:p w14:paraId="642C5E3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1EA0E6C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458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7635C4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66E5FA6">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1D09D95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水冷系统</w:t>
            </w:r>
          </w:p>
        </w:tc>
        <w:tc>
          <w:tcPr>
            <w:tcW w:w="2902" w:type="dxa"/>
            <w:gridSpan w:val="2"/>
            <w:shd w:val="clear" w:color="auto" w:fill="auto"/>
            <w:tcMar>
              <w:top w:w="10" w:type="dxa"/>
              <w:left w:w="10" w:type="dxa"/>
              <w:right w:w="10" w:type="dxa"/>
            </w:tcMar>
            <w:vAlign w:val="center"/>
          </w:tcPr>
          <w:p w14:paraId="6FE025F6">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5.打开联箱手孔或割下封头、检查清理腐蚀、结垢；</w:t>
            </w:r>
          </w:p>
        </w:tc>
        <w:tc>
          <w:tcPr>
            <w:tcW w:w="928" w:type="dxa"/>
            <w:shd w:val="clear" w:color="auto" w:fill="auto"/>
            <w:noWrap/>
            <w:tcMar>
              <w:top w:w="10" w:type="dxa"/>
              <w:left w:w="10" w:type="dxa"/>
              <w:right w:w="10" w:type="dxa"/>
            </w:tcMar>
            <w:vAlign w:val="center"/>
          </w:tcPr>
          <w:p w14:paraId="0C2F753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6427DF4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5D1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0" w:hRule="atLeast"/>
        </w:trPr>
        <w:tc>
          <w:tcPr>
            <w:tcW w:w="491" w:type="dxa"/>
            <w:vMerge w:val="continue"/>
            <w:shd w:val="clear" w:color="auto" w:fill="auto"/>
            <w:noWrap/>
            <w:tcMar>
              <w:top w:w="10" w:type="dxa"/>
              <w:left w:w="10" w:type="dxa"/>
              <w:right w:w="10" w:type="dxa"/>
            </w:tcMar>
            <w:vAlign w:val="center"/>
          </w:tcPr>
          <w:p w14:paraId="595BC85E">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542D81A">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501D8A68">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77B638BE">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6.更换管子，每根管子长度6米以内，含检查管子外壁磨损、胀粗，变形和损伤，割管检查水冷壁管内部状况；（每根超过6米的按比例结算）</w:t>
            </w:r>
          </w:p>
        </w:tc>
        <w:tc>
          <w:tcPr>
            <w:tcW w:w="928" w:type="dxa"/>
            <w:shd w:val="clear" w:color="auto" w:fill="auto"/>
            <w:noWrap/>
            <w:tcMar>
              <w:top w:w="10" w:type="dxa"/>
              <w:left w:w="10" w:type="dxa"/>
              <w:right w:w="10" w:type="dxa"/>
            </w:tcMar>
            <w:vAlign w:val="center"/>
          </w:tcPr>
          <w:p w14:paraId="070125B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元/根</w:t>
            </w:r>
          </w:p>
        </w:tc>
        <w:tc>
          <w:tcPr>
            <w:tcW w:w="1396" w:type="dxa"/>
            <w:shd w:val="clear" w:color="auto" w:fill="auto"/>
            <w:noWrap/>
            <w:tcMar>
              <w:top w:w="10" w:type="dxa"/>
              <w:left w:w="10" w:type="dxa"/>
              <w:right w:w="10" w:type="dxa"/>
            </w:tcMar>
            <w:vAlign w:val="center"/>
          </w:tcPr>
          <w:p w14:paraId="55F465C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720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74C0D2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98BD6E7">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9EE046A">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0B857D5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7.防磨瓦更换（按实际更换比例结算）；</w:t>
            </w:r>
          </w:p>
        </w:tc>
        <w:tc>
          <w:tcPr>
            <w:tcW w:w="928" w:type="dxa"/>
            <w:shd w:val="clear" w:color="auto" w:fill="auto"/>
            <w:tcMar>
              <w:top w:w="10" w:type="dxa"/>
              <w:left w:w="10" w:type="dxa"/>
              <w:right w:w="10" w:type="dxa"/>
            </w:tcMar>
            <w:vAlign w:val="center"/>
          </w:tcPr>
          <w:p w14:paraId="0A9E1E4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1D75FC8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1DB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6DB60442">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566E579">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4C1A4B23">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71A2D403">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8.蒸发器整组更换（含拆除、包括施工需要搭设各类的架子及平台）；</w:t>
            </w:r>
          </w:p>
        </w:tc>
        <w:tc>
          <w:tcPr>
            <w:tcW w:w="928" w:type="dxa"/>
            <w:shd w:val="clear" w:color="auto" w:fill="auto"/>
            <w:noWrap/>
            <w:tcMar>
              <w:top w:w="10" w:type="dxa"/>
              <w:left w:w="10" w:type="dxa"/>
              <w:right w:w="10" w:type="dxa"/>
            </w:tcMar>
            <w:vAlign w:val="center"/>
          </w:tcPr>
          <w:p w14:paraId="3F67246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69DCF88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D41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55C6E2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A6690E3">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4426312">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5BB22634">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9.第一通道搭钢管架至炉顶（不含前拱、后拱工作面）；</w:t>
            </w:r>
          </w:p>
        </w:tc>
        <w:tc>
          <w:tcPr>
            <w:tcW w:w="928" w:type="dxa"/>
            <w:shd w:val="clear" w:color="auto" w:fill="auto"/>
            <w:tcMar>
              <w:top w:w="10" w:type="dxa"/>
              <w:left w:w="10" w:type="dxa"/>
              <w:right w:w="10" w:type="dxa"/>
            </w:tcMar>
            <w:vAlign w:val="center"/>
          </w:tcPr>
          <w:p w14:paraId="01994CF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1BC8081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2F4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3E0034E5">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4BE1F74">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3777639">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43F9C9D5">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10.第二通道搭钢管架至炉顶；</w:t>
            </w:r>
          </w:p>
        </w:tc>
        <w:tc>
          <w:tcPr>
            <w:tcW w:w="928" w:type="dxa"/>
            <w:shd w:val="clear" w:color="auto" w:fill="auto"/>
            <w:tcMar>
              <w:top w:w="10" w:type="dxa"/>
              <w:left w:w="10" w:type="dxa"/>
              <w:right w:w="10" w:type="dxa"/>
            </w:tcMar>
            <w:vAlign w:val="center"/>
          </w:tcPr>
          <w:p w14:paraId="51FF6AB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6C28F1A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3C5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4523343B">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77D62B5">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E4C4F8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335CAC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11.第三烟道搭钢管架至炉顶</w:t>
            </w:r>
          </w:p>
        </w:tc>
        <w:tc>
          <w:tcPr>
            <w:tcW w:w="928" w:type="dxa"/>
            <w:shd w:val="clear" w:color="auto" w:fill="auto"/>
            <w:tcMar>
              <w:top w:w="10" w:type="dxa"/>
              <w:left w:w="10" w:type="dxa"/>
              <w:right w:w="10" w:type="dxa"/>
            </w:tcMar>
            <w:vAlign w:val="center"/>
          </w:tcPr>
          <w:p w14:paraId="5503AF3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43BBC5A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6D2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7511BCC">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B603703">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2F8F441">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91C8223">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12.水平烟道搭钢管架至炉顶</w:t>
            </w:r>
          </w:p>
        </w:tc>
        <w:tc>
          <w:tcPr>
            <w:tcW w:w="928" w:type="dxa"/>
            <w:shd w:val="clear" w:color="auto" w:fill="auto"/>
            <w:tcMar>
              <w:top w:w="10" w:type="dxa"/>
              <w:left w:w="10" w:type="dxa"/>
              <w:right w:w="10" w:type="dxa"/>
            </w:tcMar>
            <w:vAlign w:val="center"/>
          </w:tcPr>
          <w:p w14:paraId="1F44C90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74A3CBC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10B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E6168AD">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003004C">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13781F23">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5D1CDBC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13.管子检查测厚</w:t>
            </w:r>
          </w:p>
        </w:tc>
        <w:tc>
          <w:tcPr>
            <w:tcW w:w="928" w:type="dxa"/>
            <w:shd w:val="clear" w:color="auto" w:fill="auto"/>
            <w:tcMar>
              <w:top w:w="10" w:type="dxa"/>
              <w:left w:w="10" w:type="dxa"/>
              <w:right w:w="10" w:type="dxa"/>
            </w:tcMar>
            <w:vAlign w:val="center"/>
          </w:tcPr>
          <w:p w14:paraId="50BB418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3BEFB30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789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2F35C3C">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BB62508">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noWrap/>
            <w:tcMar>
              <w:top w:w="10" w:type="dxa"/>
              <w:left w:w="10" w:type="dxa"/>
              <w:right w:w="10" w:type="dxa"/>
            </w:tcMar>
            <w:vAlign w:val="center"/>
          </w:tcPr>
          <w:p w14:paraId="6E1D095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过热器系统</w:t>
            </w:r>
          </w:p>
        </w:tc>
        <w:tc>
          <w:tcPr>
            <w:tcW w:w="2902" w:type="dxa"/>
            <w:gridSpan w:val="2"/>
            <w:shd w:val="clear" w:color="auto" w:fill="auto"/>
            <w:tcMar>
              <w:top w:w="10" w:type="dxa"/>
              <w:left w:w="10" w:type="dxa"/>
              <w:right w:w="10" w:type="dxa"/>
            </w:tcMar>
            <w:vAlign w:val="center"/>
          </w:tcPr>
          <w:p w14:paraId="0B91B028">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14.打开联箱手孔或割下封头，检查并清理内部；</w:t>
            </w:r>
          </w:p>
        </w:tc>
        <w:tc>
          <w:tcPr>
            <w:tcW w:w="928" w:type="dxa"/>
            <w:shd w:val="clear" w:color="auto" w:fill="auto"/>
            <w:noWrap/>
            <w:tcMar>
              <w:top w:w="10" w:type="dxa"/>
              <w:left w:w="10" w:type="dxa"/>
              <w:right w:w="10" w:type="dxa"/>
            </w:tcMar>
            <w:vAlign w:val="center"/>
          </w:tcPr>
          <w:p w14:paraId="5E30583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759AFF4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D25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491" w:type="dxa"/>
            <w:vMerge w:val="continue"/>
            <w:shd w:val="clear" w:color="auto" w:fill="auto"/>
            <w:noWrap/>
            <w:tcMar>
              <w:top w:w="10" w:type="dxa"/>
              <w:left w:w="10" w:type="dxa"/>
              <w:right w:w="10" w:type="dxa"/>
            </w:tcMar>
            <w:vAlign w:val="center"/>
          </w:tcPr>
          <w:p w14:paraId="5D460E96">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798F57F">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1C8B481B">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noWrap/>
            <w:tcMar>
              <w:top w:w="10" w:type="dxa"/>
              <w:left w:w="10" w:type="dxa"/>
              <w:right w:w="10" w:type="dxa"/>
            </w:tcMar>
            <w:vAlign w:val="center"/>
          </w:tcPr>
          <w:p w14:paraId="24A60165">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15.更换管子，每根管子长度6米以内；（每根超过6米的按比例结算）</w:t>
            </w:r>
          </w:p>
        </w:tc>
        <w:tc>
          <w:tcPr>
            <w:tcW w:w="928" w:type="dxa"/>
            <w:shd w:val="clear" w:color="auto" w:fill="auto"/>
            <w:noWrap/>
            <w:tcMar>
              <w:top w:w="10" w:type="dxa"/>
              <w:left w:w="10" w:type="dxa"/>
              <w:right w:w="10" w:type="dxa"/>
            </w:tcMar>
            <w:vAlign w:val="center"/>
          </w:tcPr>
          <w:p w14:paraId="32CCBD6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元/根</w:t>
            </w:r>
          </w:p>
        </w:tc>
        <w:tc>
          <w:tcPr>
            <w:tcW w:w="1396" w:type="dxa"/>
            <w:shd w:val="clear" w:color="auto" w:fill="auto"/>
            <w:noWrap/>
            <w:tcMar>
              <w:top w:w="10" w:type="dxa"/>
              <w:left w:w="10" w:type="dxa"/>
              <w:right w:w="10" w:type="dxa"/>
            </w:tcMar>
            <w:vAlign w:val="center"/>
          </w:tcPr>
          <w:p w14:paraId="0BB6017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4DA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0B8E8C3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FEA6403">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631EA258">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tcMar>
              <w:top w:w="10" w:type="dxa"/>
              <w:left w:w="10" w:type="dxa"/>
              <w:right w:w="10" w:type="dxa"/>
            </w:tcMar>
            <w:vAlign w:val="center"/>
          </w:tcPr>
          <w:p w14:paraId="240160B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16.整组更换过热器（含拆除、包括施工需要搭设各类的架子及平台）；</w:t>
            </w:r>
          </w:p>
        </w:tc>
        <w:tc>
          <w:tcPr>
            <w:tcW w:w="928" w:type="dxa"/>
            <w:shd w:val="clear" w:color="auto" w:fill="auto"/>
            <w:noWrap/>
            <w:tcMar>
              <w:top w:w="10" w:type="dxa"/>
              <w:left w:w="10" w:type="dxa"/>
              <w:right w:w="10" w:type="dxa"/>
            </w:tcMar>
            <w:vAlign w:val="center"/>
          </w:tcPr>
          <w:p w14:paraId="5A5E375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1843744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EC1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6657A03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197D763">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15EE6149">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tcMar>
              <w:top w:w="10" w:type="dxa"/>
              <w:left w:w="10" w:type="dxa"/>
              <w:right w:w="10" w:type="dxa"/>
            </w:tcMar>
            <w:vAlign w:val="center"/>
          </w:tcPr>
          <w:p w14:paraId="7627A9CE">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17.整排更换过热器支座或管卡；</w:t>
            </w:r>
          </w:p>
        </w:tc>
        <w:tc>
          <w:tcPr>
            <w:tcW w:w="928" w:type="dxa"/>
            <w:shd w:val="clear" w:color="auto" w:fill="auto"/>
            <w:noWrap/>
            <w:tcMar>
              <w:top w:w="10" w:type="dxa"/>
              <w:left w:w="10" w:type="dxa"/>
              <w:right w:w="10" w:type="dxa"/>
            </w:tcMar>
            <w:vAlign w:val="center"/>
          </w:tcPr>
          <w:p w14:paraId="6421173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元/排</w:t>
            </w:r>
          </w:p>
        </w:tc>
        <w:tc>
          <w:tcPr>
            <w:tcW w:w="1396" w:type="dxa"/>
            <w:shd w:val="clear" w:color="auto" w:fill="auto"/>
            <w:noWrap/>
            <w:tcMar>
              <w:top w:w="10" w:type="dxa"/>
              <w:left w:w="10" w:type="dxa"/>
              <w:right w:w="10" w:type="dxa"/>
            </w:tcMar>
            <w:vAlign w:val="center"/>
          </w:tcPr>
          <w:p w14:paraId="2F77035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2D1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502997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7292DD6">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5B04A53A">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tcMar>
              <w:top w:w="10" w:type="dxa"/>
              <w:left w:w="10" w:type="dxa"/>
              <w:right w:w="10" w:type="dxa"/>
            </w:tcMar>
            <w:vAlign w:val="center"/>
          </w:tcPr>
          <w:p w14:paraId="46DE5EF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18.防磨瓦更换（按实际更换比例结算）；</w:t>
            </w:r>
          </w:p>
        </w:tc>
        <w:tc>
          <w:tcPr>
            <w:tcW w:w="928" w:type="dxa"/>
            <w:shd w:val="clear" w:color="auto" w:fill="auto"/>
            <w:tcMar>
              <w:top w:w="10" w:type="dxa"/>
              <w:left w:w="10" w:type="dxa"/>
              <w:right w:w="10" w:type="dxa"/>
            </w:tcMar>
            <w:vAlign w:val="center"/>
          </w:tcPr>
          <w:p w14:paraId="3892C44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59E96B6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8C3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553E8C1">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13FC812">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1B4BEEFE">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tcMar>
              <w:top w:w="10" w:type="dxa"/>
              <w:left w:w="10" w:type="dxa"/>
              <w:right w:w="10" w:type="dxa"/>
            </w:tcMar>
            <w:vAlign w:val="center"/>
          </w:tcPr>
          <w:p w14:paraId="562C51BE">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19.割管检查；</w:t>
            </w:r>
          </w:p>
        </w:tc>
        <w:tc>
          <w:tcPr>
            <w:tcW w:w="928" w:type="dxa"/>
            <w:shd w:val="clear" w:color="auto" w:fill="auto"/>
            <w:noWrap/>
            <w:tcMar>
              <w:top w:w="10" w:type="dxa"/>
              <w:left w:w="10" w:type="dxa"/>
              <w:right w:w="10" w:type="dxa"/>
            </w:tcMar>
            <w:vAlign w:val="center"/>
          </w:tcPr>
          <w:p w14:paraId="582EB4D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元/处</w:t>
            </w:r>
          </w:p>
        </w:tc>
        <w:tc>
          <w:tcPr>
            <w:tcW w:w="1396" w:type="dxa"/>
            <w:shd w:val="clear" w:color="auto" w:fill="auto"/>
            <w:noWrap/>
            <w:tcMar>
              <w:top w:w="10" w:type="dxa"/>
              <w:left w:w="10" w:type="dxa"/>
              <w:right w:w="10" w:type="dxa"/>
            </w:tcMar>
            <w:vAlign w:val="center"/>
          </w:tcPr>
          <w:p w14:paraId="2ABF531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A12E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C301B41">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AA7A026">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16093E11">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tcMar>
              <w:top w:w="10" w:type="dxa"/>
              <w:left w:w="10" w:type="dxa"/>
              <w:right w:w="10" w:type="dxa"/>
            </w:tcMar>
            <w:vAlign w:val="center"/>
          </w:tcPr>
          <w:p w14:paraId="443FEA6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20.检查管子磨损、胀粗、弯曲情况；</w:t>
            </w:r>
          </w:p>
        </w:tc>
        <w:tc>
          <w:tcPr>
            <w:tcW w:w="928" w:type="dxa"/>
            <w:shd w:val="clear" w:color="auto" w:fill="auto"/>
            <w:tcMar>
              <w:top w:w="10" w:type="dxa"/>
              <w:left w:w="10" w:type="dxa"/>
              <w:right w:w="10" w:type="dxa"/>
            </w:tcMar>
            <w:vAlign w:val="center"/>
          </w:tcPr>
          <w:p w14:paraId="35ABA23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2F5ABF7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293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3AE900D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54E8280">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1D7330D1">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tcMar>
              <w:top w:w="10" w:type="dxa"/>
              <w:left w:w="10" w:type="dxa"/>
              <w:right w:w="10" w:type="dxa"/>
            </w:tcMar>
            <w:vAlign w:val="center"/>
          </w:tcPr>
          <w:p w14:paraId="67F2AC95">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21.管子检查测厚</w:t>
            </w:r>
          </w:p>
        </w:tc>
        <w:tc>
          <w:tcPr>
            <w:tcW w:w="928" w:type="dxa"/>
            <w:shd w:val="clear" w:color="auto" w:fill="auto"/>
            <w:tcMar>
              <w:top w:w="10" w:type="dxa"/>
              <w:left w:w="10" w:type="dxa"/>
              <w:right w:w="10" w:type="dxa"/>
            </w:tcMar>
            <w:vAlign w:val="center"/>
          </w:tcPr>
          <w:p w14:paraId="4034120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4754FD2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7E7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44A40D8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6F08BA9">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3AB872B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省煤器及联箱</w:t>
            </w:r>
          </w:p>
        </w:tc>
        <w:tc>
          <w:tcPr>
            <w:tcW w:w="2902" w:type="dxa"/>
            <w:gridSpan w:val="2"/>
            <w:shd w:val="clear" w:color="auto" w:fill="auto"/>
            <w:tcMar>
              <w:top w:w="10" w:type="dxa"/>
              <w:left w:w="10" w:type="dxa"/>
              <w:right w:w="10" w:type="dxa"/>
            </w:tcMar>
            <w:vAlign w:val="center"/>
          </w:tcPr>
          <w:p w14:paraId="787921E5">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22.打开联箱手孔或割下封头，检查腐蚀结垢，清理内部；</w:t>
            </w:r>
          </w:p>
        </w:tc>
        <w:tc>
          <w:tcPr>
            <w:tcW w:w="928" w:type="dxa"/>
            <w:shd w:val="clear" w:color="auto" w:fill="auto"/>
            <w:noWrap/>
            <w:tcMar>
              <w:top w:w="10" w:type="dxa"/>
              <w:left w:w="10" w:type="dxa"/>
              <w:right w:w="10" w:type="dxa"/>
            </w:tcMar>
            <w:vAlign w:val="center"/>
          </w:tcPr>
          <w:p w14:paraId="167BA4C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37AC4F3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3DE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50150278">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16EFB15">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52FCF670">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0E6BDB8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23.更换管子，每根管子长度6米以内；（每根超过6米的按比例结算）</w:t>
            </w:r>
          </w:p>
        </w:tc>
        <w:tc>
          <w:tcPr>
            <w:tcW w:w="928" w:type="dxa"/>
            <w:shd w:val="clear" w:color="auto" w:fill="auto"/>
            <w:noWrap/>
            <w:tcMar>
              <w:top w:w="10" w:type="dxa"/>
              <w:left w:w="10" w:type="dxa"/>
              <w:right w:w="10" w:type="dxa"/>
            </w:tcMar>
            <w:vAlign w:val="center"/>
          </w:tcPr>
          <w:p w14:paraId="493EA0A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元/处</w:t>
            </w:r>
          </w:p>
        </w:tc>
        <w:tc>
          <w:tcPr>
            <w:tcW w:w="1396" w:type="dxa"/>
            <w:shd w:val="clear" w:color="auto" w:fill="auto"/>
            <w:noWrap/>
            <w:tcMar>
              <w:top w:w="10" w:type="dxa"/>
              <w:left w:w="10" w:type="dxa"/>
              <w:right w:w="10" w:type="dxa"/>
            </w:tcMar>
            <w:vAlign w:val="center"/>
          </w:tcPr>
          <w:p w14:paraId="2C76D13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6CA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491" w:type="dxa"/>
            <w:vMerge w:val="continue"/>
            <w:shd w:val="clear" w:color="auto" w:fill="auto"/>
            <w:noWrap/>
            <w:tcMar>
              <w:top w:w="10" w:type="dxa"/>
              <w:left w:w="10" w:type="dxa"/>
              <w:right w:w="10" w:type="dxa"/>
            </w:tcMar>
            <w:vAlign w:val="center"/>
          </w:tcPr>
          <w:p w14:paraId="580F1B7D">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289537E">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E7B94D5">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noWrap/>
            <w:tcMar>
              <w:top w:w="10" w:type="dxa"/>
              <w:left w:w="10" w:type="dxa"/>
              <w:right w:w="10" w:type="dxa"/>
            </w:tcMar>
            <w:vAlign w:val="center"/>
          </w:tcPr>
          <w:p w14:paraId="0D317588">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24.整组更换省煤器（含拆除、包括施工需要搭设各类的架子及平台）；</w:t>
            </w:r>
          </w:p>
        </w:tc>
        <w:tc>
          <w:tcPr>
            <w:tcW w:w="928" w:type="dxa"/>
            <w:shd w:val="clear" w:color="auto" w:fill="auto"/>
            <w:noWrap/>
            <w:tcMar>
              <w:top w:w="10" w:type="dxa"/>
              <w:left w:w="10" w:type="dxa"/>
              <w:right w:w="10" w:type="dxa"/>
            </w:tcMar>
            <w:vAlign w:val="center"/>
          </w:tcPr>
          <w:p w14:paraId="44FF872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5D25762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0EF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AFF3DAC">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E1148E0">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58B643BF">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noWrap/>
            <w:tcMar>
              <w:top w:w="10" w:type="dxa"/>
              <w:left w:w="10" w:type="dxa"/>
              <w:right w:w="10" w:type="dxa"/>
            </w:tcMar>
            <w:vAlign w:val="center"/>
          </w:tcPr>
          <w:p w14:paraId="2EB4D8C6">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25.整排更换省煤器支座或管卡；</w:t>
            </w:r>
          </w:p>
        </w:tc>
        <w:tc>
          <w:tcPr>
            <w:tcW w:w="928" w:type="dxa"/>
            <w:shd w:val="clear" w:color="auto" w:fill="auto"/>
            <w:noWrap/>
            <w:tcMar>
              <w:top w:w="10" w:type="dxa"/>
              <w:left w:w="10" w:type="dxa"/>
              <w:right w:w="10" w:type="dxa"/>
            </w:tcMar>
            <w:vAlign w:val="center"/>
          </w:tcPr>
          <w:p w14:paraId="1915E9B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元/排</w:t>
            </w:r>
          </w:p>
        </w:tc>
        <w:tc>
          <w:tcPr>
            <w:tcW w:w="1396" w:type="dxa"/>
            <w:shd w:val="clear" w:color="auto" w:fill="auto"/>
            <w:noWrap/>
            <w:tcMar>
              <w:top w:w="10" w:type="dxa"/>
              <w:left w:w="10" w:type="dxa"/>
              <w:right w:w="10" w:type="dxa"/>
            </w:tcMar>
            <w:vAlign w:val="center"/>
          </w:tcPr>
          <w:p w14:paraId="137596B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B0A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1C13AB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7D74A9D6">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BF91A7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noWrap/>
            <w:tcMar>
              <w:top w:w="10" w:type="dxa"/>
              <w:left w:w="10" w:type="dxa"/>
              <w:right w:w="10" w:type="dxa"/>
            </w:tcMar>
            <w:vAlign w:val="center"/>
          </w:tcPr>
          <w:p w14:paraId="26A66F5E">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26.防磨瓦更换（按实际更换比例结算）；</w:t>
            </w:r>
          </w:p>
        </w:tc>
        <w:tc>
          <w:tcPr>
            <w:tcW w:w="928" w:type="dxa"/>
            <w:shd w:val="clear" w:color="auto" w:fill="auto"/>
            <w:tcMar>
              <w:top w:w="10" w:type="dxa"/>
              <w:left w:w="10" w:type="dxa"/>
              <w:right w:w="10" w:type="dxa"/>
            </w:tcMar>
            <w:vAlign w:val="center"/>
          </w:tcPr>
          <w:p w14:paraId="0AAAE10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3B24E91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E10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6903944">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BD97CC2">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54E0B493">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noWrap/>
            <w:tcMar>
              <w:top w:w="10" w:type="dxa"/>
              <w:left w:w="10" w:type="dxa"/>
              <w:right w:w="10" w:type="dxa"/>
            </w:tcMar>
            <w:vAlign w:val="center"/>
          </w:tcPr>
          <w:p w14:paraId="7ED83AA2">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27.管子检查测厚；</w:t>
            </w:r>
          </w:p>
        </w:tc>
        <w:tc>
          <w:tcPr>
            <w:tcW w:w="928" w:type="dxa"/>
            <w:shd w:val="clear" w:color="auto" w:fill="auto"/>
            <w:tcMar>
              <w:top w:w="10" w:type="dxa"/>
              <w:left w:w="10" w:type="dxa"/>
              <w:right w:w="10" w:type="dxa"/>
            </w:tcMar>
            <w:vAlign w:val="center"/>
          </w:tcPr>
          <w:p w14:paraId="6396591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5A9DEBE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9B7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7E8B0822">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D44D7C6">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noWrap/>
            <w:tcMar>
              <w:top w:w="10" w:type="dxa"/>
              <w:left w:w="10" w:type="dxa"/>
              <w:right w:w="10" w:type="dxa"/>
            </w:tcMar>
            <w:vAlign w:val="center"/>
          </w:tcPr>
          <w:p w14:paraId="0E43CA1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汽水系统</w:t>
            </w:r>
          </w:p>
        </w:tc>
        <w:tc>
          <w:tcPr>
            <w:tcW w:w="2902" w:type="dxa"/>
            <w:gridSpan w:val="2"/>
            <w:shd w:val="clear" w:color="auto" w:fill="auto"/>
            <w:tcMar>
              <w:top w:w="10" w:type="dxa"/>
              <w:left w:w="10" w:type="dxa"/>
              <w:right w:w="10" w:type="dxa"/>
            </w:tcMar>
            <w:vAlign w:val="center"/>
          </w:tcPr>
          <w:p w14:paraId="0817724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28.更换阀门或阀门更换垫子；（因更换阀门而更换垫片的不计垫片数）</w:t>
            </w:r>
          </w:p>
        </w:tc>
        <w:tc>
          <w:tcPr>
            <w:tcW w:w="928" w:type="dxa"/>
            <w:shd w:val="clear" w:color="auto" w:fill="auto"/>
            <w:noWrap/>
            <w:tcMar>
              <w:top w:w="10" w:type="dxa"/>
              <w:left w:w="10" w:type="dxa"/>
              <w:right w:w="10" w:type="dxa"/>
            </w:tcMar>
            <w:vAlign w:val="center"/>
          </w:tcPr>
          <w:p w14:paraId="0F7B702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6A2F4FA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9D6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604592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B16F089">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3575BF9D">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noWrap/>
            <w:tcMar>
              <w:top w:w="10" w:type="dxa"/>
              <w:left w:w="10" w:type="dxa"/>
              <w:right w:w="10" w:type="dxa"/>
            </w:tcMar>
            <w:vAlign w:val="center"/>
          </w:tcPr>
          <w:p w14:paraId="01B42CA4">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29.消除系统中的漏点；</w:t>
            </w:r>
          </w:p>
        </w:tc>
        <w:tc>
          <w:tcPr>
            <w:tcW w:w="928" w:type="dxa"/>
            <w:shd w:val="clear" w:color="auto" w:fill="auto"/>
            <w:noWrap/>
            <w:tcMar>
              <w:top w:w="10" w:type="dxa"/>
              <w:left w:w="10" w:type="dxa"/>
              <w:right w:w="10" w:type="dxa"/>
            </w:tcMar>
            <w:vAlign w:val="center"/>
          </w:tcPr>
          <w:p w14:paraId="183D3CF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元/点</w:t>
            </w:r>
          </w:p>
        </w:tc>
        <w:tc>
          <w:tcPr>
            <w:tcW w:w="1396" w:type="dxa"/>
            <w:shd w:val="clear" w:color="auto" w:fill="auto"/>
            <w:noWrap/>
            <w:tcMar>
              <w:top w:w="10" w:type="dxa"/>
              <w:left w:w="10" w:type="dxa"/>
              <w:right w:w="10" w:type="dxa"/>
            </w:tcMar>
            <w:vAlign w:val="center"/>
          </w:tcPr>
          <w:p w14:paraId="3AD0BA2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98C7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3B1392D">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E0ACCC2">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616A9C0F">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tcMar>
              <w:top w:w="10" w:type="dxa"/>
              <w:left w:w="10" w:type="dxa"/>
              <w:right w:w="10" w:type="dxa"/>
            </w:tcMar>
            <w:vAlign w:val="center"/>
          </w:tcPr>
          <w:p w14:paraId="6B4EEDCF">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30.阀门添加或更换填料；</w:t>
            </w:r>
          </w:p>
        </w:tc>
        <w:tc>
          <w:tcPr>
            <w:tcW w:w="928" w:type="dxa"/>
            <w:shd w:val="clear" w:color="auto" w:fill="auto"/>
            <w:noWrap/>
            <w:tcMar>
              <w:top w:w="10" w:type="dxa"/>
              <w:left w:w="10" w:type="dxa"/>
              <w:right w:w="10" w:type="dxa"/>
            </w:tcMar>
            <w:vAlign w:val="center"/>
          </w:tcPr>
          <w:p w14:paraId="4E09B18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18DF16E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A61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4264876">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DC13099">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noWrap/>
            <w:tcMar>
              <w:top w:w="10" w:type="dxa"/>
              <w:left w:w="10" w:type="dxa"/>
              <w:right w:w="10" w:type="dxa"/>
            </w:tcMar>
            <w:vAlign w:val="center"/>
          </w:tcPr>
          <w:p w14:paraId="1DC176FC">
            <w:pPr>
              <w:spacing w:line="240" w:lineRule="auto"/>
              <w:jc w:val="center"/>
              <w:rPr>
                <w:rFonts w:hint="eastAsia" w:ascii="宋体" w:hAnsi="宋体" w:eastAsia="宋体" w:cs="宋体"/>
                <w:i w:val="0"/>
                <w:color w:val="auto"/>
                <w:sz w:val="21"/>
                <w:szCs w:val="21"/>
                <w:highlight w:val="none"/>
                <w:u w:val="none"/>
              </w:rPr>
            </w:pPr>
          </w:p>
        </w:tc>
        <w:tc>
          <w:tcPr>
            <w:tcW w:w="2902" w:type="dxa"/>
            <w:gridSpan w:val="2"/>
            <w:shd w:val="clear" w:color="auto" w:fill="auto"/>
            <w:tcMar>
              <w:top w:w="10" w:type="dxa"/>
              <w:left w:w="10" w:type="dxa"/>
              <w:right w:w="10" w:type="dxa"/>
            </w:tcMar>
            <w:vAlign w:val="center"/>
          </w:tcPr>
          <w:p w14:paraId="2D4FD52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31.过热器省煤器蛇形管支撑架调整</w:t>
            </w:r>
          </w:p>
        </w:tc>
        <w:tc>
          <w:tcPr>
            <w:tcW w:w="928" w:type="dxa"/>
            <w:shd w:val="clear" w:color="auto" w:fill="auto"/>
            <w:noWrap/>
            <w:tcMar>
              <w:top w:w="10" w:type="dxa"/>
              <w:left w:w="10" w:type="dxa"/>
              <w:right w:w="10" w:type="dxa"/>
            </w:tcMar>
            <w:vAlign w:val="center"/>
          </w:tcPr>
          <w:p w14:paraId="51B034F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2056800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C15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68DB2ED7">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A256C81">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01A87E6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空气预热器</w:t>
            </w:r>
          </w:p>
        </w:tc>
        <w:tc>
          <w:tcPr>
            <w:tcW w:w="2902" w:type="dxa"/>
            <w:gridSpan w:val="2"/>
            <w:shd w:val="clear" w:color="auto" w:fill="auto"/>
            <w:tcMar>
              <w:top w:w="10" w:type="dxa"/>
              <w:left w:w="10" w:type="dxa"/>
              <w:right w:w="10" w:type="dxa"/>
            </w:tcMar>
            <w:vAlign w:val="center"/>
          </w:tcPr>
          <w:p w14:paraId="64276F38">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32.打开联箱手孔或割下封头，检查腐蚀结垢，清理内部；</w:t>
            </w:r>
          </w:p>
        </w:tc>
        <w:tc>
          <w:tcPr>
            <w:tcW w:w="928" w:type="dxa"/>
            <w:shd w:val="clear" w:color="auto" w:fill="auto"/>
            <w:noWrap/>
            <w:tcMar>
              <w:top w:w="10" w:type="dxa"/>
              <w:left w:w="10" w:type="dxa"/>
              <w:right w:w="10" w:type="dxa"/>
            </w:tcMar>
            <w:vAlign w:val="center"/>
          </w:tcPr>
          <w:p w14:paraId="741F3A9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18AE464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B36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33707325">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7EBCD81">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1E9FC19A">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445BEC0B">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33.更换管子，每根管子长度6米以内；（每根超过6米的按比例结算）</w:t>
            </w:r>
          </w:p>
        </w:tc>
        <w:tc>
          <w:tcPr>
            <w:tcW w:w="928" w:type="dxa"/>
            <w:shd w:val="clear" w:color="auto" w:fill="auto"/>
            <w:noWrap/>
            <w:tcMar>
              <w:top w:w="10" w:type="dxa"/>
              <w:left w:w="10" w:type="dxa"/>
              <w:right w:w="10" w:type="dxa"/>
            </w:tcMar>
            <w:vAlign w:val="center"/>
          </w:tcPr>
          <w:p w14:paraId="61D4B45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元/根</w:t>
            </w:r>
          </w:p>
        </w:tc>
        <w:tc>
          <w:tcPr>
            <w:tcW w:w="1396" w:type="dxa"/>
            <w:shd w:val="clear" w:color="auto" w:fill="auto"/>
            <w:noWrap/>
            <w:tcMar>
              <w:top w:w="10" w:type="dxa"/>
              <w:left w:w="10" w:type="dxa"/>
              <w:right w:w="10" w:type="dxa"/>
            </w:tcMar>
            <w:vAlign w:val="center"/>
          </w:tcPr>
          <w:p w14:paraId="79E259B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241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56381BC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578141C">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3DC902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6E43D1B3">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34.整组更换蛇形管（含拆除、包括施工需要搭设各类的架子及平台）；</w:t>
            </w:r>
          </w:p>
        </w:tc>
        <w:tc>
          <w:tcPr>
            <w:tcW w:w="928" w:type="dxa"/>
            <w:shd w:val="clear" w:color="auto" w:fill="auto"/>
            <w:noWrap/>
            <w:tcMar>
              <w:top w:w="10" w:type="dxa"/>
              <w:left w:w="10" w:type="dxa"/>
              <w:right w:w="10" w:type="dxa"/>
            </w:tcMar>
            <w:vAlign w:val="center"/>
          </w:tcPr>
          <w:p w14:paraId="2FF6CB1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2B47DAB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7D0B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1980AB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21DF6DB">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08DC6FF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吹灰器</w:t>
            </w:r>
          </w:p>
        </w:tc>
        <w:tc>
          <w:tcPr>
            <w:tcW w:w="2902" w:type="dxa"/>
            <w:gridSpan w:val="2"/>
            <w:shd w:val="clear" w:color="auto" w:fill="auto"/>
            <w:tcMar>
              <w:top w:w="10" w:type="dxa"/>
              <w:left w:w="10" w:type="dxa"/>
              <w:right w:w="10" w:type="dxa"/>
            </w:tcMar>
            <w:vAlign w:val="center"/>
          </w:tcPr>
          <w:p w14:paraId="311B5283">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r>
              <w:rPr>
                <w:rFonts w:hint="eastAsia" w:ascii="宋体" w:hAnsi="宋体" w:cs="宋体"/>
                <w:i w:val="0"/>
                <w:color w:val="auto"/>
                <w:kern w:val="0"/>
                <w:sz w:val="22"/>
                <w:szCs w:val="22"/>
                <w:highlight w:val="none"/>
                <w:u w:val="none"/>
                <w:lang w:val="en-US" w:eastAsia="zh-CN" w:bidi="ar"/>
              </w:rPr>
              <w:t>5</w:t>
            </w:r>
            <w:r>
              <w:rPr>
                <w:rFonts w:hint="eastAsia" w:ascii="宋体" w:hAnsi="宋体" w:eastAsia="宋体" w:cs="宋体"/>
                <w:i w:val="0"/>
                <w:color w:val="auto"/>
                <w:kern w:val="0"/>
                <w:sz w:val="22"/>
                <w:szCs w:val="22"/>
                <w:highlight w:val="none"/>
                <w:u w:val="none"/>
                <w:lang w:val="en-US" w:eastAsia="zh-CN" w:bidi="ar"/>
              </w:rPr>
              <w:t>.提升阀更换；</w:t>
            </w:r>
          </w:p>
        </w:tc>
        <w:tc>
          <w:tcPr>
            <w:tcW w:w="928" w:type="dxa"/>
            <w:shd w:val="clear" w:color="auto" w:fill="auto"/>
            <w:noWrap/>
            <w:tcMar>
              <w:top w:w="10" w:type="dxa"/>
              <w:left w:w="10" w:type="dxa"/>
              <w:right w:w="10" w:type="dxa"/>
            </w:tcMar>
            <w:vAlign w:val="center"/>
          </w:tcPr>
          <w:p w14:paraId="327019B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50DF1DA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68E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F3EA25C">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CFC72F5">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540C04E4">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0B9FA4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r>
              <w:rPr>
                <w:rFonts w:hint="eastAsia" w:ascii="宋体" w:hAnsi="宋体" w:cs="宋体"/>
                <w:i w:val="0"/>
                <w:color w:val="auto"/>
                <w:kern w:val="0"/>
                <w:sz w:val="22"/>
                <w:szCs w:val="22"/>
                <w:highlight w:val="none"/>
                <w:u w:val="none"/>
                <w:lang w:val="en-US" w:eastAsia="zh-CN" w:bidi="ar"/>
              </w:rPr>
              <w:t>6</w:t>
            </w:r>
            <w:r>
              <w:rPr>
                <w:rFonts w:hint="eastAsia" w:ascii="宋体" w:hAnsi="宋体" w:eastAsia="宋体" w:cs="宋体"/>
                <w:i w:val="0"/>
                <w:color w:val="auto"/>
                <w:kern w:val="0"/>
                <w:sz w:val="22"/>
                <w:szCs w:val="22"/>
                <w:highlight w:val="none"/>
                <w:u w:val="none"/>
                <w:lang w:val="en-US" w:eastAsia="zh-CN" w:bidi="ar"/>
              </w:rPr>
              <w:t>.长伸缩吹灰器更换外套管；</w:t>
            </w:r>
          </w:p>
        </w:tc>
        <w:tc>
          <w:tcPr>
            <w:tcW w:w="928" w:type="dxa"/>
            <w:shd w:val="clear" w:color="auto" w:fill="auto"/>
            <w:noWrap/>
            <w:tcMar>
              <w:top w:w="10" w:type="dxa"/>
              <w:left w:w="10" w:type="dxa"/>
              <w:right w:w="10" w:type="dxa"/>
            </w:tcMar>
            <w:vAlign w:val="center"/>
          </w:tcPr>
          <w:p w14:paraId="382B577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元/根</w:t>
            </w:r>
          </w:p>
        </w:tc>
        <w:tc>
          <w:tcPr>
            <w:tcW w:w="1396" w:type="dxa"/>
            <w:shd w:val="clear" w:color="auto" w:fill="auto"/>
            <w:noWrap/>
            <w:tcMar>
              <w:top w:w="10" w:type="dxa"/>
              <w:left w:w="10" w:type="dxa"/>
              <w:right w:w="10" w:type="dxa"/>
            </w:tcMar>
            <w:vAlign w:val="center"/>
          </w:tcPr>
          <w:p w14:paraId="1D0CAE3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DED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4620B16E">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330C952">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4F0B2C47">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3A083F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r>
              <w:rPr>
                <w:rFonts w:hint="eastAsia" w:ascii="宋体" w:hAnsi="宋体" w:cs="宋体"/>
                <w:i w:val="0"/>
                <w:color w:val="auto"/>
                <w:kern w:val="0"/>
                <w:sz w:val="22"/>
                <w:szCs w:val="22"/>
                <w:highlight w:val="none"/>
                <w:u w:val="none"/>
                <w:lang w:val="en-US" w:eastAsia="zh-CN" w:bidi="ar"/>
              </w:rPr>
              <w:t>7</w:t>
            </w:r>
            <w:r>
              <w:rPr>
                <w:rFonts w:hint="eastAsia" w:ascii="宋体" w:hAnsi="宋体" w:eastAsia="宋体" w:cs="宋体"/>
                <w:i w:val="0"/>
                <w:color w:val="auto"/>
                <w:kern w:val="0"/>
                <w:sz w:val="22"/>
                <w:szCs w:val="22"/>
                <w:highlight w:val="none"/>
                <w:u w:val="none"/>
                <w:lang w:val="en-US" w:eastAsia="zh-CN" w:bidi="ar"/>
              </w:rPr>
              <w:t>.半伸缩吹灰器更换外套管；</w:t>
            </w:r>
          </w:p>
        </w:tc>
        <w:tc>
          <w:tcPr>
            <w:tcW w:w="928" w:type="dxa"/>
            <w:shd w:val="clear" w:color="auto" w:fill="auto"/>
            <w:noWrap/>
            <w:tcMar>
              <w:top w:w="10" w:type="dxa"/>
              <w:left w:w="10" w:type="dxa"/>
              <w:right w:w="10" w:type="dxa"/>
            </w:tcMar>
            <w:vAlign w:val="center"/>
          </w:tcPr>
          <w:p w14:paraId="5446D0E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元/根</w:t>
            </w:r>
          </w:p>
        </w:tc>
        <w:tc>
          <w:tcPr>
            <w:tcW w:w="1396" w:type="dxa"/>
            <w:shd w:val="clear" w:color="auto" w:fill="auto"/>
            <w:noWrap/>
            <w:tcMar>
              <w:top w:w="10" w:type="dxa"/>
              <w:left w:w="10" w:type="dxa"/>
              <w:right w:w="10" w:type="dxa"/>
            </w:tcMar>
            <w:vAlign w:val="center"/>
          </w:tcPr>
          <w:p w14:paraId="32023CF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79C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E2E0B7C">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0867880">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BCC742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DD2590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r>
              <w:rPr>
                <w:rFonts w:hint="eastAsia" w:ascii="宋体" w:hAnsi="宋体" w:cs="宋体"/>
                <w:i w:val="0"/>
                <w:color w:val="auto"/>
                <w:kern w:val="0"/>
                <w:sz w:val="22"/>
                <w:szCs w:val="22"/>
                <w:highlight w:val="none"/>
                <w:u w:val="none"/>
                <w:lang w:val="en-US" w:eastAsia="zh-CN" w:bidi="ar"/>
              </w:rPr>
              <w:t>8</w:t>
            </w:r>
            <w:r>
              <w:rPr>
                <w:rFonts w:hint="eastAsia" w:ascii="宋体" w:hAnsi="宋体" w:eastAsia="宋体" w:cs="宋体"/>
                <w:i w:val="0"/>
                <w:color w:val="auto"/>
                <w:kern w:val="0"/>
                <w:sz w:val="22"/>
                <w:szCs w:val="22"/>
                <w:highlight w:val="none"/>
                <w:u w:val="none"/>
                <w:lang w:val="en-US" w:eastAsia="zh-CN" w:bidi="ar"/>
              </w:rPr>
              <w:t>.更换吹灰器电机或密封风机减速电机；</w:t>
            </w:r>
          </w:p>
        </w:tc>
        <w:tc>
          <w:tcPr>
            <w:tcW w:w="928" w:type="dxa"/>
            <w:shd w:val="clear" w:color="auto" w:fill="auto"/>
            <w:noWrap/>
            <w:tcMar>
              <w:top w:w="10" w:type="dxa"/>
              <w:left w:w="10" w:type="dxa"/>
              <w:right w:w="10" w:type="dxa"/>
            </w:tcMar>
            <w:vAlign w:val="center"/>
          </w:tcPr>
          <w:p w14:paraId="5B9BB79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元/台</w:t>
            </w:r>
          </w:p>
        </w:tc>
        <w:tc>
          <w:tcPr>
            <w:tcW w:w="1396" w:type="dxa"/>
            <w:shd w:val="clear" w:color="auto" w:fill="auto"/>
            <w:noWrap/>
            <w:tcMar>
              <w:top w:w="10" w:type="dxa"/>
              <w:left w:w="10" w:type="dxa"/>
              <w:right w:w="10" w:type="dxa"/>
            </w:tcMar>
            <w:vAlign w:val="center"/>
          </w:tcPr>
          <w:p w14:paraId="6A642FD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FA7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restart"/>
            <w:shd w:val="clear" w:color="auto" w:fill="auto"/>
            <w:noWrap/>
            <w:tcMar>
              <w:top w:w="10" w:type="dxa"/>
              <w:left w:w="10" w:type="dxa"/>
              <w:right w:w="10" w:type="dxa"/>
            </w:tcMar>
            <w:vAlign w:val="center"/>
          </w:tcPr>
          <w:p w14:paraId="237ADF7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二、</w:t>
            </w:r>
          </w:p>
        </w:tc>
        <w:tc>
          <w:tcPr>
            <w:tcW w:w="1300" w:type="dxa"/>
            <w:vMerge w:val="restart"/>
            <w:shd w:val="clear" w:color="auto" w:fill="auto"/>
            <w:tcMar>
              <w:top w:w="10" w:type="dxa"/>
              <w:left w:w="10" w:type="dxa"/>
              <w:right w:w="10" w:type="dxa"/>
            </w:tcMar>
            <w:vAlign w:val="center"/>
          </w:tcPr>
          <w:p w14:paraId="70408DC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焚烧炉</w:t>
            </w:r>
          </w:p>
        </w:tc>
        <w:tc>
          <w:tcPr>
            <w:tcW w:w="1309" w:type="dxa"/>
            <w:vMerge w:val="restart"/>
            <w:shd w:val="clear" w:color="auto" w:fill="auto"/>
            <w:tcMar>
              <w:top w:w="10" w:type="dxa"/>
              <w:left w:w="10" w:type="dxa"/>
              <w:right w:w="10" w:type="dxa"/>
            </w:tcMar>
            <w:vAlign w:val="center"/>
          </w:tcPr>
          <w:p w14:paraId="29581D3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给料系统</w:t>
            </w:r>
          </w:p>
        </w:tc>
        <w:tc>
          <w:tcPr>
            <w:tcW w:w="2902" w:type="dxa"/>
            <w:gridSpan w:val="2"/>
            <w:shd w:val="clear" w:color="auto" w:fill="auto"/>
            <w:tcMar>
              <w:top w:w="10" w:type="dxa"/>
              <w:left w:w="10" w:type="dxa"/>
              <w:right w:w="10" w:type="dxa"/>
            </w:tcMar>
            <w:vAlign w:val="center"/>
          </w:tcPr>
          <w:p w14:paraId="762D93F7">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39</w:t>
            </w:r>
            <w:r>
              <w:rPr>
                <w:rFonts w:hint="eastAsia" w:ascii="宋体" w:hAnsi="宋体" w:eastAsia="宋体" w:cs="宋体"/>
                <w:i w:val="0"/>
                <w:color w:val="auto"/>
                <w:kern w:val="0"/>
                <w:sz w:val="22"/>
                <w:szCs w:val="22"/>
                <w:highlight w:val="none"/>
                <w:u w:val="none"/>
                <w:lang w:val="en-US" w:eastAsia="zh-CN" w:bidi="ar"/>
              </w:rPr>
              <w:t>.落料口防磨钢板更换（含措施费、作业平台）；</w:t>
            </w:r>
          </w:p>
        </w:tc>
        <w:tc>
          <w:tcPr>
            <w:tcW w:w="928" w:type="dxa"/>
            <w:shd w:val="clear" w:color="auto" w:fill="auto"/>
            <w:noWrap/>
            <w:tcMar>
              <w:top w:w="10" w:type="dxa"/>
              <w:left w:w="10" w:type="dxa"/>
              <w:right w:w="10" w:type="dxa"/>
            </w:tcMar>
            <w:vAlign w:val="center"/>
          </w:tcPr>
          <w:p w14:paraId="5C2EEE4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元/块</w:t>
            </w:r>
          </w:p>
        </w:tc>
        <w:tc>
          <w:tcPr>
            <w:tcW w:w="1396" w:type="dxa"/>
            <w:shd w:val="clear" w:color="auto" w:fill="auto"/>
            <w:noWrap/>
            <w:tcMar>
              <w:top w:w="10" w:type="dxa"/>
              <w:left w:w="10" w:type="dxa"/>
              <w:right w:w="10" w:type="dxa"/>
            </w:tcMar>
            <w:vAlign w:val="center"/>
          </w:tcPr>
          <w:p w14:paraId="0D40AC4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A2F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6F1C69FC">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0B16362">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DC95E0C">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82A92EB">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40</w:t>
            </w:r>
            <w:r>
              <w:rPr>
                <w:rFonts w:hint="eastAsia" w:ascii="宋体" w:hAnsi="宋体" w:eastAsia="宋体" w:cs="宋体"/>
                <w:i w:val="0"/>
                <w:color w:val="auto"/>
                <w:kern w:val="0"/>
                <w:sz w:val="22"/>
                <w:szCs w:val="22"/>
                <w:highlight w:val="none"/>
                <w:u w:val="none"/>
                <w:lang w:val="en-US" w:eastAsia="zh-CN" w:bidi="ar"/>
              </w:rPr>
              <w:t>.给料小车铸件或耐磨铁更换</w:t>
            </w:r>
            <w:r>
              <w:rPr>
                <w:rFonts w:hint="eastAsia" w:ascii="宋体" w:hAnsi="宋体" w:cs="宋体"/>
                <w:i w:val="0"/>
                <w:color w:val="auto"/>
                <w:kern w:val="0"/>
                <w:sz w:val="22"/>
                <w:szCs w:val="22"/>
                <w:highlight w:val="none"/>
                <w:u w:val="none"/>
                <w:lang w:val="en-US" w:eastAsia="zh-CN" w:bidi="ar"/>
              </w:rPr>
              <w:t>（</w:t>
            </w:r>
            <w:r>
              <w:rPr>
                <w:rFonts w:hint="eastAsia" w:ascii="宋体" w:hAnsi="宋体" w:eastAsia="宋体" w:cs="宋体"/>
                <w:i w:val="0"/>
                <w:color w:val="auto"/>
                <w:kern w:val="0"/>
                <w:sz w:val="22"/>
                <w:szCs w:val="22"/>
                <w:highlight w:val="none"/>
                <w:u w:val="none"/>
                <w:lang w:val="en-US" w:eastAsia="zh-CN" w:bidi="ar"/>
              </w:rPr>
              <w:t>按需更换；若因更换需要拆除其他铸件，其他铸件不再另行计费</w:t>
            </w:r>
            <w:r>
              <w:rPr>
                <w:rFonts w:hint="eastAsia" w:ascii="宋体" w:hAnsi="宋体" w:eastAsia="宋体" w:cs="宋体"/>
                <w:i w:val="0"/>
                <w:color w:val="auto"/>
                <w:kern w:val="0"/>
                <w:sz w:val="22"/>
                <w:szCs w:val="22"/>
                <w:highlight w:val="none"/>
                <w:u w:val="none"/>
                <w:lang w:val="en-US" w:eastAsia="zh-CN" w:bidi="ar"/>
              </w:rPr>
              <w:t>）；</w:t>
            </w:r>
          </w:p>
        </w:tc>
        <w:tc>
          <w:tcPr>
            <w:tcW w:w="928" w:type="dxa"/>
            <w:shd w:val="clear" w:color="auto" w:fill="auto"/>
            <w:noWrap/>
            <w:tcMar>
              <w:top w:w="10" w:type="dxa"/>
              <w:left w:w="10" w:type="dxa"/>
              <w:right w:w="10" w:type="dxa"/>
            </w:tcMar>
            <w:vAlign w:val="center"/>
          </w:tcPr>
          <w:p w14:paraId="5ABA30F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元/块</w:t>
            </w:r>
          </w:p>
        </w:tc>
        <w:tc>
          <w:tcPr>
            <w:tcW w:w="1396" w:type="dxa"/>
            <w:shd w:val="clear" w:color="auto" w:fill="auto"/>
            <w:noWrap/>
            <w:tcMar>
              <w:top w:w="10" w:type="dxa"/>
              <w:left w:w="10" w:type="dxa"/>
              <w:right w:w="10" w:type="dxa"/>
            </w:tcMar>
            <w:vAlign w:val="center"/>
          </w:tcPr>
          <w:p w14:paraId="5869B90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766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3FE5AF2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EA4709F">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7FB8E0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67513007">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41</w:t>
            </w:r>
            <w:r>
              <w:rPr>
                <w:rFonts w:hint="eastAsia" w:ascii="宋体" w:hAnsi="宋体" w:eastAsia="宋体" w:cs="宋体"/>
                <w:i w:val="0"/>
                <w:color w:val="auto"/>
                <w:kern w:val="0"/>
                <w:sz w:val="22"/>
                <w:szCs w:val="22"/>
                <w:highlight w:val="none"/>
                <w:u w:val="none"/>
                <w:lang w:val="en-US" w:eastAsia="zh-CN" w:bidi="ar"/>
              </w:rPr>
              <w:t>.给料小车滑座更换；</w:t>
            </w:r>
          </w:p>
        </w:tc>
        <w:tc>
          <w:tcPr>
            <w:tcW w:w="928" w:type="dxa"/>
            <w:shd w:val="clear" w:color="auto" w:fill="auto"/>
            <w:noWrap/>
            <w:tcMar>
              <w:top w:w="10" w:type="dxa"/>
              <w:left w:w="10" w:type="dxa"/>
              <w:right w:w="10" w:type="dxa"/>
            </w:tcMar>
            <w:vAlign w:val="center"/>
          </w:tcPr>
          <w:p w14:paraId="2A7E95B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元/块</w:t>
            </w:r>
          </w:p>
        </w:tc>
        <w:tc>
          <w:tcPr>
            <w:tcW w:w="1396" w:type="dxa"/>
            <w:shd w:val="clear" w:color="auto" w:fill="auto"/>
            <w:noWrap/>
            <w:tcMar>
              <w:top w:w="10" w:type="dxa"/>
              <w:left w:w="10" w:type="dxa"/>
              <w:right w:w="10" w:type="dxa"/>
            </w:tcMar>
            <w:vAlign w:val="center"/>
          </w:tcPr>
          <w:p w14:paraId="2760AD8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F2F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64AD629F">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550D3AD">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512EA6EF">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5C4BA6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r>
              <w:rPr>
                <w:rFonts w:hint="eastAsia" w:ascii="宋体" w:hAnsi="宋体" w:cs="宋体"/>
                <w:i w:val="0"/>
                <w:color w:val="auto"/>
                <w:kern w:val="0"/>
                <w:sz w:val="22"/>
                <w:szCs w:val="22"/>
                <w:highlight w:val="none"/>
                <w:u w:val="none"/>
                <w:lang w:val="en-US" w:eastAsia="zh-CN" w:bidi="ar"/>
              </w:rPr>
              <w:t>2</w:t>
            </w:r>
            <w:r>
              <w:rPr>
                <w:rFonts w:hint="eastAsia" w:ascii="宋体" w:hAnsi="宋体" w:eastAsia="宋体" w:cs="宋体"/>
                <w:i w:val="0"/>
                <w:color w:val="auto"/>
                <w:kern w:val="0"/>
                <w:sz w:val="22"/>
                <w:szCs w:val="22"/>
                <w:highlight w:val="none"/>
                <w:u w:val="none"/>
                <w:lang w:val="en-US" w:eastAsia="zh-CN" w:bidi="ar"/>
              </w:rPr>
              <w:t>.给料小车底部铜滑板更换；</w:t>
            </w:r>
          </w:p>
        </w:tc>
        <w:tc>
          <w:tcPr>
            <w:tcW w:w="928" w:type="dxa"/>
            <w:shd w:val="clear" w:color="auto" w:fill="auto"/>
            <w:noWrap/>
            <w:tcMar>
              <w:top w:w="10" w:type="dxa"/>
              <w:left w:w="10" w:type="dxa"/>
              <w:right w:w="10" w:type="dxa"/>
            </w:tcMar>
            <w:vAlign w:val="center"/>
          </w:tcPr>
          <w:p w14:paraId="580F624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元/块</w:t>
            </w:r>
          </w:p>
        </w:tc>
        <w:tc>
          <w:tcPr>
            <w:tcW w:w="1396" w:type="dxa"/>
            <w:shd w:val="clear" w:color="auto" w:fill="auto"/>
            <w:noWrap/>
            <w:tcMar>
              <w:top w:w="10" w:type="dxa"/>
              <w:left w:w="10" w:type="dxa"/>
              <w:right w:w="10" w:type="dxa"/>
            </w:tcMar>
            <w:vAlign w:val="center"/>
          </w:tcPr>
          <w:p w14:paraId="235BAAB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8EA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11A456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829D48B">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386F465">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4F7AA2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r>
              <w:rPr>
                <w:rFonts w:hint="eastAsia" w:ascii="宋体" w:hAnsi="宋体" w:cs="宋体"/>
                <w:i w:val="0"/>
                <w:color w:val="auto"/>
                <w:kern w:val="0"/>
                <w:sz w:val="22"/>
                <w:szCs w:val="22"/>
                <w:highlight w:val="none"/>
                <w:u w:val="none"/>
                <w:lang w:val="en-US" w:eastAsia="zh-CN" w:bidi="ar"/>
              </w:rPr>
              <w:t>3</w:t>
            </w:r>
            <w:r>
              <w:rPr>
                <w:rFonts w:hint="eastAsia" w:ascii="宋体" w:hAnsi="宋体" w:eastAsia="宋体" w:cs="宋体"/>
                <w:i w:val="0"/>
                <w:color w:val="auto"/>
                <w:kern w:val="0"/>
                <w:sz w:val="22"/>
                <w:szCs w:val="22"/>
                <w:highlight w:val="none"/>
                <w:u w:val="none"/>
                <w:lang w:val="en-US" w:eastAsia="zh-CN" w:bidi="ar"/>
              </w:rPr>
              <w:t>.整台炉前拱保护附件更换</w:t>
            </w:r>
          </w:p>
        </w:tc>
        <w:tc>
          <w:tcPr>
            <w:tcW w:w="928" w:type="dxa"/>
            <w:shd w:val="clear" w:color="auto" w:fill="auto"/>
            <w:tcMar>
              <w:top w:w="10" w:type="dxa"/>
              <w:left w:w="10" w:type="dxa"/>
              <w:right w:w="10" w:type="dxa"/>
            </w:tcMar>
            <w:vAlign w:val="center"/>
          </w:tcPr>
          <w:p w14:paraId="3B263BE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691E8DC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F5D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05ADFC7">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52E0B41">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68E9823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驱动液压缸更换</w:t>
            </w:r>
          </w:p>
        </w:tc>
        <w:tc>
          <w:tcPr>
            <w:tcW w:w="2902" w:type="dxa"/>
            <w:gridSpan w:val="2"/>
            <w:shd w:val="clear" w:color="auto" w:fill="auto"/>
            <w:tcMar>
              <w:top w:w="10" w:type="dxa"/>
              <w:left w:w="10" w:type="dxa"/>
              <w:right w:w="10" w:type="dxa"/>
            </w:tcMar>
            <w:vAlign w:val="center"/>
          </w:tcPr>
          <w:p w14:paraId="652ADAB1">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r>
              <w:rPr>
                <w:rFonts w:hint="eastAsia" w:ascii="宋体" w:hAnsi="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.液压缸本体密封油封更换</w:t>
            </w:r>
          </w:p>
        </w:tc>
        <w:tc>
          <w:tcPr>
            <w:tcW w:w="928" w:type="dxa"/>
            <w:shd w:val="clear" w:color="auto" w:fill="auto"/>
            <w:noWrap/>
            <w:tcMar>
              <w:top w:w="10" w:type="dxa"/>
              <w:left w:w="10" w:type="dxa"/>
              <w:right w:w="10" w:type="dxa"/>
            </w:tcMar>
            <w:vAlign w:val="center"/>
          </w:tcPr>
          <w:p w14:paraId="4C42051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0D76FD3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206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97F5F92">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1838EDE">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4A5B49A5">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99F5AAF">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r>
              <w:rPr>
                <w:rFonts w:hint="eastAsia" w:ascii="宋体" w:hAnsi="宋体" w:cs="宋体"/>
                <w:i w:val="0"/>
                <w:color w:val="auto"/>
                <w:kern w:val="0"/>
                <w:sz w:val="22"/>
                <w:szCs w:val="22"/>
                <w:highlight w:val="none"/>
                <w:u w:val="none"/>
                <w:lang w:val="en-US" w:eastAsia="zh-CN" w:bidi="ar"/>
              </w:rPr>
              <w:t>5</w:t>
            </w:r>
            <w:r>
              <w:rPr>
                <w:rFonts w:hint="eastAsia" w:ascii="宋体" w:hAnsi="宋体" w:eastAsia="宋体" w:cs="宋体"/>
                <w:i w:val="0"/>
                <w:color w:val="auto"/>
                <w:kern w:val="0"/>
                <w:sz w:val="22"/>
                <w:szCs w:val="22"/>
                <w:highlight w:val="none"/>
                <w:u w:val="none"/>
                <w:lang w:val="en-US" w:eastAsia="zh-CN" w:bidi="ar"/>
              </w:rPr>
              <w:t>.液压缸整体更换</w:t>
            </w:r>
          </w:p>
        </w:tc>
        <w:tc>
          <w:tcPr>
            <w:tcW w:w="928" w:type="dxa"/>
            <w:shd w:val="clear" w:color="auto" w:fill="auto"/>
            <w:noWrap/>
            <w:tcMar>
              <w:top w:w="10" w:type="dxa"/>
              <w:left w:w="10" w:type="dxa"/>
              <w:right w:w="10" w:type="dxa"/>
            </w:tcMar>
            <w:vAlign w:val="center"/>
          </w:tcPr>
          <w:p w14:paraId="4B72A17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0E49961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1A8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09ABD91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361AE17">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79F0DB64">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5C65F077">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r>
              <w:rPr>
                <w:rFonts w:hint="eastAsia" w:ascii="宋体" w:hAnsi="宋体" w:cs="宋体"/>
                <w:i w:val="0"/>
                <w:color w:val="auto"/>
                <w:kern w:val="0"/>
                <w:sz w:val="22"/>
                <w:szCs w:val="22"/>
                <w:highlight w:val="none"/>
                <w:u w:val="none"/>
                <w:lang w:val="en-US" w:eastAsia="zh-CN" w:bidi="ar"/>
              </w:rPr>
              <w:t>6</w:t>
            </w:r>
            <w:r>
              <w:rPr>
                <w:rFonts w:hint="eastAsia" w:ascii="宋体" w:hAnsi="宋体" w:eastAsia="宋体" w:cs="宋体"/>
                <w:i w:val="0"/>
                <w:color w:val="auto"/>
                <w:kern w:val="0"/>
                <w:sz w:val="22"/>
                <w:szCs w:val="22"/>
                <w:highlight w:val="none"/>
                <w:u w:val="none"/>
                <w:lang w:val="en-US" w:eastAsia="zh-CN" w:bidi="ar"/>
              </w:rPr>
              <w:t>.摇臂连接驱动梁的销轴拆除或驱动梁拉杆支撑轴承更换；</w:t>
            </w:r>
          </w:p>
        </w:tc>
        <w:tc>
          <w:tcPr>
            <w:tcW w:w="928" w:type="dxa"/>
            <w:shd w:val="clear" w:color="auto" w:fill="auto"/>
            <w:noWrap/>
            <w:tcMar>
              <w:top w:w="10" w:type="dxa"/>
              <w:left w:w="10" w:type="dxa"/>
              <w:right w:w="10" w:type="dxa"/>
            </w:tcMar>
            <w:vAlign w:val="center"/>
          </w:tcPr>
          <w:p w14:paraId="682EE85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5F5D637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562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89CE1F2">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2938C9D">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7A7F5C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76EEF16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r>
              <w:rPr>
                <w:rFonts w:hint="eastAsia" w:ascii="宋体" w:hAnsi="宋体" w:cs="宋体"/>
                <w:i w:val="0"/>
                <w:color w:val="auto"/>
                <w:kern w:val="0"/>
                <w:sz w:val="22"/>
                <w:szCs w:val="22"/>
                <w:highlight w:val="none"/>
                <w:u w:val="none"/>
                <w:lang w:val="en-US" w:eastAsia="zh-CN" w:bidi="ar"/>
              </w:rPr>
              <w:t>7</w:t>
            </w:r>
            <w:r>
              <w:rPr>
                <w:rFonts w:hint="eastAsia" w:ascii="宋体" w:hAnsi="宋体" w:eastAsia="宋体" w:cs="宋体"/>
                <w:i w:val="0"/>
                <w:color w:val="auto"/>
                <w:kern w:val="0"/>
                <w:sz w:val="22"/>
                <w:szCs w:val="22"/>
                <w:highlight w:val="none"/>
                <w:u w:val="none"/>
                <w:lang w:val="en-US" w:eastAsia="zh-CN" w:bidi="ar"/>
              </w:rPr>
              <w:t>.液压缸油管更换；</w:t>
            </w:r>
          </w:p>
        </w:tc>
        <w:tc>
          <w:tcPr>
            <w:tcW w:w="928" w:type="dxa"/>
            <w:shd w:val="clear" w:color="auto" w:fill="auto"/>
            <w:noWrap/>
            <w:tcMar>
              <w:top w:w="10" w:type="dxa"/>
              <w:left w:w="10" w:type="dxa"/>
              <w:right w:w="10" w:type="dxa"/>
            </w:tcMar>
            <w:vAlign w:val="center"/>
          </w:tcPr>
          <w:p w14:paraId="5100A3C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元/根</w:t>
            </w:r>
          </w:p>
        </w:tc>
        <w:tc>
          <w:tcPr>
            <w:tcW w:w="1396" w:type="dxa"/>
            <w:shd w:val="clear" w:color="auto" w:fill="auto"/>
            <w:noWrap/>
            <w:tcMar>
              <w:top w:w="10" w:type="dxa"/>
              <w:left w:w="10" w:type="dxa"/>
              <w:right w:w="10" w:type="dxa"/>
            </w:tcMar>
            <w:vAlign w:val="center"/>
          </w:tcPr>
          <w:p w14:paraId="7204EE8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9CA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410EA71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9F4F3F0">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4132CD6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炉排系统</w:t>
            </w:r>
          </w:p>
        </w:tc>
        <w:tc>
          <w:tcPr>
            <w:tcW w:w="2902" w:type="dxa"/>
            <w:gridSpan w:val="2"/>
            <w:shd w:val="clear" w:color="auto" w:fill="auto"/>
            <w:tcMar>
              <w:top w:w="10" w:type="dxa"/>
              <w:left w:w="10" w:type="dxa"/>
              <w:right w:w="10" w:type="dxa"/>
            </w:tcMar>
            <w:vAlign w:val="center"/>
          </w:tcPr>
          <w:p w14:paraId="3EB8E3B1">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48</w:t>
            </w:r>
            <w:r>
              <w:rPr>
                <w:rFonts w:hint="eastAsia" w:ascii="宋体" w:hAnsi="宋体" w:eastAsia="宋体" w:cs="宋体"/>
                <w:i w:val="0"/>
                <w:color w:val="auto"/>
                <w:kern w:val="0"/>
                <w:sz w:val="22"/>
                <w:szCs w:val="22"/>
                <w:highlight w:val="none"/>
                <w:u w:val="none"/>
                <w:lang w:val="en-US" w:eastAsia="zh-CN" w:bidi="ar"/>
              </w:rPr>
              <w:t>.拉杆导向轮更换（单个驱动轮底座为一组）；</w:t>
            </w:r>
          </w:p>
        </w:tc>
        <w:tc>
          <w:tcPr>
            <w:tcW w:w="928" w:type="dxa"/>
            <w:shd w:val="clear" w:color="auto" w:fill="auto"/>
            <w:noWrap/>
            <w:tcMar>
              <w:top w:w="10" w:type="dxa"/>
              <w:left w:w="10" w:type="dxa"/>
              <w:right w:w="10" w:type="dxa"/>
            </w:tcMar>
            <w:vAlign w:val="center"/>
          </w:tcPr>
          <w:p w14:paraId="6E3E5DE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28A4A4F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90C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3DF867CE">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0C55AAC">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1E81B2C1">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4CF5CE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49</w:t>
            </w:r>
            <w:r>
              <w:rPr>
                <w:rFonts w:hint="eastAsia" w:ascii="宋体" w:hAnsi="宋体" w:eastAsia="宋体" w:cs="宋体"/>
                <w:i w:val="0"/>
                <w:color w:val="auto"/>
                <w:kern w:val="0"/>
                <w:sz w:val="22"/>
                <w:szCs w:val="22"/>
                <w:highlight w:val="none"/>
                <w:u w:val="none"/>
                <w:lang w:val="en-US" w:eastAsia="zh-CN" w:bidi="ar"/>
              </w:rPr>
              <w:t>.密封盒铜块更换；</w:t>
            </w:r>
          </w:p>
        </w:tc>
        <w:tc>
          <w:tcPr>
            <w:tcW w:w="928" w:type="dxa"/>
            <w:shd w:val="clear" w:color="auto" w:fill="auto"/>
            <w:noWrap/>
            <w:tcMar>
              <w:top w:w="10" w:type="dxa"/>
              <w:left w:w="10" w:type="dxa"/>
              <w:right w:w="10" w:type="dxa"/>
            </w:tcMar>
            <w:vAlign w:val="center"/>
          </w:tcPr>
          <w:p w14:paraId="18F548C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667A169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E5B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7A19967">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7266A434">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DDD1C6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69598E86">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0</w:t>
            </w:r>
            <w:r>
              <w:rPr>
                <w:rFonts w:hint="eastAsia" w:ascii="宋体" w:hAnsi="宋体" w:eastAsia="宋体" w:cs="宋体"/>
                <w:i w:val="0"/>
                <w:color w:val="auto"/>
                <w:kern w:val="0"/>
                <w:sz w:val="22"/>
                <w:szCs w:val="22"/>
                <w:highlight w:val="none"/>
                <w:u w:val="none"/>
                <w:lang w:val="en-US" w:eastAsia="zh-CN" w:bidi="ar"/>
              </w:rPr>
              <w:t>.炉排片或铸件更换</w:t>
            </w:r>
            <w:r>
              <w:rPr>
                <w:rFonts w:hint="eastAsia" w:ascii="宋体" w:hAnsi="宋体" w:cs="宋体"/>
                <w:i w:val="0"/>
                <w:color w:val="auto"/>
                <w:kern w:val="0"/>
                <w:sz w:val="22"/>
                <w:szCs w:val="22"/>
                <w:highlight w:val="none"/>
                <w:u w:val="none"/>
                <w:lang w:val="en-US" w:eastAsia="zh-CN" w:bidi="ar"/>
              </w:rPr>
              <w:t>（</w:t>
            </w:r>
            <w:r>
              <w:rPr>
                <w:rFonts w:hint="eastAsia" w:ascii="宋体" w:hAnsi="宋体" w:eastAsia="宋体" w:cs="宋体"/>
                <w:i w:val="0"/>
                <w:color w:val="auto"/>
                <w:kern w:val="0"/>
                <w:sz w:val="22"/>
                <w:szCs w:val="22"/>
                <w:highlight w:val="none"/>
                <w:u w:val="none"/>
                <w:lang w:val="en-US" w:eastAsia="zh-CN" w:bidi="ar"/>
              </w:rPr>
              <w:t>按需更换；若因更换需要拆除其他铸件</w:t>
            </w:r>
            <w:r>
              <w:rPr>
                <w:rFonts w:hint="eastAsia" w:ascii="宋体" w:hAnsi="宋体" w:cs="宋体"/>
                <w:i w:val="0"/>
                <w:color w:val="auto"/>
                <w:kern w:val="0"/>
                <w:sz w:val="22"/>
                <w:szCs w:val="22"/>
                <w:highlight w:val="none"/>
                <w:u w:val="none"/>
                <w:lang w:val="en-US" w:eastAsia="zh-CN" w:bidi="ar"/>
              </w:rPr>
              <w:t>或炉排</w:t>
            </w:r>
            <w:r>
              <w:rPr>
                <w:rFonts w:hint="eastAsia" w:ascii="宋体" w:hAnsi="宋体" w:eastAsia="宋体" w:cs="宋体"/>
                <w:i w:val="0"/>
                <w:color w:val="auto"/>
                <w:kern w:val="0"/>
                <w:sz w:val="22"/>
                <w:szCs w:val="22"/>
                <w:highlight w:val="none"/>
                <w:u w:val="none"/>
                <w:lang w:val="en-US" w:eastAsia="zh-CN" w:bidi="ar"/>
              </w:rPr>
              <w:t>，</w:t>
            </w:r>
            <w:r>
              <w:rPr>
                <w:rFonts w:hint="eastAsia" w:ascii="宋体" w:hAnsi="宋体" w:cs="宋体"/>
                <w:i w:val="0"/>
                <w:color w:val="auto"/>
                <w:kern w:val="0"/>
                <w:sz w:val="22"/>
                <w:szCs w:val="22"/>
                <w:highlight w:val="none"/>
                <w:u w:val="none"/>
                <w:lang w:val="en-US" w:eastAsia="zh-CN" w:bidi="ar"/>
              </w:rPr>
              <w:t>其他</w:t>
            </w:r>
            <w:r>
              <w:rPr>
                <w:rFonts w:hint="eastAsia" w:ascii="宋体" w:hAnsi="宋体" w:eastAsia="宋体" w:cs="宋体"/>
                <w:i w:val="0"/>
                <w:color w:val="auto"/>
                <w:kern w:val="0"/>
                <w:sz w:val="22"/>
                <w:szCs w:val="22"/>
                <w:highlight w:val="none"/>
                <w:u w:val="none"/>
                <w:lang w:val="en-US" w:eastAsia="zh-CN" w:bidi="ar"/>
              </w:rPr>
              <w:t>铸件</w:t>
            </w:r>
            <w:r>
              <w:rPr>
                <w:rFonts w:hint="eastAsia" w:ascii="宋体" w:hAnsi="宋体" w:cs="宋体"/>
                <w:i w:val="0"/>
                <w:color w:val="auto"/>
                <w:kern w:val="0"/>
                <w:sz w:val="22"/>
                <w:szCs w:val="22"/>
                <w:highlight w:val="none"/>
                <w:u w:val="none"/>
                <w:lang w:val="en-US" w:eastAsia="zh-CN" w:bidi="ar"/>
              </w:rPr>
              <w:t>或炉排</w:t>
            </w:r>
            <w:r>
              <w:rPr>
                <w:rFonts w:hint="eastAsia" w:ascii="宋体" w:hAnsi="宋体" w:eastAsia="宋体" w:cs="宋体"/>
                <w:i w:val="0"/>
                <w:color w:val="auto"/>
                <w:kern w:val="0"/>
                <w:sz w:val="22"/>
                <w:szCs w:val="22"/>
                <w:highlight w:val="none"/>
                <w:u w:val="none"/>
                <w:lang w:val="en-US" w:eastAsia="zh-CN" w:bidi="ar"/>
              </w:rPr>
              <w:t>不再另行计费</w:t>
            </w:r>
            <w:r>
              <w:rPr>
                <w:rFonts w:hint="eastAsia" w:ascii="宋体" w:hAnsi="宋体" w:eastAsia="宋体" w:cs="宋体"/>
                <w:i w:val="0"/>
                <w:color w:val="auto"/>
                <w:kern w:val="0"/>
                <w:sz w:val="22"/>
                <w:szCs w:val="22"/>
                <w:highlight w:val="none"/>
                <w:u w:val="none"/>
                <w:lang w:val="en-US" w:eastAsia="zh-CN" w:bidi="ar"/>
              </w:rPr>
              <w:t>）；</w:t>
            </w:r>
          </w:p>
        </w:tc>
        <w:tc>
          <w:tcPr>
            <w:tcW w:w="928" w:type="dxa"/>
            <w:shd w:val="clear" w:color="auto" w:fill="auto"/>
            <w:noWrap/>
            <w:tcMar>
              <w:top w:w="10" w:type="dxa"/>
              <w:left w:w="10" w:type="dxa"/>
              <w:right w:w="10" w:type="dxa"/>
            </w:tcMar>
            <w:vAlign w:val="center"/>
          </w:tcPr>
          <w:p w14:paraId="67F2D99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元/块</w:t>
            </w:r>
          </w:p>
        </w:tc>
        <w:tc>
          <w:tcPr>
            <w:tcW w:w="1396" w:type="dxa"/>
            <w:shd w:val="clear" w:color="auto" w:fill="auto"/>
            <w:noWrap/>
            <w:tcMar>
              <w:top w:w="10" w:type="dxa"/>
              <w:left w:w="10" w:type="dxa"/>
              <w:right w:w="10" w:type="dxa"/>
            </w:tcMar>
            <w:vAlign w:val="center"/>
          </w:tcPr>
          <w:p w14:paraId="774555C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A48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6E75B06">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94236B6">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E0D5EEC">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B527AFD">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1</w:t>
            </w:r>
            <w:r>
              <w:rPr>
                <w:rFonts w:hint="eastAsia" w:ascii="宋体" w:hAnsi="宋体" w:eastAsia="宋体" w:cs="宋体"/>
                <w:i w:val="0"/>
                <w:color w:val="auto"/>
                <w:kern w:val="0"/>
                <w:sz w:val="22"/>
                <w:szCs w:val="22"/>
                <w:highlight w:val="none"/>
                <w:u w:val="none"/>
                <w:lang w:val="en-US" w:eastAsia="zh-CN" w:bidi="ar"/>
              </w:rPr>
              <w:t>.托辊更换；</w:t>
            </w:r>
          </w:p>
        </w:tc>
        <w:tc>
          <w:tcPr>
            <w:tcW w:w="928" w:type="dxa"/>
            <w:shd w:val="clear" w:color="auto" w:fill="auto"/>
            <w:noWrap/>
            <w:tcMar>
              <w:top w:w="10" w:type="dxa"/>
              <w:left w:w="10" w:type="dxa"/>
              <w:right w:w="10" w:type="dxa"/>
            </w:tcMar>
            <w:vAlign w:val="center"/>
          </w:tcPr>
          <w:p w14:paraId="10A1BE5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7758AD5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E55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38082B68">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9575DCB">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650486F">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A27AA2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2</w:t>
            </w:r>
            <w:r>
              <w:rPr>
                <w:rFonts w:hint="eastAsia" w:ascii="宋体" w:hAnsi="宋体" w:eastAsia="宋体" w:cs="宋体"/>
                <w:i w:val="0"/>
                <w:color w:val="auto"/>
                <w:kern w:val="0"/>
                <w:sz w:val="22"/>
                <w:szCs w:val="22"/>
                <w:highlight w:val="none"/>
                <w:u w:val="none"/>
                <w:lang w:val="en-US" w:eastAsia="zh-CN" w:bidi="ar"/>
              </w:rPr>
              <w:t>.导向轮更换；</w:t>
            </w:r>
          </w:p>
        </w:tc>
        <w:tc>
          <w:tcPr>
            <w:tcW w:w="928" w:type="dxa"/>
            <w:shd w:val="clear" w:color="auto" w:fill="auto"/>
            <w:noWrap/>
            <w:tcMar>
              <w:top w:w="10" w:type="dxa"/>
              <w:left w:w="10" w:type="dxa"/>
              <w:right w:w="10" w:type="dxa"/>
            </w:tcMar>
            <w:vAlign w:val="center"/>
          </w:tcPr>
          <w:p w14:paraId="039005F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4E5B998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180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513D35D">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180BD3E">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2D5A7ED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风室刮板机/水平烟道输灰刮板机</w:t>
            </w:r>
          </w:p>
        </w:tc>
        <w:tc>
          <w:tcPr>
            <w:tcW w:w="2902" w:type="dxa"/>
            <w:gridSpan w:val="2"/>
            <w:shd w:val="clear" w:color="auto" w:fill="auto"/>
            <w:tcMar>
              <w:top w:w="10" w:type="dxa"/>
              <w:left w:w="10" w:type="dxa"/>
              <w:right w:w="10" w:type="dxa"/>
            </w:tcMar>
            <w:vAlign w:val="center"/>
          </w:tcPr>
          <w:p w14:paraId="72DED71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3</w:t>
            </w:r>
            <w:r>
              <w:rPr>
                <w:rFonts w:hint="eastAsia" w:ascii="宋体" w:hAnsi="宋体" w:eastAsia="宋体" w:cs="宋体"/>
                <w:i w:val="0"/>
                <w:color w:val="auto"/>
                <w:kern w:val="0"/>
                <w:sz w:val="22"/>
                <w:szCs w:val="22"/>
                <w:highlight w:val="none"/>
                <w:u w:val="none"/>
                <w:lang w:val="en-US" w:eastAsia="zh-CN" w:bidi="ar"/>
              </w:rPr>
              <w:t>.刮板机链条更换；</w:t>
            </w:r>
          </w:p>
        </w:tc>
        <w:tc>
          <w:tcPr>
            <w:tcW w:w="928" w:type="dxa"/>
            <w:shd w:val="clear" w:color="auto" w:fill="auto"/>
            <w:noWrap/>
            <w:tcMar>
              <w:top w:w="10" w:type="dxa"/>
              <w:left w:w="10" w:type="dxa"/>
              <w:right w:w="10" w:type="dxa"/>
            </w:tcMar>
            <w:vAlign w:val="center"/>
          </w:tcPr>
          <w:p w14:paraId="2F26013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4293774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715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0E6711D">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98E4EEE">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0D13AD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60B2758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.刮板机上、下耐磨条更换；</w:t>
            </w:r>
          </w:p>
        </w:tc>
        <w:tc>
          <w:tcPr>
            <w:tcW w:w="928" w:type="dxa"/>
            <w:shd w:val="clear" w:color="auto" w:fill="auto"/>
            <w:noWrap/>
            <w:tcMar>
              <w:top w:w="10" w:type="dxa"/>
              <w:left w:w="10" w:type="dxa"/>
              <w:right w:w="10" w:type="dxa"/>
            </w:tcMar>
            <w:vAlign w:val="center"/>
          </w:tcPr>
          <w:p w14:paraId="5FAF5AD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3A3F334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C15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DA1D56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95521B7">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B13C40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6DDBBB4">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5</w:t>
            </w:r>
            <w:r>
              <w:rPr>
                <w:rFonts w:hint="eastAsia" w:ascii="宋体" w:hAnsi="宋体" w:eastAsia="宋体" w:cs="宋体"/>
                <w:i w:val="0"/>
                <w:color w:val="auto"/>
                <w:kern w:val="0"/>
                <w:sz w:val="22"/>
                <w:szCs w:val="22"/>
                <w:highlight w:val="none"/>
                <w:u w:val="none"/>
                <w:lang w:val="en-US" w:eastAsia="zh-CN" w:bidi="ar"/>
              </w:rPr>
              <w:t>.刮板机头轮及轴承更换</w:t>
            </w:r>
            <w:r>
              <w:rPr>
                <w:rFonts w:hint="eastAsia" w:ascii="宋体" w:hAnsi="宋体" w:eastAsia="宋体" w:cs="宋体"/>
                <w:i w:val="0"/>
                <w:color w:val="auto"/>
                <w:kern w:val="0"/>
                <w:sz w:val="21"/>
                <w:szCs w:val="21"/>
                <w:highlight w:val="none"/>
                <w:u w:val="none"/>
                <w:lang w:val="en-US" w:eastAsia="zh-CN" w:bidi="ar"/>
              </w:rPr>
              <w:t>（仅换轴承按50%计）</w:t>
            </w:r>
            <w:r>
              <w:rPr>
                <w:rFonts w:hint="eastAsia" w:ascii="宋体" w:hAnsi="宋体" w:eastAsia="宋体" w:cs="宋体"/>
                <w:i w:val="0"/>
                <w:color w:val="auto"/>
                <w:kern w:val="0"/>
                <w:sz w:val="22"/>
                <w:szCs w:val="22"/>
                <w:highlight w:val="none"/>
                <w:u w:val="none"/>
                <w:lang w:val="en-US" w:eastAsia="zh-CN" w:bidi="ar"/>
              </w:rPr>
              <w:t>；</w:t>
            </w:r>
          </w:p>
        </w:tc>
        <w:tc>
          <w:tcPr>
            <w:tcW w:w="928" w:type="dxa"/>
            <w:shd w:val="clear" w:color="auto" w:fill="auto"/>
            <w:noWrap/>
            <w:tcMar>
              <w:top w:w="10" w:type="dxa"/>
              <w:left w:w="10" w:type="dxa"/>
              <w:right w:w="10" w:type="dxa"/>
            </w:tcMar>
            <w:vAlign w:val="center"/>
          </w:tcPr>
          <w:p w14:paraId="7E814AE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65CE012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187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953B0CC">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EF81831">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52AC44D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5157A61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6</w:t>
            </w:r>
            <w:r>
              <w:rPr>
                <w:rFonts w:hint="eastAsia" w:ascii="宋体" w:hAnsi="宋体" w:eastAsia="宋体" w:cs="宋体"/>
                <w:i w:val="0"/>
                <w:color w:val="auto"/>
                <w:kern w:val="0"/>
                <w:sz w:val="22"/>
                <w:szCs w:val="22"/>
                <w:highlight w:val="none"/>
                <w:u w:val="none"/>
                <w:lang w:val="en-US" w:eastAsia="zh-CN" w:bidi="ar"/>
              </w:rPr>
              <w:t>.刮板机尾轮及轴承更换</w:t>
            </w:r>
            <w:r>
              <w:rPr>
                <w:rFonts w:hint="eastAsia" w:ascii="宋体" w:hAnsi="宋体" w:eastAsia="宋体" w:cs="宋体"/>
                <w:i w:val="0"/>
                <w:color w:val="auto"/>
                <w:kern w:val="0"/>
                <w:sz w:val="21"/>
                <w:szCs w:val="21"/>
                <w:highlight w:val="none"/>
                <w:u w:val="none"/>
                <w:lang w:val="en-US" w:eastAsia="zh-CN" w:bidi="ar"/>
              </w:rPr>
              <w:t>（仅换轴承按50%计）</w:t>
            </w:r>
          </w:p>
        </w:tc>
        <w:tc>
          <w:tcPr>
            <w:tcW w:w="928" w:type="dxa"/>
            <w:shd w:val="clear" w:color="auto" w:fill="auto"/>
            <w:noWrap/>
            <w:tcMar>
              <w:top w:w="10" w:type="dxa"/>
              <w:left w:w="10" w:type="dxa"/>
              <w:right w:w="10" w:type="dxa"/>
            </w:tcMar>
            <w:vAlign w:val="center"/>
          </w:tcPr>
          <w:p w14:paraId="32AD452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3486513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C94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ED693E5">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9F3999A">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97591FF">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BBA7E03">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7</w:t>
            </w:r>
            <w:r>
              <w:rPr>
                <w:rFonts w:hint="eastAsia" w:ascii="宋体" w:hAnsi="宋体" w:eastAsia="宋体" w:cs="宋体"/>
                <w:i w:val="0"/>
                <w:color w:val="auto"/>
                <w:kern w:val="0"/>
                <w:sz w:val="22"/>
                <w:szCs w:val="22"/>
                <w:highlight w:val="none"/>
                <w:u w:val="none"/>
                <w:lang w:val="en-US" w:eastAsia="zh-CN" w:bidi="ar"/>
              </w:rPr>
              <w:t>.减速机更换；</w:t>
            </w:r>
          </w:p>
        </w:tc>
        <w:tc>
          <w:tcPr>
            <w:tcW w:w="928" w:type="dxa"/>
            <w:shd w:val="clear" w:color="auto" w:fill="auto"/>
            <w:noWrap/>
            <w:tcMar>
              <w:top w:w="10" w:type="dxa"/>
              <w:left w:w="10" w:type="dxa"/>
              <w:right w:w="10" w:type="dxa"/>
            </w:tcMar>
            <w:vAlign w:val="center"/>
          </w:tcPr>
          <w:p w14:paraId="456F55D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759F6D3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78A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6C03E618">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CA5B047">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1F6E89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542C33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8</w:t>
            </w:r>
            <w:r>
              <w:rPr>
                <w:rFonts w:hint="eastAsia" w:ascii="宋体" w:hAnsi="宋体" w:eastAsia="宋体" w:cs="宋体"/>
                <w:i w:val="0"/>
                <w:color w:val="auto"/>
                <w:kern w:val="0"/>
                <w:sz w:val="22"/>
                <w:szCs w:val="22"/>
                <w:highlight w:val="none"/>
                <w:u w:val="none"/>
                <w:lang w:val="en-US" w:eastAsia="zh-CN" w:bidi="ar"/>
              </w:rPr>
              <w:t>.刮板机下料溜管更换；</w:t>
            </w:r>
          </w:p>
        </w:tc>
        <w:tc>
          <w:tcPr>
            <w:tcW w:w="928" w:type="dxa"/>
            <w:shd w:val="clear" w:color="auto" w:fill="auto"/>
            <w:noWrap/>
            <w:tcMar>
              <w:top w:w="10" w:type="dxa"/>
              <w:left w:w="10" w:type="dxa"/>
              <w:right w:w="10" w:type="dxa"/>
            </w:tcMar>
            <w:vAlign w:val="center"/>
          </w:tcPr>
          <w:p w14:paraId="52182E9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5001996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52F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41C967E">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40C0F3F">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17C9F7E2">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45EB17EB">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r>
              <w:rPr>
                <w:rFonts w:hint="eastAsia" w:ascii="宋体" w:hAnsi="宋体" w:cs="宋体"/>
                <w:i w:val="0"/>
                <w:color w:val="auto"/>
                <w:kern w:val="0"/>
                <w:sz w:val="22"/>
                <w:szCs w:val="22"/>
                <w:highlight w:val="none"/>
                <w:u w:val="none"/>
                <w:lang w:val="en-US" w:eastAsia="zh-CN" w:bidi="ar"/>
              </w:rPr>
              <w:t>9</w:t>
            </w:r>
            <w:r>
              <w:rPr>
                <w:rFonts w:hint="eastAsia" w:ascii="宋体" w:hAnsi="宋体" w:eastAsia="宋体" w:cs="宋体"/>
                <w:i w:val="0"/>
                <w:color w:val="auto"/>
                <w:kern w:val="0"/>
                <w:sz w:val="22"/>
                <w:szCs w:val="22"/>
                <w:highlight w:val="none"/>
                <w:u w:val="none"/>
                <w:lang w:val="en-US" w:eastAsia="zh-CN" w:bidi="ar"/>
              </w:rPr>
              <w:t>.气动翻板阀轴承消缺、更换</w:t>
            </w:r>
          </w:p>
        </w:tc>
        <w:tc>
          <w:tcPr>
            <w:tcW w:w="928" w:type="dxa"/>
            <w:shd w:val="clear" w:color="auto" w:fill="auto"/>
            <w:noWrap/>
            <w:tcMar>
              <w:top w:w="10" w:type="dxa"/>
              <w:left w:w="10" w:type="dxa"/>
              <w:right w:w="10" w:type="dxa"/>
            </w:tcMar>
            <w:vAlign w:val="center"/>
          </w:tcPr>
          <w:p w14:paraId="656EB75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799D8BE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1EC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3E6FC41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9A80E99">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225818C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除渣机</w:t>
            </w:r>
          </w:p>
        </w:tc>
        <w:tc>
          <w:tcPr>
            <w:tcW w:w="2902" w:type="dxa"/>
            <w:gridSpan w:val="2"/>
            <w:shd w:val="clear" w:color="auto" w:fill="auto"/>
            <w:tcMar>
              <w:top w:w="10" w:type="dxa"/>
              <w:left w:w="10" w:type="dxa"/>
              <w:right w:w="10" w:type="dxa"/>
            </w:tcMar>
            <w:vAlign w:val="center"/>
          </w:tcPr>
          <w:p w14:paraId="4CFD697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60</w:t>
            </w:r>
            <w:r>
              <w:rPr>
                <w:rFonts w:hint="eastAsia" w:ascii="宋体" w:hAnsi="宋体" w:eastAsia="宋体" w:cs="宋体"/>
                <w:i w:val="0"/>
                <w:color w:val="auto"/>
                <w:kern w:val="0"/>
                <w:sz w:val="22"/>
                <w:szCs w:val="22"/>
                <w:highlight w:val="none"/>
                <w:u w:val="none"/>
                <w:lang w:val="en-US" w:eastAsia="zh-CN" w:bidi="ar"/>
              </w:rPr>
              <w:t>.除渣机更换耐磨侧板</w:t>
            </w:r>
          </w:p>
        </w:tc>
        <w:tc>
          <w:tcPr>
            <w:tcW w:w="928" w:type="dxa"/>
            <w:shd w:val="clear" w:color="auto" w:fill="auto"/>
            <w:noWrap/>
            <w:tcMar>
              <w:top w:w="10" w:type="dxa"/>
              <w:left w:w="10" w:type="dxa"/>
              <w:right w:w="10" w:type="dxa"/>
            </w:tcMar>
            <w:vAlign w:val="center"/>
          </w:tcPr>
          <w:p w14:paraId="6CC161E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元/块</w:t>
            </w:r>
          </w:p>
        </w:tc>
        <w:tc>
          <w:tcPr>
            <w:tcW w:w="1396" w:type="dxa"/>
            <w:shd w:val="clear" w:color="auto" w:fill="auto"/>
            <w:noWrap/>
            <w:tcMar>
              <w:top w:w="10" w:type="dxa"/>
              <w:left w:w="10" w:type="dxa"/>
              <w:right w:w="10" w:type="dxa"/>
            </w:tcMar>
            <w:vAlign w:val="center"/>
          </w:tcPr>
          <w:p w14:paraId="15AFB2C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61E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D30C56E">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8380DCA">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7CA0AA5A">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568EDF1E">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61</w:t>
            </w:r>
            <w:r>
              <w:rPr>
                <w:rFonts w:hint="eastAsia" w:ascii="宋体" w:hAnsi="宋体" w:eastAsia="宋体" w:cs="宋体"/>
                <w:i w:val="0"/>
                <w:color w:val="auto"/>
                <w:kern w:val="0"/>
                <w:sz w:val="22"/>
                <w:szCs w:val="22"/>
                <w:highlight w:val="none"/>
                <w:u w:val="none"/>
                <w:lang w:val="en-US" w:eastAsia="zh-CN" w:bidi="ar"/>
              </w:rPr>
              <w:t>.除渣机更换耐磨底板</w:t>
            </w:r>
          </w:p>
        </w:tc>
        <w:tc>
          <w:tcPr>
            <w:tcW w:w="928" w:type="dxa"/>
            <w:shd w:val="clear" w:color="auto" w:fill="auto"/>
            <w:noWrap/>
            <w:tcMar>
              <w:top w:w="10" w:type="dxa"/>
              <w:left w:w="10" w:type="dxa"/>
              <w:right w:w="10" w:type="dxa"/>
            </w:tcMar>
            <w:vAlign w:val="center"/>
          </w:tcPr>
          <w:p w14:paraId="5378DFC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元/块</w:t>
            </w:r>
          </w:p>
        </w:tc>
        <w:tc>
          <w:tcPr>
            <w:tcW w:w="1396" w:type="dxa"/>
            <w:shd w:val="clear" w:color="auto" w:fill="auto"/>
            <w:noWrap/>
            <w:tcMar>
              <w:top w:w="10" w:type="dxa"/>
              <w:left w:w="10" w:type="dxa"/>
              <w:right w:w="10" w:type="dxa"/>
            </w:tcMar>
            <w:vAlign w:val="center"/>
          </w:tcPr>
          <w:p w14:paraId="5A180EF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ACA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6E761BF">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386BA9D">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B57BD70">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565CC59">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r>
              <w:rPr>
                <w:rFonts w:hint="eastAsia" w:ascii="宋体" w:hAnsi="宋体" w:cs="宋体"/>
                <w:i w:val="0"/>
                <w:color w:val="auto"/>
                <w:kern w:val="0"/>
                <w:sz w:val="22"/>
                <w:szCs w:val="22"/>
                <w:highlight w:val="none"/>
                <w:u w:val="none"/>
                <w:lang w:val="en-US" w:eastAsia="zh-CN" w:bidi="ar"/>
              </w:rPr>
              <w:t>2</w:t>
            </w:r>
            <w:r>
              <w:rPr>
                <w:rFonts w:hint="eastAsia" w:ascii="宋体" w:hAnsi="宋体" w:eastAsia="宋体" w:cs="宋体"/>
                <w:i w:val="0"/>
                <w:color w:val="auto"/>
                <w:kern w:val="0"/>
                <w:sz w:val="22"/>
                <w:szCs w:val="22"/>
                <w:highlight w:val="none"/>
                <w:u w:val="none"/>
                <w:lang w:val="en-US" w:eastAsia="zh-CN" w:bidi="ar"/>
              </w:rPr>
              <w:t>. 除渣机更换大轴、大轴承及推头轴承更换</w:t>
            </w:r>
          </w:p>
        </w:tc>
        <w:tc>
          <w:tcPr>
            <w:tcW w:w="928" w:type="dxa"/>
            <w:shd w:val="clear" w:color="auto" w:fill="auto"/>
            <w:noWrap/>
            <w:tcMar>
              <w:top w:w="10" w:type="dxa"/>
              <w:left w:w="10" w:type="dxa"/>
              <w:right w:w="10" w:type="dxa"/>
            </w:tcMar>
            <w:vAlign w:val="center"/>
          </w:tcPr>
          <w:p w14:paraId="616D05F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元/轴</w:t>
            </w:r>
          </w:p>
        </w:tc>
        <w:tc>
          <w:tcPr>
            <w:tcW w:w="1396" w:type="dxa"/>
            <w:shd w:val="clear" w:color="auto" w:fill="auto"/>
            <w:noWrap/>
            <w:tcMar>
              <w:top w:w="10" w:type="dxa"/>
              <w:left w:w="10" w:type="dxa"/>
              <w:right w:w="10" w:type="dxa"/>
            </w:tcMar>
            <w:vAlign w:val="center"/>
          </w:tcPr>
          <w:p w14:paraId="651915E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C3E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restart"/>
            <w:shd w:val="clear" w:color="auto" w:fill="auto"/>
            <w:noWrap/>
            <w:tcMar>
              <w:top w:w="10" w:type="dxa"/>
              <w:left w:w="10" w:type="dxa"/>
              <w:right w:w="10" w:type="dxa"/>
            </w:tcMar>
            <w:vAlign w:val="center"/>
          </w:tcPr>
          <w:p w14:paraId="028A286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三、</w:t>
            </w:r>
          </w:p>
        </w:tc>
        <w:tc>
          <w:tcPr>
            <w:tcW w:w="1300" w:type="dxa"/>
            <w:vMerge w:val="restart"/>
            <w:shd w:val="clear" w:color="auto" w:fill="auto"/>
            <w:tcMar>
              <w:top w:w="10" w:type="dxa"/>
              <w:left w:w="10" w:type="dxa"/>
              <w:right w:w="10" w:type="dxa"/>
            </w:tcMar>
            <w:vAlign w:val="center"/>
          </w:tcPr>
          <w:p w14:paraId="077129B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尾气系统</w:t>
            </w:r>
          </w:p>
        </w:tc>
        <w:tc>
          <w:tcPr>
            <w:tcW w:w="1309" w:type="dxa"/>
            <w:vMerge w:val="restart"/>
            <w:shd w:val="clear" w:color="auto" w:fill="auto"/>
            <w:tcMar>
              <w:top w:w="10" w:type="dxa"/>
              <w:left w:w="10" w:type="dxa"/>
              <w:right w:w="10" w:type="dxa"/>
            </w:tcMar>
            <w:vAlign w:val="center"/>
          </w:tcPr>
          <w:p w14:paraId="23B7E7E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反应塔</w:t>
            </w:r>
          </w:p>
        </w:tc>
        <w:tc>
          <w:tcPr>
            <w:tcW w:w="2902" w:type="dxa"/>
            <w:gridSpan w:val="2"/>
            <w:shd w:val="clear" w:color="auto" w:fill="auto"/>
            <w:tcMar>
              <w:top w:w="10" w:type="dxa"/>
              <w:left w:w="10" w:type="dxa"/>
              <w:right w:w="10" w:type="dxa"/>
            </w:tcMar>
            <w:vAlign w:val="center"/>
          </w:tcPr>
          <w:p w14:paraId="54B60ADE">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r>
              <w:rPr>
                <w:rFonts w:hint="eastAsia" w:ascii="宋体" w:hAnsi="宋体" w:cs="宋体"/>
                <w:i w:val="0"/>
                <w:color w:val="auto"/>
                <w:kern w:val="0"/>
                <w:sz w:val="22"/>
                <w:szCs w:val="22"/>
                <w:highlight w:val="none"/>
                <w:u w:val="none"/>
                <w:lang w:val="en-US" w:eastAsia="zh-CN" w:bidi="ar"/>
              </w:rPr>
              <w:t>3</w:t>
            </w:r>
            <w:r>
              <w:rPr>
                <w:rFonts w:hint="eastAsia" w:ascii="宋体" w:hAnsi="宋体" w:eastAsia="宋体" w:cs="宋体"/>
                <w:i w:val="0"/>
                <w:color w:val="auto"/>
                <w:kern w:val="0"/>
                <w:sz w:val="22"/>
                <w:szCs w:val="22"/>
                <w:highlight w:val="none"/>
                <w:u w:val="none"/>
                <w:lang w:val="en-US" w:eastAsia="zh-CN" w:bidi="ar"/>
              </w:rPr>
              <w:t>.内部重做防腐（按防腐面积比例结算）；</w:t>
            </w:r>
          </w:p>
        </w:tc>
        <w:tc>
          <w:tcPr>
            <w:tcW w:w="928" w:type="dxa"/>
            <w:shd w:val="clear" w:color="auto" w:fill="auto"/>
            <w:tcMar>
              <w:top w:w="10" w:type="dxa"/>
              <w:left w:w="10" w:type="dxa"/>
              <w:right w:w="10" w:type="dxa"/>
            </w:tcMar>
            <w:vAlign w:val="center"/>
          </w:tcPr>
          <w:p w14:paraId="4C54081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22D7D63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F87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AA69B6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12F63BA">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E578331">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07668BD3">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r>
              <w:rPr>
                <w:rFonts w:hint="eastAsia" w:ascii="宋体" w:hAnsi="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.反应塔内筒清灰；</w:t>
            </w:r>
          </w:p>
        </w:tc>
        <w:tc>
          <w:tcPr>
            <w:tcW w:w="928" w:type="dxa"/>
            <w:shd w:val="clear" w:color="auto" w:fill="auto"/>
            <w:tcMar>
              <w:top w:w="10" w:type="dxa"/>
              <w:left w:w="10" w:type="dxa"/>
              <w:right w:w="10" w:type="dxa"/>
            </w:tcMar>
            <w:vAlign w:val="center"/>
          </w:tcPr>
          <w:p w14:paraId="59A7130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7EB7310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1FD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3FF7F597">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7F0E996">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4174AC3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593AE9A1">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r>
              <w:rPr>
                <w:rFonts w:hint="eastAsia" w:ascii="宋体" w:hAnsi="宋体" w:cs="宋体"/>
                <w:i w:val="0"/>
                <w:color w:val="auto"/>
                <w:kern w:val="0"/>
                <w:sz w:val="22"/>
                <w:szCs w:val="22"/>
                <w:highlight w:val="none"/>
                <w:u w:val="none"/>
                <w:lang w:val="en-US" w:eastAsia="zh-CN" w:bidi="ar"/>
              </w:rPr>
              <w:t>5</w:t>
            </w:r>
            <w:r>
              <w:rPr>
                <w:rFonts w:hint="eastAsia" w:ascii="宋体" w:hAnsi="宋体" w:eastAsia="宋体" w:cs="宋体"/>
                <w:i w:val="0"/>
                <w:color w:val="auto"/>
                <w:kern w:val="0"/>
                <w:sz w:val="22"/>
                <w:szCs w:val="22"/>
                <w:highlight w:val="none"/>
                <w:u w:val="none"/>
                <w:lang w:val="en-US" w:eastAsia="zh-CN" w:bidi="ar"/>
              </w:rPr>
              <w:t>.反应塔内部搭钢管架；</w:t>
            </w:r>
          </w:p>
        </w:tc>
        <w:tc>
          <w:tcPr>
            <w:tcW w:w="928" w:type="dxa"/>
            <w:shd w:val="clear" w:color="auto" w:fill="auto"/>
            <w:tcMar>
              <w:top w:w="10" w:type="dxa"/>
              <w:left w:w="10" w:type="dxa"/>
              <w:right w:w="10" w:type="dxa"/>
            </w:tcMar>
            <w:vAlign w:val="center"/>
          </w:tcPr>
          <w:p w14:paraId="722120A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30D34ED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6A9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43B81C4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10220D2">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F9FF28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0FA91561">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r>
              <w:rPr>
                <w:rFonts w:hint="eastAsia" w:ascii="宋体" w:hAnsi="宋体" w:cs="宋体"/>
                <w:i w:val="0"/>
                <w:color w:val="auto"/>
                <w:kern w:val="0"/>
                <w:sz w:val="22"/>
                <w:szCs w:val="22"/>
                <w:highlight w:val="none"/>
                <w:u w:val="none"/>
                <w:lang w:val="en-US" w:eastAsia="zh-CN" w:bidi="ar"/>
              </w:rPr>
              <w:t>6</w:t>
            </w:r>
            <w:r>
              <w:rPr>
                <w:rFonts w:hint="eastAsia" w:ascii="宋体" w:hAnsi="宋体" w:eastAsia="宋体" w:cs="宋体"/>
                <w:i w:val="0"/>
                <w:color w:val="auto"/>
                <w:kern w:val="0"/>
                <w:sz w:val="22"/>
                <w:szCs w:val="22"/>
                <w:highlight w:val="none"/>
                <w:u w:val="none"/>
                <w:lang w:val="en-US" w:eastAsia="zh-CN" w:bidi="ar"/>
              </w:rPr>
              <w:t>.雾化盘更换；</w:t>
            </w:r>
          </w:p>
        </w:tc>
        <w:tc>
          <w:tcPr>
            <w:tcW w:w="928" w:type="dxa"/>
            <w:shd w:val="clear" w:color="auto" w:fill="auto"/>
            <w:noWrap/>
            <w:tcMar>
              <w:top w:w="10" w:type="dxa"/>
              <w:left w:w="10" w:type="dxa"/>
              <w:right w:w="10" w:type="dxa"/>
            </w:tcMar>
            <w:vAlign w:val="center"/>
          </w:tcPr>
          <w:p w14:paraId="261B88B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0E6004D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666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0270BB7">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7B0C43B8">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70FFE721">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B86810A">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r>
              <w:rPr>
                <w:rFonts w:hint="eastAsia" w:ascii="宋体" w:hAnsi="宋体" w:cs="宋体"/>
                <w:i w:val="0"/>
                <w:color w:val="auto"/>
                <w:kern w:val="0"/>
                <w:sz w:val="22"/>
                <w:szCs w:val="22"/>
                <w:highlight w:val="none"/>
                <w:u w:val="none"/>
                <w:lang w:val="en-US" w:eastAsia="zh-CN" w:bidi="ar"/>
              </w:rPr>
              <w:t>7</w:t>
            </w:r>
            <w:r>
              <w:rPr>
                <w:rFonts w:hint="eastAsia" w:ascii="宋体" w:hAnsi="宋体" w:eastAsia="宋体" w:cs="宋体"/>
                <w:i w:val="0"/>
                <w:color w:val="auto"/>
                <w:kern w:val="0"/>
                <w:sz w:val="22"/>
                <w:szCs w:val="22"/>
                <w:highlight w:val="none"/>
                <w:u w:val="none"/>
                <w:lang w:val="en-US" w:eastAsia="zh-CN" w:bidi="ar"/>
              </w:rPr>
              <w:t>.刮板机链条更换；</w:t>
            </w:r>
          </w:p>
        </w:tc>
        <w:tc>
          <w:tcPr>
            <w:tcW w:w="928" w:type="dxa"/>
            <w:shd w:val="clear" w:color="auto" w:fill="auto"/>
            <w:noWrap/>
            <w:tcMar>
              <w:top w:w="10" w:type="dxa"/>
              <w:left w:w="10" w:type="dxa"/>
              <w:right w:w="10" w:type="dxa"/>
            </w:tcMar>
            <w:vAlign w:val="center"/>
          </w:tcPr>
          <w:p w14:paraId="6D4BE9F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241ACDD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E13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D7343F8">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C5E6206">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712702C1">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2EFFC3A">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r>
              <w:rPr>
                <w:rFonts w:hint="eastAsia" w:ascii="宋体" w:hAnsi="宋体" w:cs="宋体"/>
                <w:i w:val="0"/>
                <w:color w:val="auto"/>
                <w:kern w:val="0"/>
                <w:sz w:val="22"/>
                <w:szCs w:val="22"/>
                <w:highlight w:val="none"/>
                <w:u w:val="none"/>
                <w:lang w:val="en-US" w:eastAsia="zh-CN" w:bidi="ar"/>
              </w:rPr>
              <w:t>8</w:t>
            </w:r>
            <w:r>
              <w:rPr>
                <w:rFonts w:hint="eastAsia" w:ascii="宋体" w:hAnsi="宋体" w:eastAsia="宋体" w:cs="宋体"/>
                <w:i w:val="0"/>
                <w:color w:val="auto"/>
                <w:kern w:val="0"/>
                <w:sz w:val="22"/>
                <w:szCs w:val="22"/>
                <w:highlight w:val="none"/>
                <w:u w:val="none"/>
                <w:lang w:val="en-US" w:eastAsia="zh-CN" w:bidi="ar"/>
              </w:rPr>
              <w:t>.刮板机耐磨条更换；</w:t>
            </w:r>
          </w:p>
        </w:tc>
        <w:tc>
          <w:tcPr>
            <w:tcW w:w="928" w:type="dxa"/>
            <w:shd w:val="clear" w:color="auto" w:fill="auto"/>
            <w:noWrap/>
            <w:tcMar>
              <w:top w:w="10" w:type="dxa"/>
              <w:left w:w="10" w:type="dxa"/>
              <w:right w:w="10" w:type="dxa"/>
            </w:tcMar>
            <w:vAlign w:val="center"/>
          </w:tcPr>
          <w:p w14:paraId="04120B5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024827B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43E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618CB6B5">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CD3B8E8">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9E705AA">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6C90E19">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r>
              <w:rPr>
                <w:rFonts w:hint="eastAsia" w:ascii="宋体" w:hAnsi="宋体" w:cs="宋体"/>
                <w:i w:val="0"/>
                <w:color w:val="auto"/>
                <w:kern w:val="0"/>
                <w:sz w:val="22"/>
                <w:szCs w:val="22"/>
                <w:highlight w:val="none"/>
                <w:u w:val="none"/>
                <w:lang w:val="en-US" w:eastAsia="zh-CN" w:bidi="ar"/>
              </w:rPr>
              <w:t>9</w:t>
            </w:r>
            <w:r>
              <w:rPr>
                <w:rFonts w:hint="eastAsia" w:ascii="宋体" w:hAnsi="宋体" w:eastAsia="宋体" w:cs="宋体"/>
                <w:i w:val="0"/>
                <w:color w:val="auto"/>
                <w:kern w:val="0"/>
                <w:sz w:val="22"/>
                <w:szCs w:val="22"/>
                <w:highlight w:val="none"/>
                <w:u w:val="none"/>
                <w:lang w:val="en-US" w:eastAsia="zh-CN" w:bidi="ar"/>
              </w:rPr>
              <w:t>.刮板机头轮及轴承更换（仅换轴承按50%计）；</w:t>
            </w:r>
          </w:p>
        </w:tc>
        <w:tc>
          <w:tcPr>
            <w:tcW w:w="928" w:type="dxa"/>
            <w:shd w:val="clear" w:color="auto" w:fill="auto"/>
            <w:noWrap/>
            <w:tcMar>
              <w:top w:w="10" w:type="dxa"/>
              <w:left w:w="10" w:type="dxa"/>
              <w:right w:w="10" w:type="dxa"/>
            </w:tcMar>
            <w:vAlign w:val="center"/>
          </w:tcPr>
          <w:p w14:paraId="517181C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6B4AC8B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4B6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46C9816D">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76C2C93E">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3BDC7F9">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66B80E9D">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70</w:t>
            </w:r>
            <w:r>
              <w:rPr>
                <w:rFonts w:hint="eastAsia" w:ascii="宋体" w:hAnsi="宋体" w:eastAsia="宋体" w:cs="宋体"/>
                <w:i w:val="0"/>
                <w:color w:val="auto"/>
                <w:kern w:val="0"/>
                <w:sz w:val="22"/>
                <w:szCs w:val="22"/>
                <w:highlight w:val="none"/>
                <w:u w:val="none"/>
                <w:lang w:val="en-US" w:eastAsia="zh-CN" w:bidi="ar"/>
              </w:rPr>
              <w:t>.刮板机尾轮及轴承更换（仅换轴承按50%计）；</w:t>
            </w:r>
          </w:p>
        </w:tc>
        <w:tc>
          <w:tcPr>
            <w:tcW w:w="928" w:type="dxa"/>
            <w:shd w:val="clear" w:color="auto" w:fill="auto"/>
            <w:noWrap/>
            <w:tcMar>
              <w:top w:w="10" w:type="dxa"/>
              <w:left w:w="10" w:type="dxa"/>
              <w:right w:w="10" w:type="dxa"/>
            </w:tcMar>
            <w:vAlign w:val="center"/>
          </w:tcPr>
          <w:p w14:paraId="0C6D5A7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2664D2B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0F7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40F2E4E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779851A">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DDAB188">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6E271B3B">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71</w:t>
            </w:r>
            <w:r>
              <w:rPr>
                <w:rFonts w:hint="eastAsia" w:ascii="宋体" w:hAnsi="宋体" w:eastAsia="宋体" w:cs="宋体"/>
                <w:i w:val="0"/>
                <w:color w:val="auto"/>
                <w:kern w:val="0"/>
                <w:sz w:val="22"/>
                <w:szCs w:val="22"/>
                <w:highlight w:val="none"/>
                <w:u w:val="none"/>
                <w:lang w:val="en-US" w:eastAsia="zh-CN" w:bidi="ar"/>
              </w:rPr>
              <w:t>.卸灰阀整体更换；</w:t>
            </w:r>
          </w:p>
        </w:tc>
        <w:tc>
          <w:tcPr>
            <w:tcW w:w="928" w:type="dxa"/>
            <w:shd w:val="clear" w:color="auto" w:fill="auto"/>
            <w:noWrap/>
            <w:tcMar>
              <w:top w:w="10" w:type="dxa"/>
              <w:left w:w="10" w:type="dxa"/>
              <w:right w:w="10" w:type="dxa"/>
            </w:tcMar>
            <w:vAlign w:val="center"/>
          </w:tcPr>
          <w:p w14:paraId="7ABF517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3D175A1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2F6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B541AA5">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468261F">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2BA64F4">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2BDB1E7">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w:t>
            </w:r>
            <w:r>
              <w:rPr>
                <w:rFonts w:hint="eastAsia" w:ascii="宋体" w:hAnsi="宋体" w:cs="宋体"/>
                <w:i w:val="0"/>
                <w:color w:val="auto"/>
                <w:kern w:val="0"/>
                <w:sz w:val="22"/>
                <w:szCs w:val="22"/>
                <w:highlight w:val="none"/>
                <w:u w:val="none"/>
                <w:lang w:val="en-US" w:eastAsia="zh-CN" w:bidi="ar"/>
              </w:rPr>
              <w:t>2</w:t>
            </w:r>
            <w:r>
              <w:rPr>
                <w:rFonts w:hint="eastAsia" w:ascii="宋体" w:hAnsi="宋体" w:eastAsia="宋体" w:cs="宋体"/>
                <w:i w:val="0"/>
                <w:color w:val="auto"/>
                <w:kern w:val="0"/>
                <w:sz w:val="22"/>
                <w:szCs w:val="22"/>
                <w:highlight w:val="none"/>
                <w:u w:val="none"/>
                <w:lang w:val="en-US" w:eastAsia="zh-CN" w:bidi="ar"/>
              </w:rPr>
              <w:t>.破碎机整体更换；</w:t>
            </w:r>
          </w:p>
        </w:tc>
        <w:tc>
          <w:tcPr>
            <w:tcW w:w="928" w:type="dxa"/>
            <w:shd w:val="clear" w:color="auto" w:fill="auto"/>
            <w:noWrap/>
            <w:tcMar>
              <w:top w:w="10" w:type="dxa"/>
              <w:left w:w="10" w:type="dxa"/>
              <w:right w:w="10" w:type="dxa"/>
            </w:tcMar>
            <w:vAlign w:val="center"/>
          </w:tcPr>
          <w:p w14:paraId="5FCD3E4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6155A27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610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2AD681E">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10644DA">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E101BF4">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570D50B">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w:t>
            </w:r>
            <w:r>
              <w:rPr>
                <w:rFonts w:hint="eastAsia" w:ascii="宋体" w:hAnsi="宋体" w:cs="宋体"/>
                <w:i w:val="0"/>
                <w:color w:val="auto"/>
                <w:kern w:val="0"/>
                <w:sz w:val="22"/>
                <w:szCs w:val="22"/>
                <w:highlight w:val="none"/>
                <w:u w:val="none"/>
                <w:lang w:val="en-US" w:eastAsia="zh-CN" w:bidi="ar"/>
              </w:rPr>
              <w:t>3</w:t>
            </w:r>
            <w:r>
              <w:rPr>
                <w:rFonts w:hint="eastAsia" w:ascii="宋体" w:hAnsi="宋体" w:eastAsia="宋体" w:cs="宋体"/>
                <w:i w:val="0"/>
                <w:color w:val="auto"/>
                <w:kern w:val="0"/>
                <w:sz w:val="22"/>
                <w:szCs w:val="22"/>
                <w:highlight w:val="none"/>
                <w:u w:val="none"/>
                <w:lang w:val="en-US" w:eastAsia="zh-CN" w:bidi="ar"/>
              </w:rPr>
              <w:t>.破碎机轴承更换；</w:t>
            </w:r>
          </w:p>
        </w:tc>
        <w:tc>
          <w:tcPr>
            <w:tcW w:w="928" w:type="dxa"/>
            <w:shd w:val="clear" w:color="auto" w:fill="auto"/>
            <w:noWrap/>
            <w:tcMar>
              <w:top w:w="10" w:type="dxa"/>
              <w:left w:w="10" w:type="dxa"/>
              <w:right w:w="10" w:type="dxa"/>
            </w:tcMar>
            <w:vAlign w:val="center"/>
          </w:tcPr>
          <w:p w14:paraId="4C44214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6D2CA7E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503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43305D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8474AF8">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A516BD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79F9B04">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w:t>
            </w:r>
            <w:r>
              <w:rPr>
                <w:rFonts w:hint="eastAsia" w:ascii="宋体" w:hAnsi="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.减速机更换；</w:t>
            </w:r>
          </w:p>
        </w:tc>
        <w:tc>
          <w:tcPr>
            <w:tcW w:w="928" w:type="dxa"/>
            <w:shd w:val="clear" w:color="auto" w:fill="auto"/>
            <w:noWrap/>
            <w:tcMar>
              <w:top w:w="10" w:type="dxa"/>
              <w:left w:w="10" w:type="dxa"/>
              <w:right w:w="10" w:type="dxa"/>
            </w:tcMar>
            <w:vAlign w:val="center"/>
          </w:tcPr>
          <w:p w14:paraId="0313265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43E45E0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038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946DC38">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257F818">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4F17D16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布袋除尘器</w:t>
            </w:r>
          </w:p>
        </w:tc>
        <w:tc>
          <w:tcPr>
            <w:tcW w:w="2902" w:type="dxa"/>
            <w:gridSpan w:val="2"/>
            <w:shd w:val="clear" w:color="auto" w:fill="auto"/>
            <w:tcMar>
              <w:top w:w="10" w:type="dxa"/>
              <w:left w:w="10" w:type="dxa"/>
              <w:right w:w="10" w:type="dxa"/>
            </w:tcMar>
            <w:vAlign w:val="center"/>
          </w:tcPr>
          <w:p w14:paraId="593CC26B">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w:t>
            </w:r>
            <w:r>
              <w:rPr>
                <w:rFonts w:hint="eastAsia" w:ascii="宋体" w:hAnsi="宋体" w:cs="宋体"/>
                <w:i w:val="0"/>
                <w:color w:val="auto"/>
                <w:kern w:val="0"/>
                <w:sz w:val="22"/>
                <w:szCs w:val="22"/>
                <w:highlight w:val="none"/>
                <w:u w:val="none"/>
                <w:lang w:val="en-US" w:eastAsia="zh-CN" w:bidi="ar"/>
              </w:rPr>
              <w:t>5</w:t>
            </w:r>
            <w:r>
              <w:rPr>
                <w:rFonts w:hint="eastAsia" w:ascii="宋体" w:hAnsi="宋体" w:eastAsia="宋体" w:cs="宋体"/>
                <w:i w:val="0"/>
                <w:color w:val="auto"/>
                <w:kern w:val="0"/>
                <w:sz w:val="22"/>
                <w:szCs w:val="22"/>
                <w:highlight w:val="none"/>
                <w:u w:val="none"/>
                <w:lang w:val="en-US" w:eastAsia="zh-CN" w:bidi="ar"/>
              </w:rPr>
              <w:t>.更换布袋笼骨（含布袋间距调整）；</w:t>
            </w:r>
          </w:p>
        </w:tc>
        <w:tc>
          <w:tcPr>
            <w:tcW w:w="928" w:type="dxa"/>
            <w:shd w:val="clear" w:color="auto" w:fill="auto"/>
            <w:noWrap/>
            <w:tcMar>
              <w:top w:w="10" w:type="dxa"/>
              <w:left w:w="10" w:type="dxa"/>
              <w:right w:w="10" w:type="dxa"/>
            </w:tcMar>
            <w:vAlign w:val="center"/>
          </w:tcPr>
          <w:p w14:paraId="356F076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元/套</w:t>
            </w:r>
          </w:p>
        </w:tc>
        <w:tc>
          <w:tcPr>
            <w:tcW w:w="1396" w:type="dxa"/>
            <w:shd w:val="clear" w:color="auto" w:fill="auto"/>
            <w:noWrap/>
            <w:tcMar>
              <w:top w:w="10" w:type="dxa"/>
              <w:left w:w="10" w:type="dxa"/>
              <w:right w:w="10" w:type="dxa"/>
            </w:tcMar>
            <w:vAlign w:val="center"/>
          </w:tcPr>
          <w:p w14:paraId="4DC9706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C0D7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E35FE4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2F8822E">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022CC7A">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2E43E450">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w:t>
            </w:r>
            <w:r>
              <w:rPr>
                <w:rFonts w:hint="eastAsia" w:ascii="宋体" w:hAnsi="宋体" w:cs="宋体"/>
                <w:i w:val="0"/>
                <w:color w:val="auto"/>
                <w:kern w:val="0"/>
                <w:sz w:val="22"/>
                <w:szCs w:val="22"/>
                <w:highlight w:val="none"/>
                <w:u w:val="none"/>
                <w:lang w:val="en-US" w:eastAsia="zh-CN" w:bidi="ar"/>
              </w:rPr>
              <w:t>6</w:t>
            </w:r>
            <w:r>
              <w:rPr>
                <w:rFonts w:hint="eastAsia" w:ascii="宋体" w:hAnsi="宋体" w:eastAsia="宋体" w:cs="宋体"/>
                <w:i w:val="0"/>
                <w:color w:val="auto"/>
                <w:kern w:val="0"/>
                <w:sz w:val="22"/>
                <w:szCs w:val="22"/>
                <w:highlight w:val="none"/>
                <w:u w:val="none"/>
                <w:lang w:val="en-US" w:eastAsia="zh-CN" w:bidi="ar"/>
              </w:rPr>
              <w:t>.清洁室重做防腐；（按防腐面积比例结算）</w:t>
            </w:r>
          </w:p>
        </w:tc>
        <w:tc>
          <w:tcPr>
            <w:tcW w:w="928" w:type="dxa"/>
            <w:shd w:val="clear" w:color="auto" w:fill="auto"/>
            <w:noWrap/>
            <w:tcMar>
              <w:top w:w="10" w:type="dxa"/>
              <w:left w:w="10" w:type="dxa"/>
              <w:right w:w="10" w:type="dxa"/>
            </w:tcMar>
            <w:vAlign w:val="center"/>
          </w:tcPr>
          <w:p w14:paraId="1D15DC1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w:t>
            </w:r>
          </w:p>
        </w:tc>
        <w:tc>
          <w:tcPr>
            <w:tcW w:w="1396" w:type="dxa"/>
            <w:shd w:val="clear" w:color="auto" w:fill="auto"/>
            <w:noWrap/>
            <w:tcMar>
              <w:top w:w="10" w:type="dxa"/>
              <w:left w:w="10" w:type="dxa"/>
              <w:right w:w="10" w:type="dxa"/>
            </w:tcMar>
            <w:vAlign w:val="center"/>
          </w:tcPr>
          <w:p w14:paraId="5050AEB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3A6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393A678E">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C11D045">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E6C758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4B931B98">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w:t>
            </w:r>
            <w:r>
              <w:rPr>
                <w:rFonts w:hint="eastAsia" w:ascii="宋体" w:hAnsi="宋体" w:cs="宋体"/>
                <w:i w:val="0"/>
                <w:color w:val="auto"/>
                <w:kern w:val="0"/>
                <w:sz w:val="22"/>
                <w:szCs w:val="22"/>
                <w:highlight w:val="none"/>
                <w:u w:val="none"/>
                <w:lang w:val="en-US" w:eastAsia="zh-CN" w:bidi="ar"/>
              </w:rPr>
              <w:t>7</w:t>
            </w:r>
            <w:r>
              <w:rPr>
                <w:rFonts w:hint="eastAsia" w:ascii="宋体" w:hAnsi="宋体" w:eastAsia="宋体" w:cs="宋体"/>
                <w:i w:val="0"/>
                <w:color w:val="auto"/>
                <w:kern w:val="0"/>
                <w:sz w:val="22"/>
                <w:szCs w:val="22"/>
                <w:highlight w:val="none"/>
                <w:u w:val="none"/>
                <w:lang w:val="en-US" w:eastAsia="zh-CN" w:bidi="ar"/>
              </w:rPr>
              <w:t>.烟道内部重做防腐；（按防腐面积比例结算）</w:t>
            </w:r>
          </w:p>
        </w:tc>
        <w:tc>
          <w:tcPr>
            <w:tcW w:w="928" w:type="dxa"/>
            <w:shd w:val="clear" w:color="auto" w:fill="auto"/>
            <w:noWrap/>
            <w:tcMar>
              <w:top w:w="10" w:type="dxa"/>
              <w:left w:w="10" w:type="dxa"/>
              <w:right w:w="10" w:type="dxa"/>
            </w:tcMar>
            <w:vAlign w:val="center"/>
          </w:tcPr>
          <w:p w14:paraId="2E7E695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w:t>
            </w:r>
          </w:p>
        </w:tc>
        <w:tc>
          <w:tcPr>
            <w:tcW w:w="1396" w:type="dxa"/>
            <w:shd w:val="clear" w:color="auto" w:fill="auto"/>
            <w:noWrap/>
            <w:tcMar>
              <w:top w:w="10" w:type="dxa"/>
              <w:left w:w="10" w:type="dxa"/>
              <w:right w:w="10" w:type="dxa"/>
            </w:tcMar>
            <w:vAlign w:val="center"/>
          </w:tcPr>
          <w:p w14:paraId="0003E0F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341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0675852">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75BA6FF">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1B3356F7">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5FF73976">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w:t>
            </w:r>
            <w:r>
              <w:rPr>
                <w:rFonts w:hint="eastAsia" w:ascii="宋体" w:hAnsi="宋体" w:cs="宋体"/>
                <w:i w:val="0"/>
                <w:color w:val="auto"/>
                <w:kern w:val="0"/>
                <w:sz w:val="22"/>
                <w:szCs w:val="22"/>
                <w:highlight w:val="none"/>
                <w:u w:val="none"/>
                <w:lang w:val="en-US" w:eastAsia="zh-CN" w:bidi="ar"/>
              </w:rPr>
              <w:t>8</w:t>
            </w:r>
            <w:r>
              <w:rPr>
                <w:rFonts w:hint="eastAsia" w:ascii="宋体" w:hAnsi="宋体" w:eastAsia="宋体" w:cs="宋体"/>
                <w:i w:val="0"/>
                <w:color w:val="auto"/>
                <w:kern w:val="0"/>
                <w:sz w:val="22"/>
                <w:szCs w:val="22"/>
                <w:highlight w:val="none"/>
                <w:u w:val="none"/>
                <w:lang w:val="en-US" w:eastAsia="zh-CN" w:bidi="ar"/>
              </w:rPr>
              <w:t>.脉冲阀膜片更换；</w:t>
            </w:r>
          </w:p>
        </w:tc>
        <w:tc>
          <w:tcPr>
            <w:tcW w:w="928" w:type="dxa"/>
            <w:shd w:val="clear" w:color="auto" w:fill="auto"/>
            <w:noWrap/>
            <w:tcMar>
              <w:top w:w="10" w:type="dxa"/>
              <w:left w:w="10" w:type="dxa"/>
              <w:right w:w="10" w:type="dxa"/>
            </w:tcMar>
            <w:vAlign w:val="center"/>
          </w:tcPr>
          <w:p w14:paraId="3A05547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476059A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0FB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4CFF6E2">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9778779">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102A9F59">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42180531">
            <w:pPr>
              <w:keepNext w:val="0"/>
              <w:keepLines w:val="0"/>
              <w:widowControl/>
              <w:suppressLineNumbers w:val="0"/>
              <w:spacing w:line="240" w:lineRule="auto"/>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7</w:t>
            </w:r>
            <w:r>
              <w:rPr>
                <w:rFonts w:hint="eastAsia" w:ascii="宋体" w:hAnsi="宋体" w:cs="宋体"/>
                <w:i w:val="0"/>
                <w:color w:val="auto"/>
                <w:kern w:val="0"/>
                <w:sz w:val="22"/>
                <w:szCs w:val="22"/>
                <w:highlight w:val="none"/>
                <w:u w:val="none"/>
                <w:lang w:val="en-US" w:eastAsia="zh-CN" w:bidi="ar"/>
              </w:rPr>
              <w:t>9</w:t>
            </w:r>
            <w:r>
              <w:rPr>
                <w:rFonts w:hint="eastAsia" w:ascii="宋体" w:hAnsi="宋体" w:eastAsia="宋体" w:cs="宋体"/>
                <w:i w:val="0"/>
                <w:color w:val="auto"/>
                <w:kern w:val="0"/>
                <w:sz w:val="22"/>
                <w:szCs w:val="22"/>
                <w:highlight w:val="none"/>
                <w:u w:val="none"/>
                <w:lang w:val="en-US" w:eastAsia="zh-CN" w:bidi="ar"/>
              </w:rPr>
              <w:t>、密封板下保温棉更换</w:t>
            </w:r>
          </w:p>
        </w:tc>
        <w:tc>
          <w:tcPr>
            <w:tcW w:w="928" w:type="dxa"/>
            <w:shd w:val="clear" w:color="auto" w:fill="auto"/>
            <w:noWrap/>
            <w:tcMar>
              <w:top w:w="10" w:type="dxa"/>
              <w:left w:w="10" w:type="dxa"/>
              <w:right w:w="10" w:type="dxa"/>
            </w:tcMar>
            <w:vAlign w:val="center"/>
          </w:tcPr>
          <w:p w14:paraId="0C528DC8">
            <w:pPr>
              <w:keepNext w:val="0"/>
              <w:keepLines w:val="0"/>
              <w:widowControl/>
              <w:suppressLineNumbers w:val="0"/>
              <w:spacing w:line="240" w:lineRule="auto"/>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元/仓</w:t>
            </w:r>
          </w:p>
        </w:tc>
        <w:tc>
          <w:tcPr>
            <w:tcW w:w="1396" w:type="dxa"/>
            <w:shd w:val="clear" w:color="auto" w:fill="auto"/>
            <w:noWrap/>
            <w:tcMar>
              <w:top w:w="10" w:type="dxa"/>
              <w:left w:w="10" w:type="dxa"/>
              <w:right w:w="10" w:type="dxa"/>
            </w:tcMar>
            <w:vAlign w:val="center"/>
          </w:tcPr>
          <w:p w14:paraId="2CAEFC7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582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4FE5616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27942E5">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4E346AF">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FAFEDC5">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80</w:t>
            </w:r>
            <w:r>
              <w:rPr>
                <w:rFonts w:hint="eastAsia" w:ascii="宋体" w:hAnsi="宋体" w:eastAsia="宋体" w:cs="宋体"/>
                <w:i w:val="0"/>
                <w:color w:val="auto"/>
                <w:kern w:val="0"/>
                <w:sz w:val="22"/>
                <w:szCs w:val="22"/>
                <w:highlight w:val="none"/>
                <w:u w:val="none"/>
                <w:lang w:val="en-US" w:eastAsia="zh-CN" w:bidi="ar"/>
              </w:rPr>
              <w:t>.气动阀更换；</w:t>
            </w:r>
          </w:p>
        </w:tc>
        <w:tc>
          <w:tcPr>
            <w:tcW w:w="928" w:type="dxa"/>
            <w:shd w:val="clear" w:color="auto" w:fill="auto"/>
            <w:noWrap/>
            <w:tcMar>
              <w:top w:w="10" w:type="dxa"/>
              <w:left w:w="10" w:type="dxa"/>
              <w:right w:w="10" w:type="dxa"/>
            </w:tcMar>
            <w:vAlign w:val="center"/>
          </w:tcPr>
          <w:p w14:paraId="1ECF47D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6B2BB34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8C9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2CF0719">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AF6DA30">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45B4633B">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34A87D5E">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81</w:t>
            </w:r>
            <w:r>
              <w:rPr>
                <w:rFonts w:hint="eastAsia" w:ascii="宋体" w:hAnsi="宋体" w:eastAsia="宋体" w:cs="宋体"/>
                <w:i w:val="0"/>
                <w:color w:val="auto"/>
                <w:kern w:val="0"/>
                <w:sz w:val="22"/>
                <w:szCs w:val="22"/>
                <w:highlight w:val="none"/>
                <w:u w:val="none"/>
                <w:lang w:val="en-US" w:eastAsia="zh-CN" w:bidi="ar"/>
              </w:rPr>
              <w:t>.卸灰阀整体更换；</w:t>
            </w:r>
          </w:p>
        </w:tc>
        <w:tc>
          <w:tcPr>
            <w:tcW w:w="928" w:type="dxa"/>
            <w:shd w:val="clear" w:color="auto" w:fill="auto"/>
            <w:noWrap/>
            <w:tcMar>
              <w:top w:w="10" w:type="dxa"/>
              <w:left w:w="10" w:type="dxa"/>
              <w:right w:w="10" w:type="dxa"/>
            </w:tcMar>
            <w:vAlign w:val="center"/>
          </w:tcPr>
          <w:p w14:paraId="5CCFE66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2570171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7AA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76361F7">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4530345B">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35270E02">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B48B5D4">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r>
              <w:rPr>
                <w:rFonts w:hint="eastAsia" w:ascii="宋体" w:hAnsi="宋体" w:cs="宋体"/>
                <w:i w:val="0"/>
                <w:color w:val="auto"/>
                <w:kern w:val="0"/>
                <w:sz w:val="22"/>
                <w:szCs w:val="22"/>
                <w:highlight w:val="none"/>
                <w:u w:val="none"/>
                <w:lang w:val="en-US" w:eastAsia="zh-CN" w:bidi="ar"/>
              </w:rPr>
              <w:t>2</w:t>
            </w:r>
            <w:r>
              <w:rPr>
                <w:rFonts w:hint="eastAsia" w:ascii="宋体" w:hAnsi="宋体" w:eastAsia="宋体" w:cs="宋体"/>
                <w:i w:val="0"/>
                <w:color w:val="auto"/>
                <w:kern w:val="0"/>
                <w:sz w:val="22"/>
                <w:szCs w:val="22"/>
                <w:highlight w:val="none"/>
                <w:u w:val="none"/>
                <w:lang w:val="en-US" w:eastAsia="zh-CN" w:bidi="ar"/>
              </w:rPr>
              <w:t>.提升阀及清洁仓盖板密封垫更换；</w:t>
            </w:r>
          </w:p>
        </w:tc>
        <w:tc>
          <w:tcPr>
            <w:tcW w:w="928" w:type="dxa"/>
            <w:shd w:val="clear" w:color="auto" w:fill="auto"/>
            <w:noWrap/>
            <w:tcMar>
              <w:top w:w="10" w:type="dxa"/>
              <w:left w:w="10" w:type="dxa"/>
              <w:right w:w="10" w:type="dxa"/>
            </w:tcMar>
            <w:vAlign w:val="center"/>
          </w:tcPr>
          <w:p w14:paraId="5093269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元/个</w:t>
            </w:r>
          </w:p>
        </w:tc>
        <w:tc>
          <w:tcPr>
            <w:tcW w:w="1396" w:type="dxa"/>
            <w:shd w:val="clear" w:color="auto" w:fill="auto"/>
            <w:noWrap/>
            <w:tcMar>
              <w:top w:w="10" w:type="dxa"/>
              <w:left w:w="10" w:type="dxa"/>
              <w:right w:w="10" w:type="dxa"/>
            </w:tcMar>
            <w:vAlign w:val="center"/>
          </w:tcPr>
          <w:p w14:paraId="133BFF8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490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846C3E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1D42E573">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F8E36B0">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58250E79">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r>
              <w:rPr>
                <w:rFonts w:hint="eastAsia" w:ascii="宋体" w:hAnsi="宋体" w:cs="宋体"/>
                <w:i w:val="0"/>
                <w:color w:val="auto"/>
                <w:kern w:val="0"/>
                <w:sz w:val="22"/>
                <w:szCs w:val="22"/>
                <w:highlight w:val="none"/>
                <w:u w:val="none"/>
                <w:lang w:val="en-US" w:eastAsia="zh-CN" w:bidi="ar"/>
              </w:rPr>
              <w:t>3</w:t>
            </w:r>
            <w:r>
              <w:rPr>
                <w:rFonts w:hint="eastAsia" w:ascii="宋体" w:hAnsi="宋体" w:eastAsia="宋体" w:cs="宋体"/>
                <w:i w:val="0"/>
                <w:color w:val="auto"/>
                <w:kern w:val="0"/>
                <w:sz w:val="22"/>
                <w:szCs w:val="22"/>
                <w:highlight w:val="none"/>
                <w:u w:val="none"/>
                <w:lang w:val="en-US" w:eastAsia="zh-CN" w:bidi="ar"/>
              </w:rPr>
              <w:t>.刮板机链条更换</w:t>
            </w:r>
          </w:p>
        </w:tc>
        <w:tc>
          <w:tcPr>
            <w:tcW w:w="928" w:type="dxa"/>
            <w:shd w:val="clear" w:color="auto" w:fill="auto"/>
            <w:noWrap/>
            <w:tcMar>
              <w:top w:w="10" w:type="dxa"/>
              <w:left w:w="10" w:type="dxa"/>
              <w:right w:w="10" w:type="dxa"/>
            </w:tcMar>
            <w:vAlign w:val="center"/>
          </w:tcPr>
          <w:p w14:paraId="65189AA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5046968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F3F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A25FE2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7A0774C9">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B94A3FD">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D2015A6">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r>
              <w:rPr>
                <w:rFonts w:hint="eastAsia" w:ascii="宋体" w:hAnsi="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.刮板机耐磨条更换；</w:t>
            </w:r>
          </w:p>
        </w:tc>
        <w:tc>
          <w:tcPr>
            <w:tcW w:w="928" w:type="dxa"/>
            <w:shd w:val="clear" w:color="auto" w:fill="auto"/>
            <w:noWrap/>
            <w:tcMar>
              <w:top w:w="10" w:type="dxa"/>
              <w:left w:w="10" w:type="dxa"/>
              <w:right w:w="10" w:type="dxa"/>
            </w:tcMar>
            <w:vAlign w:val="center"/>
          </w:tcPr>
          <w:p w14:paraId="681BB46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29FDB25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5FA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60A1DA1B">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9621C2F">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48341A3F">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7F073D1">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r>
              <w:rPr>
                <w:rFonts w:hint="eastAsia" w:ascii="宋体" w:hAnsi="宋体" w:cs="宋体"/>
                <w:i w:val="0"/>
                <w:color w:val="auto"/>
                <w:kern w:val="0"/>
                <w:sz w:val="22"/>
                <w:szCs w:val="22"/>
                <w:highlight w:val="none"/>
                <w:u w:val="none"/>
                <w:lang w:val="en-US" w:eastAsia="zh-CN" w:bidi="ar"/>
              </w:rPr>
              <w:t>5</w:t>
            </w:r>
            <w:r>
              <w:rPr>
                <w:rFonts w:hint="eastAsia" w:ascii="宋体" w:hAnsi="宋体" w:eastAsia="宋体" w:cs="宋体"/>
                <w:i w:val="0"/>
                <w:color w:val="auto"/>
                <w:kern w:val="0"/>
                <w:sz w:val="22"/>
                <w:szCs w:val="22"/>
                <w:highlight w:val="none"/>
                <w:u w:val="none"/>
                <w:lang w:val="en-US" w:eastAsia="zh-CN" w:bidi="ar"/>
              </w:rPr>
              <w:t>.刮板机头轮及轴承更换</w:t>
            </w:r>
            <w:r>
              <w:rPr>
                <w:rFonts w:hint="eastAsia" w:ascii="宋体" w:hAnsi="宋体" w:eastAsia="宋体" w:cs="宋体"/>
                <w:i w:val="0"/>
                <w:color w:val="auto"/>
                <w:kern w:val="0"/>
                <w:sz w:val="21"/>
                <w:szCs w:val="21"/>
                <w:highlight w:val="none"/>
                <w:u w:val="none"/>
                <w:lang w:val="en-US" w:eastAsia="zh-CN" w:bidi="ar"/>
              </w:rPr>
              <w:t>（仅换轴承按50%计）</w:t>
            </w:r>
            <w:r>
              <w:rPr>
                <w:rFonts w:hint="eastAsia" w:ascii="宋体" w:hAnsi="宋体" w:eastAsia="宋体" w:cs="宋体"/>
                <w:i w:val="0"/>
                <w:color w:val="auto"/>
                <w:kern w:val="0"/>
                <w:sz w:val="22"/>
                <w:szCs w:val="22"/>
                <w:highlight w:val="none"/>
                <w:u w:val="none"/>
                <w:lang w:val="en-US" w:eastAsia="zh-CN" w:bidi="ar"/>
              </w:rPr>
              <w:t>；</w:t>
            </w:r>
          </w:p>
        </w:tc>
        <w:tc>
          <w:tcPr>
            <w:tcW w:w="928" w:type="dxa"/>
            <w:shd w:val="clear" w:color="auto" w:fill="auto"/>
            <w:noWrap/>
            <w:tcMar>
              <w:top w:w="10" w:type="dxa"/>
              <w:left w:w="10" w:type="dxa"/>
              <w:right w:w="10" w:type="dxa"/>
            </w:tcMar>
            <w:vAlign w:val="center"/>
          </w:tcPr>
          <w:p w14:paraId="5D7B373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706A26A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753F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7AAE0994">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48B1CFA">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6D452AA">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32AFA0F">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r>
              <w:rPr>
                <w:rFonts w:hint="eastAsia" w:ascii="宋体" w:hAnsi="宋体" w:cs="宋体"/>
                <w:i w:val="0"/>
                <w:color w:val="auto"/>
                <w:kern w:val="0"/>
                <w:sz w:val="22"/>
                <w:szCs w:val="22"/>
                <w:highlight w:val="none"/>
                <w:u w:val="none"/>
                <w:lang w:val="en-US" w:eastAsia="zh-CN" w:bidi="ar"/>
              </w:rPr>
              <w:t>6</w:t>
            </w:r>
            <w:r>
              <w:rPr>
                <w:rFonts w:hint="eastAsia" w:ascii="宋体" w:hAnsi="宋体" w:eastAsia="宋体" w:cs="宋体"/>
                <w:i w:val="0"/>
                <w:color w:val="auto"/>
                <w:kern w:val="0"/>
                <w:sz w:val="22"/>
                <w:szCs w:val="22"/>
                <w:highlight w:val="none"/>
                <w:u w:val="none"/>
                <w:lang w:val="en-US" w:eastAsia="zh-CN" w:bidi="ar"/>
              </w:rPr>
              <w:t>.刮板机尾轮及轴承更换</w:t>
            </w:r>
            <w:r>
              <w:rPr>
                <w:rFonts w:hint="eastAsia" w:ascii="宋体" w:hAnsi="宋体" w:eastAsia="宋体" w:cs="宋体"/>
                <w:i w:val="0"/>
                <w:color w:val="auto"/>
                <w:kern w:val="0"/>
                <w:sz w:val="21"/>
                <w:szCs w:val="21"/>
                <w:highlight w:val="none"/>
                <w:u w:val="none"/>
                <w:lang w:val="en-US" w:eastAsia="zh-CN" w:bidi="ar"/>
              </w:rPr>
              <w:t>（仅换轴承按50%计）</w:t>
            </w:r>
            <w:r>
              <w:rPr>
                <w:rFonts w:hint="eastAsia" w:ascii="宋体" w:hAnsi="宋体" w:eastAsia="宋体" w:cs="宋体"/>
                <w:i w:val="0"/>
                <w:color w:val="auto"/>
                <w:kern w:val="0"/>
                <w:sz w:val="22"/>
                <w:szCs w:val="22"/>
                <w:highlight w:val="none"/>
                <w:u w:val="none"/>
                <w:lang w:val="en-US" w:eastAsia="zh-CN" w:bidi="ar"/>
              </w:rPr>
              <w:t>；</w:t>
            </w:r>
          </w:p>
        </w:tc>
        <w:tc>
          <w:tcPr>
            <w:tcW w:w="928" w:type="dxa"/>
            <w:shd w:val="clear" w:color="auto" w:fill="auto"/>
            <w:noWrap/>
            <w:tcMar>
              <w:top w:w="10" w:type="dxa"/>
              <w:left w:w="10" w:type="dxa"/>
              <w:right w:w="10" w:type="dxa"/>
            </w:tcMar>
            <w:vAlign w:val="center"/>
          </w:tcPr>
          <w:p w14:paraId="64ACAC9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661E247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5E83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4873A445">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F79D9CC">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20729AA4">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1451A91D">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r>
              <w:rPr>
                <w:rFonts w:hint="eastAsia" w:ascii="宋体" w:hAnsi="宋体" w:cs="宋体"/>
                <w:i w:val="0"/>
                <w:color w:val="auto"/>
                <w:kern w:val="0"/>
                <w:sz w:val="22"/>
                <w:szCs w:val="22"/>
                <w:highlight w:val="none"/>
                <w:u w:val="none"/>
                <w:lang w:val="en-US" w:eastAsia="zh-CN" w:bidi="ar"/>
              </w:rPr>
              <w:t>7</w:t>
            </w:r>
            <w:r>
              <w:rPr>
                <w:rFonts w:hint="eastAsia" w:ascii="宋体" w:hAnsi="宋体" w:eastAsia="宋体" w:cs="宋体"/>
                <w:i w:val="0"/>
                <w:color w:val="auto"/>
                <w:kern w:val="0"/>
                <w:sz w:val="22"/>
                <w:szCs w:val="22"/>
                <w:highlight w:val="none"/>
                <w:u w:val="none"/>
                <w:lang w:val="en-US" w:eastAsia="zh-CN" w:bidi="ar"/>
              </w:rPr>
              <w:t>.减速机更换；</w:t>
            </w:r>
          </w:p>
        </w:tc>
        <w:tc>
          <w:tcPr>
            <w:tcW w:w="928" w:type="dxa"/>
            <w:shd w:val="clear" w:color="auto" w:fill="auto"/>
            <w:noWrap/>
            <w:tcMar>
              <w:top w:w="10" w:type="dxa"/>
              <w:left w:w="10" w:type="dxa"/>
              <w:right w:w="10" w:type="dxa"/>
            </w:tcMar>
            <w:vAlign w:val="center"/>
          </w:tcPr>
          <w:p w14:paraId="573BC92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元/组</w:t>
            </w:r>
          </w:p>
        </w:tc>
        <w:tc>
          <w:tcPr>
            <w:tcW w:w="1396" w:type="dxa"/>
            <w:shd w:val="clear" w:color="auto" w:fill="auto"/>
            <w:noWrap/>
            <w:tcMar>
              <w:top w:w="10" w:type="dxa"/>
              <w:left w:w="10" w:type="dxa"/>
              <w:right w:w="10" w:type="dxa"/>
            </w:tcMar>
            <w:vAlign w:val="center"/>
          </w:tcPr>
          <w:p w14:paraId="7EAE4EE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B60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608917E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5C80D8A0">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2A3A95F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湿法系统</w:t>
            </w:r>
          </w:p>
        </w:tc>
        <w:tc>
          <w:tcPr>
            <w:tcW w:w="2902" w:type="dxa"/>
            <w:gridSpan w:val="2"/>
            <w:shd w:val="clear" w:color="auto" w:fill="auto"/>
            <w:tcMar>
              <w:top w:w="10" w:type="dxa"/>
              <w:left w:w="10" w:type="dxa"/>
              <w:right w:w="10" w:type="dxa"/>
            </w:tcMar>
            <w:vAlign w:val="center"/>
          </w:tcPr>
          <w:p w14:paraId="62B660F8">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r>
              <w:rPr>
                <w:rFonts w:hint="eastAsia" w:ascii="宋体" w:hAnsi="宋体" w:cs="宋体"/>
                <w:i w:val="0"/>
                <w:color w:val="auto"/>
                <w:kern w:val="0"/>
                <w:sz w:val="22"/>
                <w:szCs w:val="22"/>
                <w:highlight w:val="none"/>
                <w:u w:val="none"/>
                <w:lang w:val="en-US" w:eastAsia="zh-CN" w:bidi="ar"/>
              </w:rPr>
              <w:t>8</w:t>
            </w:r>
            <w:r>
              <w:rPr>
                <w:rFonts w:hint="eastAsia" w:ascii="宋体" w:hAnsi="宋体" w:eastAsia="宋体" w:cs="宋体"/>
                <w:i w:val="0"/>
                <w:color w:val="auto"/>
                <w:kern w:val="0"/>
                <w:sz w:val="22"/>
                <w:szCs w:val="22"/>
                <w:highlight w:val="none"/>
                <w:u w:val="none"/>
                <w:lang w:val="en-US" w:eastAsia="zh-CN" w:bidi="ar"/>
              </w:rPr>
              <w:t>.开内部检查、管道检查、喷嘴装复；</w:t>
            </w:r>
          </w:p>
        </w:tc>
        <w:tc>
          <w:tcPr>
            <w:tcW w:w="928" w:type="dxa"/>
            <w:shd w:val="clear" w:color="auto" w:fill="auto"/>
            <w:tcMar>
              <w:top w:w="10" w:type="dxa"/>
              <w:left w:w="10" w:type="dxa"/>
              <w:right w:w="10" w:type="dxa"/>
            </w:tcMar>
            <w:vAlign w:val="center"/>
          </w:tcPr>
          <w:p w14:paraId="2AB923A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2817ED2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21F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2C4AB43">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8FF1EE6">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48DD918B">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4B87B661">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r>
              <w:rPr>
                <w:rFonts w:hint="eastAsia" w:ascii="宋体" w:hAnsi="宋体" w:cs="宋体"/>
                <w:i w:val="0"/>
                <w:color w:val="auto"/>
                <w:kern w:val="0"/>
                <w:sz w:val="22"/>
                <w:szCs w:val="22"/>
                <w:highlight w:val="none"/>
                <w:u w:val="none"/>
                <w:lang w:val="en-US" w:eastAsia="zh-CN" w:bidi="ar"/>
              </w:rPr>
              <w:t>9</w:t>
            </w:r>
            <w:r>
              <w:rPr>
                <w:rFonts w:hint="eastAsia" w:ascii="宋体" w:hAnsi="宋体" w:eastAsia="宋体" w:cs="宋体"/>
                <w:i w:val="0"/>
                <w:color w:val="auto"/>
                <w:kern w:val="0"/>
                <w:sz w:val="22"/>
                <w:szCs w:val="22"/>
                <w:highlight w:val="none"/>
                <w:u w:val="none"/>
                <w:lang w:val="en-US" w:eastAsia="zh-CN" w:bidi="ar"/>
              </w:rPr>
              <w:t>.板式换热器清洗；</w:t>
            </w:r>
          </w:p>
        </w:tc>
        <w:tc>
          <w:tcPr>
            <w:tcW w:w="928" w:type="dxa"/>
            <w:shd w:val="clear" w:color="auto" w:fill="auto"/>
            <w:noWrap/>
            <w:tcMar>
              <w:top w:w="10" w:type="dxa"/>
              <w:left w:w="10" w:type="dxa"/>
              <w:right w:w="10" w:type="dxa"/>
            </w:tcMar>
            <w:vAlign w:val="center"/>
          </w:tcPr>
          <w:p w14:paraId="4E849E8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元/台</w:t>
            </w:r>
          </w:p>
        </w:tc>
        <w:tc>
          <w:tcPr>
            <w:tcW w:w="1396" w:type="dxa"/>
            <w:shd w:val="clear" w:color="auto" w:fill="auto"/>
            <w:noWrap/>
            <w:tcMar>
              <w:top w:w="10" w:type="dxa"/>
              <w:left w:w="10" w:type="dxa"/>
              <w:right w:w="10" w:type="dxa"/>
            </w:tcMar>
            <w:vAlign w:val="center"/>
          </w:tcPr>
          <w:p w14:paraId="2840349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4622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6B120DB">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77210C4">
            <w:pPr>
              <w:spacing w:line="240" w:lineRule="auto"/>
              <w:jc w:val="center"/>
              <w:rPr>
                <w:rFonts w:hint="eastAsia" w:ascii="宋体" w:hAnsi="宋体" w:eastAsia="宋体" w:cs="宋体"/>
                <w:i w:val="0"/>
                <w:color w:val="auto"/>
                <w:sz w:val="22"/>
                <w:szCs w:val="22"/>
                <w:highlight w:val="none"/>
                <w:u w:val="none"/>
              </w:rPr>
            </w:pPr>
          </w:p>
        </w:tc>
        <w:tc>
          <w:tcPr>
            <w:tcW w:w="1309" w:type="dxa"/>
            <w:shd w:val="clear" w:color="auto" w:fill="auto"/>
            <w:tcMar>
              <w:top w:w="10" w:type="dxa"/>
              <w:left w:w="10" w:type="dxa"/>
              <w:right w:w="10" w:type="dxa"/>
            </w:tcMar>
            <w:vAlign w:val="center"/>
          </w:tcPr>
          <w:p w14:paraId="6F94D11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GGH1/GGH2</w:t>
            </w:r>
          </w:p>
        </w:tc>
        <w:tc>
          <w:tcPr>
            <w:tcW w:w="2902" w:type="dxa"/>
            <w:gridSpan w:val="2"/>
            <w:shd w:val="clear" w:color="auto" w:fill="auto"/>
            <w:tcMar>
              <w:top w:w="10" w:type="dxa"/>
              <w:left w:w="10" w:type="dxa"/>
              <w:right w:w="10" w:type="dxa"/>
            </w:tcMar>
            <w:vAlign w:val="center"/>
          </w:tcPr>
          <w:p w14:paraId="188B3D47">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90</w:t>
            </w:r>
            <w:r>
              <w:rPr>
                <w:rFonts w:hint="eastAsia" w:ascii="宋体" w:hAnsi="宋体" w:eastAsia="宋体" w:cs="宋体"/>
                <w:i w:val="0"/>
                <w:color w:val="auto"/>
                <w:kern w:val="0"/>
                <w:sz w:val="22"/>
                <w:szCs w:val="22"/>
                <w:highlight w:val="none"/>
                <w:u w:val="none"/>
                <w:lang w:val="en-US" w:eastAsia="zh-CN" w:bidi="ar"/>
              </w:rPr>
              <w:t>.开人孔内部检查、清理积灰；</w:t>
            </w:r>
          </w:p>
        </w:tc>
        <w:tc>
          <w:tcPr>
            <w:tcW w:w="928" w:type="dxa"/>
            <w:shd w:val="clear" w:color="auto" w:fill="auto"/>
            <w:tcMar>
              <w:top w:w="10" w:type="dxa"/>
              <w:left w:w="10" w:type="dxa"/>
              <w:right w:w="10" w:type="dxa"/>
            </w:tcMar>
            <w:vAlign w:val="center"/>
          </w:tcPr>
          <w:p w14:paraId="051DB0D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4A9F76E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19E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783E8238">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6DF2CC2">
            <w:pPr>
              <w:spacing w:line="240" w:lineRule="auto"/>
              <w:jc w:val="center"/>
              <w:rPr>
                <w:rFonts w:hint="eastAsia" w:ascii="宋体" w:hAnsi="宋体" w:eastAsia="宋体" w:cs="宋体"/>
                <w:i w:val="0"/>
                <w:color w:val="auto"/>
                <w:sz w:val="22"/>
                <w:szCs w:val="22"/>
                <w:highlight w:val="none"/>
                <w:u w:val="none"/>
              </w:rPr>
            </w:pPr>
          </w:p>
        </w:tc>
        <w:tc>
          <w:tcPr>
            <w:tcW w:w="1309" w:type="dxa"/>
            <w:shd w:val="clear" w:color="auto" w:fill="auto"/>
            <w:tcMar>
              <w:top w:w="10" w:type="dxa"/>
              <w:left w:w="10" w:type="dxa"/>
              <w:right w:w="10" w:type="dxa"/>
            </w:tcMar>
            <w:vAlign w:val="center"/>
          </w:tcPr>
          <w:p w14:paraId="78EB459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SCR系统</w:t>
            </w:r>
          </w:p>
        </w:tc>
        <w:tc>
          <w:tcPr>
            <w:tcW w:w="2902" w:type="dxa"/>
            <w:gridSpan w:val="2"/>
            <w:shd w:val="clear" w:color="auto" w:fill="auto"/>
            <w:tcMar>
              <w:top w:w="10" w:type="dxa"/>
              <w:left w:w="10" w:type="dxa"/>
              <w:right w:w="10" w:type="dxa"/>
            </w:tcMar>
            <w:vAlign w:val="center"/>
          </w:tcPr>
          <w:p w14:paraId="34B9659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91</w:t>
            </w:r>
            <w:r>
              <w:rPr>
                <w:rFonts w:hint="eastAsia" w:ascii="宋体" w:hAnsi="宋体" w:eastAsia="宋体" w:cs="宋体"/>
                <w:i w:val="0"/>
                <w:color w:val="auto"/>
                <w:kern w:val="0"/>
                <w:sz w:val="22"/>
                <w:szCs w:val="22"/>
                <w:highlight w:val="none"/>
                <w:u w:val="none"/>
                <w:lang w:val="en-US" w:eastAsia="zh-CN" w:bidi="ar"/>
              </w:rPr>
              <w:t>.SCR设备系统开人孔检查、清理积灰检查。密封风机加热器检查维护、保养。</w:t>
            </w:r>
          </w:p>
        </w:tc>
        <w:tc>
          <w:tcPr>
            <w:tcW w:w="928" w:type="dxa"/>
            <w:shd w:val="clear" w:color="auto" w:fill="auto"/>
            <w:tcMar>
              <w:top w:w="10" w:type="dxa"/>
              <w:left w:w="10" w:type="dxa"/>
              <w:right w:w="10" w:type="dxa"/>
            </w:tcMar>
            <w:vAlign w:val="center"/>
          </w:tcPr>
          <w:p w14:paraId="20B525C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4496463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FAC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restart"/>
            <w:shd w:val="clear" w:color="auto" w:fill="auto"/>
            <w:noWrap/>
            <w:tcMar>
              <w:top w:w="10" w:type="dxa"/>
              <w:left w:w="10" w:type="dxa"/>
              <w:right w:w="10" w:type="dxa"/>
            </w:tcMar>
            <w:vAlign w:val="center"/>
          </w:tcPr>
          <w:p w14:paraId="53C88A0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四、</w:t>
            </w:r>
          </w:p>
        </w:tc>
        <w:tc>
          <w:tcPr>
            <w:tcW w:w="1300" w:type="dxa"/>
            <w:vMerge w:val="restart"/>
            <w:shd w:val="clear" w:color="auto" w:fill="auto"/>
            <w:tcMar>
              <w:top w:w="10" w:type="dxa"/>
              <w:left w:w="10" w:type="dxa"/>
              <w:right w:w="10" w:type="dxa"/>
            </w:tcMar>
            <w:vAlign w:val="center"/>
          </w:tcPr>
          <w:p w14:paraId="3967D53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烟风系统</w:t>
            </w:r>
          </w:p>
        </w:tc>
        <w:tc>
          <w:tcPr>
            <w:tcW w:w="1309" w:type="dxa"/>
            <w:shd w:val="clear" w:color="auto" w:fill="auto"/>
            <w:tcMar>
              <w:top w:w="10" w:type="dxa"/>
              <w:left w:w="10" w:type="dxa"/>
              <w:right w:w="10" w:type="dxa"/>
            </w:tcMar>
            <w:vAlign w:val="center"/>
          </w:tcPr>
          <w:p w14:paraId="774EF8D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其他</w:t>
            </w:r>
          </w:p>
        </w:tc>
        <w:tc>
          <w:tcPr>
            <w:tcW w:w="2902" w:type="dxa"/>
            <w:gridSpan w:val="2"/>
            <w:shd w:val="clear" w:color="auto" w:fill="auto"/>
            <w:tcMar>
              <w:top w:w="10" w:type="dxa"/>
              <w:left w:w="10" w:type="dxa"/>
              <w:right w:w="10" w:type="dxa"/>
            </w:tcMar>
            <w:vAlign w:val="center"/>
          </w:tcPr>
          <w:p w14:paraId="2D3E004C">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w:t>
            </w:r>
            <w:r>
              <w:rPr>
                <w:rFonts w:hint="eastAsia" w:ascii="宋体" w:hAnsi="宋体" w:cs="宋体"/>
                <w:i w:val="0"/>
                <w:color w:val="auto"/>
                <w:kern w:val="0"/>
                <w:sz w:val="22"/>
                <w:szCs w:val="22"/>
                <w:highlight w:val="none"/>
                <w:u w:val="none"/>
                <w:lang w:val="en-US" w:eastAsia="zh-CN" w:bidi="ar"/>
              </w:rPr>
              <w:t>2</w:t>
            </w:r>
            <w:r>
              <w:rPr>
                <w:rFonts w:hint="eastAsia" w:ascii="宋体" w:hAnsi="宋体" w:eastAsia="宋体" w:cs="宋体"/>
                <w:i w:val="0"/>
                <w:color w:val="auto"/>
                <w:kern w:val="0"/>
                <w:sz w:val="22"/>
                <w:szCs w:val="22"/>
                <w:highlight w:val="none"/>
                <w:u w:val="none"/>
                <w:lang w:val="en-US" w:eastAsia="zh-CN" w:bidi="ar"/>
              </w:rPr>
              <w:t>.烟风系统中所有跑冒滴漏处理；</w:t>
            </w:r>
          </w:p>
        </w:tc>
        <w:tc>
          <w:tcPr>
            <w:tcW w:w="928" w:type="dxa"/>
            <w:shd w:val="clear" w:color="auto" w:fill="auto"/>
            <w:tcMar>
              <w:top w:w="10" w:type="dxa"/>
              <w:left w:w="10" w:type="dxa"/>
              <w:right w:w="10" w:type="dxa"/>
            </w:tcMar>
            <w:vAlign w:val="center"/>
          </w:tcPr>
          <w:p w14:paraId="1B6EC4B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4599C36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535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0CB594C6">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627C30F1">
            <w:pPr>
              <w:spacing w:line="240" w:lineRule="auto"/>
              <w:jc w:val="center"/>
              <w:rPr>
                <w:rFonts w:hint="eastAsia" w:ascii="宋体" w:hAnsi="宋体" w:eastAsia="宋体" w:cs="宋体"/>
                <w:i w:val="0"/>
                <w:color w:val="auto"/>
                <w:sz w:val="22"/>
                <w:szCs w:val="22"/>
                <w:highlight w:val="none"/>
                <w:u w:val="none"/>
              </w:rPr>
            </w:pPr>
          </w:p>
        </w:tc>
        <w:tc>
          <w:tcPr>
            <w:tcW w:w="1309" w:type="dxa"/>
            <w:vMerge w:val="restart"/>
            <w:shd w:val="clear" w:color="auto" w:fill="auto"/>
            <w:tcMar>
              <w:top w:w="10" w:type="dxa"/>
              <w:left w:w="10" w:type="dxa"/>
              <w:right w:w="10" w:type="dxa"/>
            </w:tcMar>
            <w:vAlign w:val="center"/>
          </w:tcPr>
          <w:p w14:paraId="7EDF25C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各类风机</w:t>
            </w:r>
          </w:p>
        </w:tc>
        <w:tc>
          <w:tcPr>
            <w:tcW w:w="2902" w:type="dxa"/>
            <w:gridSpan w:val="2"/>
            <w:shd w:val="clear" w:color="auto" w:fill="auto"/>
            <w:tcMar>
              <w:top w:w="10" w:type="dxa"/>
              <w:left w:w="10" w:type="dxa"/>
              <w:right w:w="10" w:type="dxa"/>
            </w:tcMar>
            <w:vAlign w:val="center"/>
          </w:tcPr>
          <w:p w14:paraId="3320B949">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w:t>
            </w:r>
            <w:r>
              <w:rPr>
                <w:rFonts w:hint="eastAsia" w:ascii="宋体" w:hAnsi="宋体" w:cs="宋体"/>
                <w:i w:val="0"/>
                <w:color w:val="auto"/>
                <w:kern w:val="0"/>
                <w:sz w:val="22"/>
                <w:szCs w:val="22"/>
                <w:highlight w:val="none"/>
                <w:u w:val="none"/>
                <w:lang w:val="en-US" w:eastAsia="zh-CN" w:bidi="ar"/>
              </w:rPr>
              <w:t>3</w:t>
            </w:r>
            <w:r>
              <w:rPr>
                <w:rFonts w:hint="eastAsia" w:ascii="宋体" w:hAnsi="宋体" w:eastAsia="宋体" w:cs="宋体"/>
                <w:i w:val="0"/>
                <w:color w:val="auto"/>
                <w:kern w:val="0"/>
                <w:sz w:val="22"/>
                <w:szCs w:val="22"/>
                <w:highlight w:val="none"/>
                <w:u w:val="none"/>
                <w:lang w:val="en-US" w:eastAsia="zh-CN" w:bidi="ar"/>
              </w:rPr>
              <w:t>.靠背轮中心复查并重新调整；</w:t>
            </w:r>
          </w:p>
        </w:tc>
        <w:tc>
          <w:tcPr>
            <w:tcW w:w="928" w:type="dxa"/>
            <w:shd w:val="clear" w:color="auto" w:fill="auto"/>
            <w:noWrap/>
            <w:tcMar>
              <w:top w:w="10" w:type="dxa"/>
              <w:left w:w="10" w:type="dxa"/>
              <w:right w:w="10" w:type="dxa"/>
            </w:tcMar>
            <w:vAlign w:val="center"/>
          </w:tcPr>
          <w:p w14:paraId="27C400E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元/台</w:t>
            </w:r>
          </w:p>
        </w:tc>
        <w:tc>
          <w:tcPr>
            <w:tcW w:w="1396" w:type="dxa"/>
            <w:shd w:val="clear" w:color="auto" w:fill="auto"/>
            <w:noWrap/>
            <w:tcMar>
              <w:top w:w="10" w:type="dxa"/>
              <w:left w:w="10" w:type="dxa"/>
              <w:right w:w="10" w:type="dxa"/>
            </w:tcMar>
            <w:vAlign w:val="center"/>
          </w:tcPr>
          <w:p w14:paraId="38304DE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7D6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08B36AB">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FFE9EC0">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09B8DBF1">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7D76E23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w:t>
            </w:r>
            <w:r>
              <w:rPr>
                <w:rFonts w:hint="eastAsia" w:ascii="宋体" w:hAnsi="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.各类风机更换主轴承（引风机除外）；</w:t>
            </w:r>
          </w:p>
        </w:tc>
        <w:tc>
          <w:tcPr>
            <w:tcW w:w="928" w:type="dxa"/>
            <w:shd w:val="clear" w:color="auto" w:fill="auto"/>
            <w:noWrap/>
            <w:tcMar>
              <w:top w:w="10" w:type="dxa"/>
              <w:left w:w="10" w:type="dxa"/>
              <w:right w:w="10" w:type="dxa"/>
            </w:tcMar>
            <w:vAlign w:val="center"/>
          </w:tcPr>
          <w:p w14:paraId="337E1E4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元/台</w:t>
            </w:r>
          </w:p>
        </w:tc>
        <w:tc>
          <w:tcPr>
            <w:tcW w:w="1396" w:type="dxa"/>
            <w:shd w:val="clear" w:color="auto" w:fill="auto"/>
            <w:noWrap/>
            <w:tcMar>
              <w:top w:w="10" w:type="dxa"/>
              <w:left w:w="10" w:type="dxa"/>
              <w:right w:w="10" w:type="dxa"/>
            </w:tcMar>
            <w:vAlign w:val="center"/>
          </w:tcPr>
          <w:p w14:paraId="1FEC20F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B20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1E60B4F1">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C5050D9">
            <w:pPr>
              <w:spacing w:line="240" w:lineRule="auto"/>
              <w:jc w:val="center"/>
              <w:rPr>
                <w:rFonts w:hint="eastAsia" w:ascii="宋体" w:hAnsi="宋体" w:eastAsia="宋体" w:cs="宋体"/>
                <w:i w:val="0"/>
                <w:color w:val="auto"/>
                <w:sz w:val="22"/>
                <w:szCs w:val="22"/>
                <w:highlight w:val="none"/>
                <w:u w:val="none"/>
              </w:rPr>
            </w:pPr>
          </w:p>
        </w:tc>
        <w:tc>
          <w:tcPr>
            <w:tcW w:w="1309" w:type="dxa"/>
            <w:vMerge w:val="continue"/>
            <w:shd w:val="clear" w:color="auto" w:fill="auto"/>
            <w:tcMar>
              <w:top w:w="10" w:type="dxa"/>
              <w:left w:w="10" w:type="dxa"/>
              <w:right w:w="10" w:type="dxa"/>
            </w:tcMar>
            <w:vAlign w:val="center"/>
          </w:tcPr>
          <w:p w14:paraId="6E390996">
            <w:pPr>
              <w:spacing w:line="240" w:lineRule="auto"/>
              <w:jc w:val="center"/>
              <w:rPr>
                <w:rFonts w:hint="eastAsia" w:ascii="宋体" w:hAnsi="宋体" w:eastAsia="宋体" w:cs="宋体"/>
                <w:i w:val="0"/>
                <w:color w:val="auto"/>
                <w:sz w:val="22"/>
                <w:szCs w:val="22"/>
                <w:highlight w:val="none"/>
                <w:u w:val="none"/>
              </w:rPr>
            </w:pPr>
          </w:p>
        </w:tc>
        <w:tc>
          <w:tcPr>
            <w:tcW w:w="2902" w:type="dxa"/>
            <w:gridSpan w:val="2"/>
            <w:shd w:val="clear" w:color="auto" w:fill="auto"/>
            <w:tcMar>
              <w:top w:w="10" w:type="dxa"/>
              <w:left w:w="10" w:type="dxa"/>
              <w:right w:w="10" w:type="dxa"/>
            </w:tcMar>
            <w:vAlign w:val="center"/>
          </w:tcPr>
          <w:p w14:paraId="06F6A19D">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w:t>
            </w:r>
            <w:r>
              <w:rPr>
                <w:rFonts w:hint="eastAsia" w:ascii="宋体" w:hAnsi="宋体" w:cs="宋体"/>
                <w:i w:val="0"/>
                <w:color w:val="auto"/>
                <w:kern w:val="0"/>
                <w:sz w:val="22"/>
                <w:szCs w:val="22"/>
                <w:highlight w:val="none"/>
                <w:u w:val="none"/>
                <w:lang w:val="en-US" w:eastAsia="zh-CN" w:bidi="ar"/>
              </w:rPr>
              <w:t>5</w:t>
            </w:r>
            <w:r>
              <w:rPr>
                <w:rFonts w:hint="eastAsia" w:ascii="宋体" w:hAnsi="宋体" w:eastAsia="宋体" w:cs="宋体"/>
                <w:i w:val="0"/>
                <w:color w:val="auto"/>
                <w:kern w:val="0"/>
                <w:sz w:val="22"/>
                <w:szCs w:val="22"/>
                <w:highlight w:val="none"/>
                <w:u w:val="none"/>
                <w:lang w:val="en-US" w:eastAsia="zh-CN" w:bidi="ar"/>
              </w:rPr>
              <w:t>.引风机更换主轴承；</w:t>
            </w:r>
          </w:p>
        </w:tc>
        <w:tc>
          <w:tcPr>
            <w:tcW w:w="928" w:type="dxa"/>
            <w:shd w:val="clear" w:color="auto" w:fill="auto"/>
            <w:noWrap/>
            <w:tcMar>
              <w:top w:w="10" w:type="dxa"/>
              <w:left w:w="10" w:type="dxa"/>
              <w:right w:w="10" w:type="dxa"/>
            </w:tcMar>
            <w:vAlign w:val="center"/>
          </w:tcPr>
          <w:p w14:paraId="16E7315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元/台</w:t>
            </w:r>
          </w:p>
        </w:tc>
        <w:tc>
          <w:tcPr>
            <w:tcW w:w="1396" w:type="dxa"/>
            <w:shd w:val="clear" w:color="auto" w:fill="auto"/>
            <w:noWrap/>
            <w:tcMar>
              <w:top w:w="10" w:type="dxa"/>
              <w:left w:w="10" w:type="dxa"/>
              <w:right w:w="10" w:type="dxa"/>
            </w:tcMar>
            <w:vAlign w:val="center"/>
          </w:tcPr>
          <w:p w14:paraId="41ECBEE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2701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restart"/>
            <w:shd w:val="clear" w:color="auto" w:fill="auto"/>
            <w:noWrap/>
            <w:tcMar>
              <w:top w:w="10" w:type="dxa"/>
              <w:left w:w="10" w:type="dxa"/>
              <w:right w:w="10" w:type="dxa"/>
            </w:tcMar>
            <w:vAlign w:val="center"/>
          </w:tcPr>
          <w:p w14:paraId="25E6F50C">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五、</w:t>
            </w:r>
          </w:p>
        </w:tc>
        <w:tc>
          <w:tcPr>
            <w:tcW w:w="1300" w:type="dxa"/>
            <w:vMerge w:val="restart"/>
            <w:shd w:val="clear" w:color="auto" w:fill="auto"/>
            <w:tcMar>
              <w:top w:w="10" w:type="dxa"/>
              <w:left w:w="10" w:type="dxa"/>
              <w:right w:w="10" w:type="dxa"/>
            </w:tcMar>
            <w:vAlign w:val="center"/>
          </w:tcPr>
          <w:p w14:paraId="083C58A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保温防腐</w:t>
            </w:r>
          </w:p>
        </w:tc>
        <w:tc>
          <w:tcPr>
            <w:tcW w:w="1309" w:type="dxa"/>
            <w:shd w:val="clear" w:color="auto" w:fill="auto"/>
            <w:tcMar>
              <w:top w:w="10" w:type="dxa"/>
              <w:left w:w="10" w:type="dxa"/>
              <w:right w:w="10" w:type="dxa"/>
            </w:tcMar>
            <w:vAlign w:val="center"/>
          </w:tcPr>
          <w:p w14:paraId="283CCDF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修补保温</w:t>
            </w:r>
          </w:p>
        </w:tc>
        <w:tc>
          <w:tcPr>
            <w:tcW w:w="2902" w:type="dxa"/>
            <w:gridSpan w:val="2"/>
            <w:shd w:val="clear" w:color="auto" w:fill="auto"/>
            <w:tcMar>
              <w:top w:w="10" w:type="dxa"/>
              <w:left w:w="10" w:type="dxa"/>
              <w:right w:w="10" w:type="dxa"/>
            </w:tcMar>
            <w:vAlign w:val="center"/>
          </w:tcPr>
          <w:p w14:paraId="5E250892">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w:t>
            </w:r>
            <w:r>
              <w:rPr>
                <w:rFonts w:hint="eastAsia" w:ascii="宋体" w:hAnsi="宋体" w:cs="宋体"/>
                <w:i w:val="0"/>
                <w:color w:val="auto"/>
                <w:kern w:val="0"/>
                <w:sz w:val="22"/>
                <w:szCs w:val="22"/>
                <w:highlight w:val="none"/>
                <w:u w:val="none"/>
                <w:lang w:val="en-US" w:eastAsia="zh-CN" w:bidi="ar"/>
              </w:rPr>
              <w:t>6</w:t>
            </w:r>
            <w:r>
              <w:rPr>
                <w:rFonts w:hint="eastAsia" w:ascii="宋体" w:hAnsi="宋体" w:eastAsia="宋体" w:cs="宋体"/>
                <w:i w:val="0"/>
                <w:color w:val="auto"/>
                <w:kern w:val="0"/>
                <w:sz w:val="22"/>
                <w:szCs w:val="22"/>
                <w:highlight w:val="none"/>
                <w:u w:val="none"/>
                <w:lang w:val="en-US" w:eastAsia="zh-CN" w:bidi="ar"/>
              </w:rPr>
              <w:t>.修补保温；</w:t>
            </w:r>
          </w:p>
        </w:tc>
        <w:tc>
          <w:tcPr>
            <w:tcW w:w="928" w:type="dxa"/>
            <w:shd w:val="clear" w:color="auto" w:fill="auto"/>
            <w:noWrap/>
            <w:tcMar>
              <w:top w:w="10" w:type="dxa"/>
              <w:left w:w="10" w:type="dxa"/>
              <w:right w:w="10" w:type="dxa"/>
            </w:tcMar>
            <w:vAlign w:val="center"/>
          </w:tcPr>
          <w:p w14:paraId="2D538F2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w:t>
            </w:r>
          </w:p>
        </w:tc>
        <w:tc>
          <w:tcPr>
            <w:tcW w:w="1396" w:type="dxa"/>
            <w:shd w:val="clear" w:color="auto" w:fill="auto"/>
            <w:noWrap/>
            <w:tcMar>
              <w:top w:w="10" w:type="dxa"/>
              <w:left w:w="10" w:type="dxa"/>
              <w:right w:w="10" w:type="dxa"/>
            </w:tcMar>
            <w:vAlign w:val="center"/>
          </w:tcPr>
          <w:p w14:paraId="330C479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08F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5FAFFFD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383D6122">
            <w:pPr>
              <w:spacing w:line="240" w:lineRule="auto"/>
              <w:jc w:val="center"/>
              <w:rPr>
                <w:rFonts w:hint="eastAsia" w:ascii="宋体" w:hAnsi="宋体" w:eastAsia="宋体" w:cs="宋体"/>
                <w:i w:val="0"/>
                <w:color w:val="auto"/>
                <w:sz w:val="22"/>
                <w:szCs w:val="22"/>
                <w:highlight w:val="none"/>
                <w:u w:val="none"/>
              </w:rPr>
            </w:pPr>
          </w:p>
        </w:tc>
        <w:tc>
          <w:tcPr>
            <w:tcW w:w="1309" w:type="dxa"/>
            <w:shd w:val="clear" w:color="auto" w:fill="auto"/>
            <w:tcMar>
              <w:top w:w="10" w:type="dxa"/>
              <w:left w:w="10" w:type="dxa"/>
              <w:right w:w="10" w:type="dxa"/>
            </w:tcMar>
            <w:vAlign w:val="center"/>
          </w:tcPr>
          <w:p w14:paraId="036F941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补刷残缺油漆</w:t>
            </w:r>
          </w:p>
        </w:tc>
        <w:tc>
          <w:tcPr>
            <w:tcW w:w="2902" w:type="dxa"/>
            <w:gridSpan w:val="2"/>
            <w:shd w:val="clear" w:color="auto" w:fill="auto"/>
            <w:tcMar>
              <w:top w:w="10" w:type="dxa"/>
              <w:left w:w="10" w:type="dxa"/>
              <w:right w:w="10" w:type="dxa"/>
            </w:tcMar>
            <w:vAlign w:val="center"/>
          </w:tcPr>
          <w:p w14:paraId="44ED593B">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w:t>
            </w:r>
            <w:r>
              <w:rPr>
                <w:rFonts w:hint="eastAsia" w:ascii="宋体" w:hAnsi="宋体" w:cs="宋体"/>
                <w:i w:val="0"/>
                <w:color w:val="auto"/>
                <w:kern w:val="0"/>
                <w:sz w:val="22"/>
                <w:szCs w:val="22"/>
                <w:highlight w:val="none"/>
                <w:u w:val="none"/>
                <w:lang w:val="en-US" w:eastAsia="zh-CN" w:bidi="ar"/>
              </w:rPr>
              <w:t>7</w:t>
            </w:r>
            <w:r>
              <w:rPr>
                <w:rFonts w:hint="eastAsia" w:ascii="宋体" w:hAnsi="宋体" w:eastAsia="宋体" w:cs="宋体"/>
                <w:i w:val="0"/>
                <w:color w:val="auto"/>
                <w:kern w:val="0"/>
                <w:sz w:val="22"/>
                <w:szCs w:val="22"/>
                <w:highlight w:val="none"/>
                <w:u w:val="none"/>
                <w:lang w:val="en-US" w:eastAsia="zh-CN" w:bidi="ar"/>
              </w:rPr>
              <w:t>.补刷残缺油漆；</w:t>
            </w:r>
          </w:p>
        </w:tc>
        <w:tc>
          <w:tcPr>
            <w:tcW w:w="928" w:type="dxa"/>
            <w:shd w:val="clear" w:color="auto" w:fill="auto"/>
            <w:noWrap/>
            <w:tcMar>
              <w:top w:w="10" w:type="dxa"/>
              <w:left w:w="10" w:type="dxa"/>
              <w:right w:w="10" w:type="dxa"/>
            </w:tcMar>
            <w:vAlign w:val="center"/>
          </w:tcPr>
          <w:p w14:paraId="4C7ABCA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w:t>
            </w:r>
          </w:p>
        </w:tc>
        <w:tc>
          <w:tcPr>
            <w:tcW w:w="1396" w:type="dxa"/>
            <w:shd w:val="clear" w:color="auto" w:fill="auto"/>
            <w:noWrap/>
            <w:tcMar>
              <w:top w:w="10" w:type="dxa"/>
              <w:left w:w="10" w:type="dxa"/>
              <w:right w:w="10" w:type="dxa"/>
            </w:tcMar>
            <w:vAlign w:val="center"/>
          </w:tcPr>
          <w:p w14:paraId="40C48D43">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3967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shd w:val="clear" w:color="auto" w:fill="auto"/>
            <w:noWrap/>
            <w:tcMar>
              <w:top w:w="10" w:type="dxa"/>
              <w:left w:w="10" w:type="dxa"/>
              <w:right w:w="10" w:type="dxa"/>
            </w:tcMar>
            <w:vAlign w:val="center"/>
          </w:tcPr>
          <w:p w14:paraId="6F76986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六、</w:t>
            </w:r>
          </w:p>
        </w:tc>
        <w:tc>
          <w:tcPr>
            <w:tcW w:w="1300" w:type="dxa"/>
            <w:shd w:val="clear" w:color="auto" w:fill="auto"/>
            <w:tcMar>
              <w:top w:w="10" w:type="dxa"/>
              <w:left w:w="10" w:type="dxa"/>
              <w:right w:w="10" w:type="dxa"/>
            </w:tcMar>
            <w:vAlign w:val="center"/>
          </w:tcPr>
          <w:p w14:paraId="775010F6">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检查门</w:t>
            </w:r>
          </w:p>
        </w:tc>
        <w:tc>
          <w:tcPr>
            <w:tcW w:w="1309" w:type="dxa"/>
            <w:shd w:val="clear" w:color="auto" w:fill="auto"/>
            <w:tcMar>
              <w:top w:w="10" w:type="dxa"/>
              <w:left w:w="10" w:type="dxa"/>
              <w:right w:w="10" w:type="dxa"/>
            </w:tcMar>
            <w:vAlign w:val="center"/>
          </w:tcPr>
          <w:p w14:paraId="59704BF5">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腐蚀严重的门类更换或修复，按实际发生结算</w:t>
            </w:r>
          </w:p>
        </w:tc>
        <w:tc>
          <w:tcPr>
            <w:tcW w:w="2902" w:type="dxa"/>
            <w:gridSpan w:val="2"/>
            <w:shd w:val="clear" w:color="auto" w:fill="auto"/>
            <w:tcMar>
              <w:top w:w="10" w:type="dxa"/>
              <w:left w:w="10" w:type="dxa"/>
              <w:right w:w="10" w:type="dxa"/>
            </w:tcMar>
            <w:vAlign w:val="center"/>
          </w:tcPr>
          <w:p w14:paraId="7A809FC3">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w:t>
            </w:r>
            <w:r>
              <w:rPr>
                <w:rFonts w:hint="eastAsia" w:ascii="宋体" w:hAnsi="宋体" w:cs="宋体"/>
                <w:i w:val="0"/>
                <w:color w:val="auto"/>
                <w:kern w:val="0"/>
                <w:sz w:val="22"/>
                <w:szCs w:val="22"/>
                <w:highlight w:val="none"/>
                <w:u w:val="none"/>
                <w:lang w:val="en-US" w:eastAsia="zh-CN" w:bidi="ar"/>
              </w:rPr>
              <w:t>8</w:t>
            </w:r>
            <w:r>
              <w:rPr>
                <w:rFonts w:hint="eastAsia" w:ascii="宋体" w:hAnsi="宋体" w:eastAsia="宋体" w:cs="宋体"/>
                <w:i w:val="0"/>
                <w:color w:val="auto"/>
                <w:kern w:val="0"/>
                <w:sz w:val="22"/>
                <w:szCs w:val="22"/>
                <w:highlight w:val="none"/>
                <w:u w:val="none"/>
                <w:lang w:val="en-US" w:eastAsia="zh-CN" w:bidi="ar"/>
              </w:rPr>
              <w:t>.腐蚀严重的门类更换或修复，按实际发生结算；</w:t>
            </w:r>
          </w:p>
        </w:tc>
        <w:tc>
          <w:tcPr>
            <w:tcW w:w="928" w:type="dxa"/>
            <w:shd w:val="clear" w:color="auto" w:fill="auto"/>
            <w:noWrap/>
            <w:tcMar>
              <w:top w:w="10" w:type="dxa"/>
              <w:left w:w="10" w:type="dxa"/>
              <w:right w:w="10" w:type="dxa"/>
            </w:tcMar>
            <w:vAlign w:val="center"/>
          </w:tcPr>
          <w:p w14:paraId="7164686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元/扇门</w:t>
            </w:r>
          </w:p>
        </w:tc>
        <w:tc>
          <w:tcPr>
            <w:tcW w:w="1396" w:type="dxa"/>
            <w:shd w:val="clear" w:color="auto" w:fill="auto"/>
            <w:noWrap/>
            <w:tcMar>
              <w:top w:w="10" w:type="dxa"/>
              <w:left w:w="10" w:type="dxa"/>
              <w:right w:w="10" w:type="dxa"/>
            </w:tcMar>
            <w:vAlign w:val="center"/>
          </w:tcPr>
          <w:p w14:paraId="41EE031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D7F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restart"/>
            <w:shd w:val="clear" w:color="auto" w:fill="auto"/>
            <w:noWrap/>
            <w:tcMar>
              <w:top w:w="10" w:type="dxa"/>
              <w:left w:w="10" w:type="dxa"/>
              <w:right w:w="10" w:type="dxa"/>
            </w:tcMar>
            <w:vAlign w:val="center"/>
          </w:tcPr>
          <w:p w14:paraId="631891BB">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七、</w:t>
            </w:r>
          </w:p>
        </w:tc>
        <w:tc>
          <w:tcPr>
            <w:tcW w:w="1300" w:type="dxa"/>
            <w:vMerge w:val="restart"/>
            <w:shd w:val="clear" w:color="auto" w:fill="auto"/>
            <w:tcMar>
              <w:top w:w="10" w:type="dxa"/>
              <w:left w:w="10" w:type="dxa"/>
              <w:right w:w="10" w:type="dxa"/>
            </w:tcMar>
            <w:vAlign w:val="center"/>
          </w:tcPr>
          <w:p w14:paraId="1D6243C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清灰及放灰</w:t>
            </w:r>
          </w:p>
        </w:tc>
        <w:tc>
          <w:tcPr>
            <w:tcW w:w="1309" w:type="dxa"/>
            <w:shd w:val="clear" w:color="auto" w:fill="auto"/>
            <w:tcMar>
              <w:top w:w="10" w:type="dxa"/>
              <w:left w:w="10" w:type="dxa"/>
              <w:right w:w="10" w:type="dxa"/>
            </w:tcMar>
            <w:vAlign w:val="center"/>
          </w:tcPr>
          <w:p w14:paraId="72A80A5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受热面清灰</w:t>
            </w:r>
          </w:p>
        </w:tc>
        <w:tc>
          <w:tcPr>
            <w:tcW w:w="2902" w:type="dxa"/>
            <w:gridSpan w:val="2"/>
            <w:shd w:val="clear" w:color="auto" w:fill="auto"/>
            <w:tcMar>
              <w:top w:w="10" w:type="dxa"/>
              <w:left w:w="10" w:type="dxa"/>
              <w:right w:w="10" w:type="dxa"/>
            </w:tcMar>
            <w:vAlign w:val="center"/>
          </w:tcPr>
          <w:p w14:paraId="419DA9EF">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lang w:val="en-US"/>
              </w:rPr>
            </w:pPr>
            <w:r>
              <w:rPr>
                <w:rFonts w:hint="eastAsia" w:ascii="宋体" w:hAnsi="宋体" w:eastAsia="宋体" w:cs="宋体"/>
                <w:i w:val="0"/>
                <w:color w:val="auto"/>
                <w:kern w:val="0"/>
                <w:sz w:val="22"/>
                <w:szCs w:val="22"/>
                <w:highlight w:val="none"/>
                <w:u w:val="none"/>
                <w:lang w:val="en-US" w:eastAsia="zh-CN" w:bidi="ar"/>
              </w:rPr>
              <w:t>9</w:t>
            </w:r>
            <w:r>
              <w:rPr>
                <w:rFonts w:hint="eastAsia" w:ascii="宋体" w:hAnsi="宋体" w:cs="宋体"/>
                <w:i w:val="0"/>
                <w:color w:val="auto"/>
                <w:kern w:val="0"/>
                <w:sz w:val="22"/>
                <w:szCs w:val="22"/>
                <w:highlight w:val="none"/>
                <w:u w:val="none"/>
                <w:lang w:val="en-US" w:eastAsia="zh-CN" w:bidi="ar"/>
              </w:rPr>
              <w:t>9</w:t>
            </w:r>
            <w:r>
              <w:rPr>
                <w:rFonts w:hint="eastAsia" w:ascii="宋体" w:hAnsi="宋体" w:eastAsia="宋体" w:cs="宋体"/>
                <w:i w:val="0"/>
                <w:color w:val="auto"/>
                <w:kern w:val="0"/>
                <w:sz w:val="22"/>
                <w:szCs w:val="22"/>
                <w:highlight w:val="none"/>
                <w:u w:val="none"/>
                <w:lang w:val="en-US" w:eastAsia="zh-CN" w:bidi="ar"/>
              </w:rPr>
              <w:t>.受热面（1、2、3烟道，水平烟道、空预器）清灰及放灰；一通道</w:t>
            </w:r>
            <w:r>
              <w:rPr>
                <w:rFonts w:hint="eastAsia" w:ascii="宋体" w:hAnsi="宋体" w:cs="宋体"/>
                <w:i w:val="0"/>
                <w:color w:val="auto"/>
                <w:kern w:val="0"/>
                <w:sz w:val="22"/>
                <w:szCs w:val="22"/>
                <w:highlight w:val="none"/>
                <w:u w:val="none"/>
                <w:lang w:val="en-US" w:eastAsia="zh-CN" w:bidi="ar"/>
              </w:rPr>
              <w:t>具备机械清焦作业设备及能力</w:t>
            </w:r>
            <w:r>
              <w:rPr>
                <w:rFonts w:hint="eastAsia" w:ascii="宋体" w:hAnsi="宋体" w:cs="宋体"/>
                <w:i w:val="0"/>
                <w:color w:val="auto"/>
                <w:kern w:val="0"/>
                <w:sz w:val="21"/>
                <w:szCs w:val="21"/>
                <w:highlight w:val="none"/>
                <w:u w:val="none"/>
                <w:lang w:val="en-US" w:eastAsia="zh-CN" w:bidi="ar"/>
              </w:rPr>
              <w:t>（按甲方指令选择清焦方式）</w:t>
            </w:r>
            <w:r>
              <w:rPr>
                <w:rFonts w:hint="eastAsia" w:ascii="宋体" w:hAnsi="宋体" w:eastAsia="宋体" w:cs="宋体"/>
                <w:i w:val="0"/>
                <w:color w:val="auto"/>
                <w:kern w:val="0"/>
                <w:sz w:val="22"/>
                <w:szCs w:val="22"/>
                <w:highlight w:val="none"/>
                <w:u w:val="none"/>
                <w:lang w:val="en-US" w:eastAsia="zh-CN" w:bidi="ar"/>
              </w:rPr>
              <w:t>。</w:t>
            </w:r>
          </w:p>
        </w:tc>
        <w:tc>
          <w:tcPr>
            <w:tcW w:w="928" w:type="dxa"/>
            <w:shd w:val="clear" w:color="auto" w:fill="auto"/>
            <w:noWrap/>
            <w:tcMar>
              <w:top w:w="10" w:type="dxa"/>
              <w:left w:w="10" w:type="dxa"/>
              <w:right w:w="10" w:type="dxa"/>
            </w:tcMar>
            <w:vAlign w:val="center"/>
          </w:tcPr>
          <w:p w14:paraId="5B67EA81">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元/烟道</w:t>
            </w:r>
          </w:p>
        </w:tc>
        <w:tc>
          <w:tcPr>
            <w:tcW w:w="1396" w:type="dxa"/>
            <w:shd w:val="clear" w:color="auto" w:fill="auto"/>
            <w:noWrap/>
            <w:tcMar>
              <w:top w:w="10" w:type="dxa"/>
              <w:left w:w="10" w:type="dxa"/>
              <w:right w:w="10" w:type="dxa"/>
            </w:tcMar>
            <w:vAlign w:val="center"/>
          </w:tcPr>
          <w:p w14:paraId="54A5717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1EC4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trPr>
        <w:tc>
          <w:tcPr>
            <w:tcW w:w="491" w:type="dxa"/>
            <w:vMerge w:val="continue"/>
            <w:shd w:val="clear" w:color="auto" w:fill="auto"/>
            <w:noWrap/>
            <w:tcMar>
              <w:top w:w="10" w:type="dxa"/>
              <w:left w:w="10" w:type="dxa"/>
              <w:right w:w="10" w:type="dxa"/>
            </w:tcMar>
            <w:vAlign w:val="center"/>
          </w:tcPr>
          <w:p w14:paraId="25A81F1A">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2DC1A767">
            <w:pPr>
              <w:spacing w:line="240" w:lineRule="auto"/>
              <w:jc w:val="center"/>
              <w:rPr>
                <w:rFonts w:hint="eastAsia" w:ascii="宋体" w:hAnsi="宋体" w:eastAsia="宋体" w:cs="宋体"/>
                <w:i w:val="0"/>
                <w:color w:val="auto"/>
                <w:sz w:val="22"/>
                <w:szCs w:val="22"/>
                <w:highlight w:val="none"/>
                <w:u w:val="none"/>
              </w:rPr>
            </w:pPr>
          </w:p>
        </w:tc>
        <w:tc>
          <w:tcPr>
            <w:tcW w:w="1309" w:type="dxa"/>
            <w:shd w:val="clear" w:color="auto" w:fill="auto"/>
            <w:tcMar>
              <w:top w:w="10" w:type="dxa"/>
              <w:left w:w="10" w:type="dxa"/>
              <w:right w:w="10" w:type="dxa"/>
            </w:tcMar>
            <w:vAlign w:val="center"/>
          </w:tcPr>
          <w:p w14:paraId="5F12097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受热面喷砂</w:t>
            </w:r>
          </w:p>
        </w:tc>
        <w:tc>
          <w:tcPr>
            <w:tcW w:w="2902" w:type="dxa"/>
            <w:gridSpan w:val="2"/>
            <w:shd w:val="clear" w:color="auto" w:fill="auto"/>
            <w:tcMar>
              <w:top w:w="10" w:type="dxa"/>
              <w:left w:w="10" w:type="dxa"/>
              <w:right w:w="10" w:type="dxa"/>
            </w:tcMar>
            <w:vAlign w:val="center"/>
          </w:tcPr>
          <w:p w14:paraId="2EB252E8">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100</w:t>
            </w:r>
            <w:r>
              <w:rPr>
                <w:rFonts w:hint="eastAsia" w:ascii="宋体" w:hAnsi="宋体" w:eastAsia="宋体" w:cs="宋体"/>
                <w:i w:val="0"/>
                <w:color w:val="auto"/>
                <w:kern w:val="0"/>
                <w:sz w:val="22"/>
                <w:szCs w:val="22"/>
                <w:highlight w:val="none"/>
                <w:u w:val="none"/>
                <w:lang w:val="en-US" w:eastAsia="zh-CN" w:bidi="ar"/>
              </w:rPr>
              <w:t>.受热面（1、2、3烟道，水平烟道、空预器）喷砂；</w:t>
            </w:r>
          </w:p>
        </w:tc>
        <w:tc>
          <w:tcPr>
            <w:tcW w:w="928" w:type="dxa"/>
            <w:shd w:val="clear" w:color="auto" w:fill="auto"/>
            <w:noWrap/>
            <w:tcMar>
              <w:top w:w="10" w:type="dxa"/>
              <w:left w:w="10" w:type="dxa"/>
              <w:right w:w="10" w:type="dxa"/>
            </w:tcMar>
            <w:vAlign w:val="center"/>
          </w:tcPr>
          <w:p w14:paraId="58628A3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元/烟道</w:t>
            </w:r>
          </w:p>
        </w:tc>
        <w:tc>
          <w:tcPr>
            <w:tcW w:w="1396" w:type="dxa"/>
            <w:shd w:val="clear" w:color="auto" w:fill="auto"/>
            <w:noWrap/>
            <w:tcMar>
              <w:top w:w="10" w:type="dxa"/>
              <w:left w:w="10" w:type="dxa"/>
              <w:right w:w="10" w:type="dxa"/>
            </w:tcMar>
            <w:vAlign w:val="center"/>
          </w:tcPr>
          <w:p w14:paraId="44EC0DED">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6F4A8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786F9960">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03173106">
            <w:pPr>
              <w:spacing w:line="240" w:lineRule="auto"/>
              <w:jc w:val="center"/>
              <w:rPr>
                <w:rFonts w:hint="eastAsia" w:ascii="宋体" w:hAnsi="宋体" w:eastAsia="宋体" w:cs="宋体"/>
                <w:i w:val="0"/>
                <w:color w:val="auto"/>
                <w:sz w:val="22"/>
                <w:szCs w:val="22"/>
                <w:highlight w:val="none"/>
                <w:u w:val="none"/>
              </w:rPr>
            </w:pPr>
          </w:p>
        </w:tc>
        <w:tc>
          <w:tcPr>
            <w:tcW w:w="1309" w:type="dxa"/>
            <w:shd w:val="clear" w:color="auto" w:fill="auto"/>
            <w:tcMar>
              <w:top w:w="10" w:type="dxa"/>
              <w:left w:w="10" w:type="dxa"/>
              <w:right w:w="10" w:type="dxa"/>
            </w:tcMar>
            <w:vAlign w:val="center"/>
          </w:tcPr>
          <w:p w14:paraId="5FF8EA9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反应塔锥斗、破碎机清灰及放灰</w:t>
            </w:r>
          </w:p>
        </w:tc>
        <w:tc>
          <w:tcPr>
            <w:tcW w:w="2902" w:type="dxa"/>
            <w:gridSpan w:val="2"/>
            <w:shd w:val="clear" w:color="auto" w:fill="auto"/>
            <w:tcMar>
              <w:top w:w="10" w:type="dxa"/>
              <w:left w:w="10" w:type="dxa"/>
              <w:right w:w="10" w:type="dxa"/>
            </w:tcMar>
            <w:vAlign w:val="center"/>
          </w:tcPr>
          <w:p w14:paraId="1FAECD43">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101</w:t>
            </w:r>
            <w:r>
              <w:rPr>
                <w:rFonts w:hint="eastAsia" w:ascii="宋体" w:hAnsi="宋体" w:eastAsia="宋体" w:cs="宋体"/>
                <w:i w:val="0"/>
                <w:color w:val="auto"/>
                <w:kern w:val="0"/>
                <w:sz w:val="22"/>
                <w:szCs w:val="22"/>
                <w:highlight w:val="none"/>
                <w:u w:val="none"/>
                <w:lang w:val="en-US" w:eastAsia="zh-CN" w:bidi="ar"/>
              </w:rPr>
              <w:t>.反应塔锥斗、破碎机清灰及放灰；</w:t>
            </w:r>
          </w:p>
        </w:tc>
        <w:tc>
          <w:tcPr>
            <w:tcW w:w="928" w:type="dxa"/>
            <w:shd w:val="clear" w:color="auto" w:fill="auto"/>
            <w:tcMar>
              <w:top w:w="10" w:type="dxa"/>
              <w:left w:w="10" w:type="dxa"/>
              <w:right w:w="10" w:type="dxa"/>
            </w:tcMar>
            <w:vAlign w:val="center"/>
          </w:tcPr>
          <w:p w14:paraId="6B0850B0">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5B1C10BA">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263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0" w:hRule="atLeast"/>
        </w:trPr>
        <w:tc>
          <w:tcPr>
            <w:tcW w:w="491" w:type="dxa"/>
            <w:vMerge w:val="continue"/>
            <w:shd w:val="clear" w:color="auto" w:fill="auto"/>
            <w:noWrap/>
            <w:tcMar>
              <w:top w:w="10" w:type="dxa"/>
              <w:left w:w="10" w:type="dxa"/>
              <w:right w:w="10" w:type="dxa"/>
            </w:tcMar>
            <w:vAlign w:val="center"/>
          </w:tcPr>
          <w:p w14:paraId="67627498">
            <w:pPr>
              <w:spacing w:line="240" w:lineRule="auto"/>
              <w:jc w:val="center"/>
              <w:rPr>
                <w:rFonts w:hint="eastAsia" w:ascii="宋体" w:hAnsi="宋体" w:eastAsia="宋体" w:cs="宋体"/>
                <w:i w:val="0"/>
                <w:color w:val="auto"/>
                <w:sz w:val="22"/>
                <w:szCs w:val="22"/>
                <w:highlight w:val="none"/>
                <w:u w:val="none"/>
              </w:rPr>
            </w:pPr>
          </w:p>
        </w:tc>
        <w:tc>
          <w:tcPr>
            <w:tcW w:w="1300" w:type="dxa"/>
            <w:vMerge w:val="continue"/>
            <w:shd w:val="clear" w:color="auto" w:fill="auto"/>
            <w:tcMar>
              <w:top w:w="10" w:type="dxa"/>
              <w:left w:w="10" w:type="dxa"/>
              <w:right w:w="10" w:type="dxa"/>
            </w:tcMar>
            <w:vAlign w:val="center"/>
          </w:tcPr>
          <w:p w14:paraId="79FD12AF">
            <w:pPr>
              <w:spacing w:line="240" w:lineRule="auto"/>
              <w:jc w:val="center"/>
              <w:rPr>
                <w:rFonts w:hint="eastAsia" w:ascii="宋体" w:hAnsi="宋体" w:eastAsia="宋体" w:cs="宋体"/>
                <w:i w:val="0"/>
                <w:color w:val="auto"/>
                <w:sz w:val="22"/>
                <w:szCs w:val="22"/>
                <w:highlight w:val="none"/>
                <w:u w:val="none"/>
              </w:rPr>
            </w:pPr>
          </w:p>
        </w:tc>
        <w:tc>
          <w:tcPr>
            <w:tcW w:w="1309" w:type="dxa"/>
            <w:shd w:val="clear" w:color="auto" w:fill="auto"/>
            <w:tcMar>
              <w:top w:w="10" w:type="dxa"/>
              <w:left w:w="10" w:type="dxa"/>
              <w:right w:w="10" w:type="dxa"/>
            </w:tcMar>
            <w:vAlign w:val="center"/>
          </w:tcPr>
          <w:p w14:paraId="414DEFB7">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布袋除尘器主路进口及灰斗清灰放灰</w:t>
            </w:r>
          </w:p>
        </w:tc>
        <w:tc>
          <w:tcPr>
            <w:tcW w:w="2902" w:type="dxa"/>
            <w:gridSpan w:val="2"/>
            <w:shd w:val="clear" w:color="auto" w:fill="auto"/>
            <w:tcMar>
              <w:top w:w="10" w:type="dxa"/>
              <w:left w:w="10" w:type="dxa"/>
              <w:right w:w="10" w:type="dxa"/>
            </w:tcMar>
            <w:vAlign w:val="center"/>
          </w:tcPr>
          <w:p w14:paraId="1361152A">
            <w:pPr>
              <w:keepNext w:val="0"/>
              <w:keepLines w:val="0"/>
              <w:widowControl/>
              <w:suppressLineNumbers w:val="0"/>
              <w:spacing w:line="240" w:lineRule="auto"/>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w:t>
            </w:r>
            <w:r>
              <w:rPr>
                <w:rFonts w:hint="eastAsia" w:ascii="宋体" w:hAnsi="宋体" w:cs="宋体"/>
                <w:i w:val="0"/>
                <w:color w:val="auto"/>
                <w:kern w:val="0"/>
                <w:sz w:val="22"/>
                <w:szCs w:val="22"/>
                <w:highlight w:val="none"/>
                <w:u w:val="none"/>
                <w:lang w:val="en-US" w:eastAsia="zh-CN" w:bidi="ar"/>
              </w:rPr>
              <w:t>2</w:t>
            </w:r>
            <w:r>
              <w:rPr>
                <w:rFonts w:hint="eastAsia" w:ascii="宋体" w:hAnsi="宋体" w:eastAsia="宋体" w:cs="宋体"/>
                <w:i w:val="0"/>
                <w:color w:val="auto"/>
                <w:kern w:val="0"/>
                <w:sz w:val="22"/>
                <w:szCs w:val="22"/>
                <w:highlight w:val="none"/>
                <w:u w:val="none"/>
                <w:lang w:val="en-US" w:eastAsia="zh-CN" w:bidi="ar"/>
              </w:rPr>
              <w:t>.布袋除尘器主路进口及灰斗清灰放灰。</w:t>
            </w:r>
          </w:p>
        </w:tc>
        <w:tc>
          <w:tcPr>
            <w:tcW w:w="928" w:type="dxa"/>
            <w:shd w:val="clear" w:color="auto" w:fill="auto"/>
            <w:tcMar>
              <w:top w:w="10" w:type="dxa"/>
              <w:left w:w="10" w:type="dxa"/>
              <w:right w:w="10" w:type="dxa"/>
            </w:tcMar>
            <w:vAlign w:val="center"/>
          </w:tcPr>
          <w:p w14:paraId="679D3BA4">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396" w:type="dxa"/>
            <w:shd w:val="clear" w:color="auto" w:fill="auto"/>
            <w:noWrap/>
            <w:tcMar>
              <w:top w:w="10" w:type="dxa"/>
              <w:left w:w="10" w:type="dxa"/>
              <w:right w:w="10" w:type="dxa"/>
            </w:tcMar>
            <w:vAlign w:val="center"/>
          </w:tcPr>
          <w:p w14:paraId="298D9FCE">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rPr>
            </w:pPr>
          </w:p>
        </w:tc>
      </w:tr>
      <w:tr w14:paraId="02C2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491" w:type="dxa"/>
            <w:shd w:val="clear" w:color="auto" w:fill="auto"/>
            <w:noWrap/>
            <w:tcMar>
              <w:top w:w="10" w:type="dxa"/>
              <w:left w:w="10" w:type="dxa"/>
              <w:right w:w="10" w:type="dxa"/>
            </w:tcMar>
            <w:vAlign w:val="center"/>
          </w:tcPr>
          <w:p w14:paraId="3FB2A068">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lang w:val="en-US" w:eastAsia="zh-CN"/>
              </w:rPr>
            </w:pPr>
            <w:r>
              <w:rPr>
                <w:rFonts w:hint="eastAsia" w:ascii="宋体" w:hAnsi="宋体" w:eastAsia="宋体" w:cs="宋体"/>
                <w:i w:val="0"/>
                <w:color w:val="auto"/>
                <w:sz w:val="22"/>
                <w:szCs w:val="22"/>
                <w:highlight w:val="none"/>
                <w:u w:val="none"/>
                <w:lang w:val="en-US" w:eastAsia="zh-CN"/>
              </w:rPr>
              <w:t>八、</w:t>
            </w:r>
          </w:p>
        </w:tc>
        <w:tc>
          <w:tcPr>
            <w:tcW w:w="1300" w:type="dxa"/>
            <w:shd w:val="clear" w:color="auto" w:fill="auto"/>
            <w:tcMar>
              <w:top w:w="10" w:type="dxa"/>
              <w:left w:w="10" w:type="dxa"/>
              <w:right w:w="10" w:type="dxa"/>
            </w:tcMar>
            <w:vAlign w:val="center"/>
          </w:tcPr>
          <w:p w14:paraId="3957E08F">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lang w:val="en-US" w:eastAsia="zh-CN"/>
              </w:rPr>
            </w:pPr>
            <w:r>
              <w:rPr>
                <w:rFonts w:hint="eastAsia" w:ascii="宋体" w:hAnsi="宋体" w:eastAsia="宋体" w:cs="宋体"/>
                <w:i w:val="0"/>
                <w:color w:val="auto"/>
                <w:sz w:val="22"/>
                <w:szCs w:val="22"/>
                <w:highlight w:val="none"/>
                <w:u w:val="none"/>
                <w:lang w:val="en-US" w:eastAsia="zh-CN"/>
              </w:rPr>
              <w:t>炉外脚手架</w:t>
            </w:r>
          </w:p>
        </w:tc>
        <w:tc>
          <w:tcPr>
            <w:tcW w:w="1309" w:type="dxa"/>
            <w:shd w:val="clear" w:color="auto" w:fill="auto"/>
            <w:tcMar>
              <w:top w:w="10" w:type="dxa"/>
              <w:left w:w="10" w:type="dxa"/>
              <w:right w:w="10" w:type="dxa"/>
            </w:tcMar>
            <w:vAlign w:val="center"/>
          </w:tcPr>
          <w:p w14:paraId="6D33BB66">
            <w:pPr>
              <w:keepNext w:val="0"/>
              <w:keepLines w:val="0"/>
              <w:widowControl/>
              <w:suppressLineNumbers w:val="0"/>
              <w:spacing w:line="240" w:lineRule="auto"/>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炉外脚手架搭设（含溜槽竖井及灰斗）</w:t>
            </w:r>
          </w:p>
        </w:tc>
        <w:tc>
          <w:tcPr>
            <w:tcW w:w="2902" w:type="dxa"/>
            <w:gridSpan w:val="2"/>
            <w:shd w:val="clear" w:color="auto" w:fill="auto"/>
            <w:tcMar>
              <w:top w:w="10" w:type="dxa"/>
              <w:left w:w="10" w:type="dxa"/>
              <w:right w:w="10" w:type="dxa"/>
            </w:tcMar>
            <w:vAlign w:val="center"/>
          </w:tcPr>
          <w:p w14:paraId="6C0990CF">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10</w:t>
            </w:r>
            <w:r>
              <w:rPr>
                <w:rFonts w:hint="eastAsia" w:ascii="宋体" w:hAnsi="宋体" w:cs="宋体"/>
                <w:i w:val="0"/>
                <w:iCs w:val="0"/>
                <w:color w:val="auto"/>
                <w:kern w:val="0"/>
                <w:sz w:val="21"/>
                <w:szCs w:val="21"/>
                <w:highlight w:val="none"/>
                <w:u w:val="none"/>
                <w:lang w:val="en-US" w:eastAsia="zh-CN"/>
              </w:rPr>
              <w:t>3</w:t>
            </w:r>
            <w:r>
              <w:rPr>
                <w:rFonts w:hint="eastAsia" w:ascii="宋体" w:hAnsi="宋体" w:eastAsia="宋体" w:cs="宋体"/>
                <w:i w:val="0"/>
                <w:iCs w:val="0"/>
                <w:color w:val="auto"/>
                <w:kern w:val="0"/>
                <w:sz w:val="21"/>
                <w:szCs w:val="21"/>
                <w:highlight w:val="none"/>
                <w:u w:val="none"/>
                <w:lang w:val="en-US" w:eastAsia="zh-CN"/>
              </w:rPr>
              <w:t>. 卡扣采用金属卡扣牢固可靠，严禁用铁丝、塑料带捆绑代替。</w:t>
            </w:r>
          </w:p>
          <w:p w14:paraId="0642764C">
            <w:pPr>
              <w:keepNext w:val="0"/>
              <w:keepLines w:val="0"/>
              <w:widowControl/>
              <w:suppressLineNumbers w:val="0"/>
              <w:spacing w:line="240" w:lineRule="auto"/>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rPr>
              <w:t>2. 符合《电业安全工作规程》（热力和机械部分）的脚手架安装和使用要求。</w:t>
            </w:r>
          </w:p>
        </w:tc>
        <w:tc>
          <w:tcPr>
            <w:tcW w:w="928" w:type="dxa"/>
            <w:shd w:val="clear" w:color="auto" w:fill="auto"/>
            <w:tcMar>
              <w:top w:w="10" w:type="dxa"/>
              <w:left w:w="10" w:type="dxa"/>
              <w:right w:w="10" w:type="dxa"/>
            </w:tcMar>
            <w:vAlign w:val="center"/>
          </w:tcPr>
          <w:p w14:paraId="3CF69512">
            <w:pPr>
              <w:keepNext w:val="0"/>
              <w:keepLines w:val="0"/>
              <w:widowControl/>
              <w:suppressLineNumbers w:val="0"/>
              <w:spacing w:line="240" w:lineRule="auto"/>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元/</w:t>
            </w:r>
            <w:r>
              <w:rPr>
                <w:rFonts w:hint="eastAsia" w:ascii="宋体" w:hAnsi="宋体" w:eastAsia="宋体" w:cs="宋体"/>
                <w:i w:val="0"/>
                <w:color w:val="auto"/>
                <w:kern w:val="0"/>
                <w:sz w:val="20"/>
                <w:szCs w:val="20"/>
                <w:highlight w:val="none"/>
                <w:u w:val="none"/>
                <w:lang w:val="en-US" w:eastAsia="zh-CN" w:bidi="ar"/>
              </w:rPr>
              <w:t>立方</w:t>
            </w:r>
          </w:p>
        </w:tc>
        <w:tc>
          <w:tcPr>
            <w:tcW w:w="1396" w:type="dxa"/>
            <w:shd w:val="clear" w:color="auto" w:fill="auto"/>
            <w:noWrap/>
            <w:tcMar>
              <w:top w:w="10" w:type="dxa"/>
              <w:left w:w="10" w:type="dxa"/>
              <w:right w:w="10" w:type="dxa"/>
            </w:tcMar>
            <w:vAlign w:val="center"/>
          </w:tcPr>
          <w:p w14:paraId="35ABE0BB">
            <w:pPr>
              <w:keepNext w:val="0"/>
              <w:keepLines w:val="0"/>
              <w:widowControl/>
              <w:suppressLineNumbers w:val="0"/>
              <w:spacing w:line="240" w:lineRule="auto"/>
              <w:jc w:val="center"/>
              <w:textAlignment w:val="center"/>
              <w:rPr>
                <w:rFonts w:hint="eastAsia" w:ascii="宋体" w:hAnsi="宋体" w:eastAsia="宋体" w:cs="宋体"/>
                <w:i w:val="0"/>
                <w:color w:val="auto"/>
                <w:kern w:val="0"/>
                <w:sz w:val="22"/>
                <w:szCs w:val="22"/>
                <w:highlight w:val="none"/>
                <w:u w:val="none"/>
                <w:lang w:val="en-US" w:eastAsia="zh-CN" w:bidi="ar"/>
              </w:rPr>
            </w:pPr>
          </w:p>
        </w:tc>
      </w:tr>
      <w:tr w14:paraId="5BA6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491" w:type="dxa"/>
            <w:shd w:val="clear" w:color="auto" w:fill="auto"/>
            <w:noWrap/>
            <w:tcMar>
              <w:top w:w="10" w:type="dxa"/>
              <w:left w:w="10" w:type="dxa"/>
              <w:right w:w="10" w:type="dxa"/>
            </w:tcMar>
            <w:vAlign w:val="center"/>
          </w:tcPr>
          <w:p w14:paraId="24428799">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lang w:val="en-US" w:eastAsia="zh-CN" w:bidi="ar-SA"/>
              </w:rPr>
            </w:pPr>
            <w:r>
              <w:rPr>
                <w:rFonts w:hint="eastAsia" w:ascii="宋体" w:hAnsi="宋体" w:eastAsia="宋体" w:cs="宋体"/>
                <w:i w:val="0"/>
                <w:color w:val="auto"/>
                <w:sz w:val="22"/>
                <w:szCs w:val="22"/>
                <w:highlight w:val="none"/>
                <w:u w:val="none"/>
                <w:lang w:val="en-US" w:eastAsia="zh-CN"/>
              </w:rPr>
              <w:t>九、</w:t>
            </w:r>
          </w:p>
        </w:tc>
        <w:tc>
          <w:tcPr>
            <w:tcW w:w="1300" w:type="dxa"/>
            <w:shd w:val="clear" w:color="auto" w:fill="auto"/>
            <w:tcMar>
              <w:top w:w="10" w:type="dxa"/>
              <w:left w:w="10" w:type="dxa"/>
              <w:right w:w="10" w:type="dxa"/>
            </w:tcMar>
            <w:vAlign w:val="center"/>
          </w:tcPr>
          <w:p w14:paraId="07F3F2E2">
            <w:pPr>
              <w:keepNext w:val="0"/>
              <w:keepLines w:val="0"/>
              <w:widowControl/>
              <w:suppressLineNumbers w:val="0"/>
              <w:spacing w:line="240" w:lineRule="auto"/>
              <w:jc w:val="center"/>
              <w:textAlignment w:val="center"/>
              <w:rPr>
                <w:rFonts w:hint="eastAsia" w:ascii="宋体" w:hAnsi="宋体" w:eastAsia="宋体" w:cs="宋体"/>
                <w:i w:val="0"/>
                <w:color w:val="auto"/>
                <w:sz w:val="22"/>
                <w:szCs w:val="22"/>
                <w:highlight w:val="none"/>
                <w:u w:val="none"/>
                <w:lang w:val="en-US" w:eastAsia="zh-CN" w:bidi="ar-SA"/>
              </w:rPr>
            </w:pPr>
            <w:r>
              <w:rPr>
                <w:rFonts w:hint="eastAsia" w:ascii="宋体" w:hAnsi="宋体" w:eastAsia="宋体" w:cs="宋体"/>
                <w:i w:val="0"/>
                <w:color w:val="auto"/>
                <w:sz w:val="22"/>
                <w:szCs w:val="22"/>
                <w:highlight w:val="none"/>
                <w:u w:val="none"/>
                <w:lang w:val="en-US" w:eastAsia="zh-CN"/>
              </w:rPr>
              <w:t>大修安全文明施工措施费</w:t>
            </w:r>
          </w:p>
        </w:tc>
        <w:tc>
          <w:tcPr>
            <w:tcW w:w="1309" w:type="dxa"/>
            <w:shd w:val="clear" w:color="auto" w:fill="auto"/>
            <w:tcMar>
              <w:top w:w="10" w:type="dxa"/>
              <w:left w:w="10" w:type="dxa"/>
              <w:right w:w="10" w:type="dxa"/>
            </w:tcMar>
            <w:vAlign w:val="center"/>
          </w:tcPr>
          <w:p w14:paraId="2D1858AC">
            <w:pPr>
              <w:keepNext w:val="0"/>
              <w:keepLines w:val="0"/>
              <w:widowControl/>
              <w:suppressLineNumbers w:val="0"/>
              <w:spacing w:line="240" w:lineRule="auto"/>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大修安全文明施工措施费</w:t>
            </w:r>
          </w:p>
        </w:tc>
        <w:tc>
          <w:tcPr>
            <w:tcW w:w="2902" w:type="dxa"/>
            <w:gridSpan w:val="2"/>
            <w:shd w:val="clear" w:color="auto" w:fill="auto"/>
            <w:tcMar>
              <w:top w:w="10" w:type="dxa"/>
              <w:left w:w="10" w:type="dxa"/>
              <w:right w:w="10" w:type="dxa"/>
            </w:tcMar>
            <w:vAlign w:val="center"/>
          </w:tcPr>
          <w:p w14:paraId="594E60B8">
            <w:pPr>
              <w:keepNext w:val="0"/>
              <w:keepLines w:val="0"/>
              <w:widowControl/>
              <w:suppressLineNumbers w:val="0"/>
              <w:spacing w:line="240" w:lineRule="auto"/>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10</w:t>
            </w:r>
            <w:r>
              <w:rPr>
                <w:rFonts w:hint="eastAsia" w:ascii="宋体" w:hAnsi="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w:t>
            </w:r>
            <w:r>
              <w:rPr>
                <w:rFonts w:hint="eastAsia" w:ascii="宋体" w:hAnsi="宋体" w:cs="宋体"/>
                <w:i w:val="0"/>
                <w:color w:val="auto"/>
                <w:kern w:val="0"/>
                <w:sz w:val="22"/>
                <w:szCs w:val="22"/>
                <w:highlight w:val="none"/>
                <w:u w:val="none"/>
                <w:lang w:val="en-US" w:eastAsia="zh-CN" w:bidi="ar"/>
              </w:rPr>
              <w:t>包括但不限于设置施工围挡及警示标识，材料定置堆放，废料及时清运，采取降尘降噪措施，炉间防护及防尘措施要求使用防火毯，每日工完场清（不符合要求按比例扣除或进行考核）</w:t>
            </w:r>
          </w:p>
        </w:tc>
        <w:tc>
          <w:tcPr>
            <w:tcW w:w="928" w:type="dxa"/>
            <w:shd w:val="clear" w:color="auto" w:fill="auto"/>
            <w:tcMar>
              <w:top w:w="10" w:type="dxa"/>
              <w:left w:w="10" w:type="dxa"/>
              <w:right w:w="10" w:type="dxa"/>
            </w:tcMar>
            <w:vAlign w:val="center"/>
          </w:tcPr>
          <w:p w14:paraId="0EA6C9C2">
            <w:pPr>
              <w:keepNext w:val="0"/>
              <w:keepLines w:val="0"/>
              <w:widowControl/>
              <w:suppressLineNumbers w:val="0"/>
              <w:spacing w:line="240" w:lineRule="auto"/>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元/</w:t>
            </w:r>
            <w:r>
              <w:rPr>
                <w:rFonts w:hint="eastAsia" w:ascii="宋体" w:hAnsi="宋体" w:eastAsia="宋体" w:cs="宋体"/>
                <w:i w:val="0"/>
                <w:color w:val="auto"/>
                <w:kern w:val="0"/>
                <w:sz w:val="20"/>
                <w:szCs w:val="20"/>
                <w:highlight w:val="none"/>
                <w:u w:val="none"/>
                <w:lang w:val="en-US" w:eastAsia="zh-CN" w:bidi="ar"/>
              </w:rPr>
              <w:t>台</w:t>
            </w:r>
          </w:p>
        </w:tc>
        <w:tc>
          <w:tcPr>
            <w:tcW w:w="1396" w:type="dxa"/>
            <w:shd w:val="clear" w:color="auto" w:fill="auto"/>
            <w:noWrap/>
            <w:tcMar>
              <w:top w:w="10" w:type="dxa"/>
              <w:left w:w="10" w:type="dxa"/>
              <w:right w:w="10" w:type="dxa"/>
            </w:tcMar>
            <w:vAlign w:val="center"/>
          </w:tcPr>
          <w:p w14:paraId="6476D2F4">
            <w:pPr>
              <w:keepNext w:val="0"/>
              <w:keepLines w:val="0"/>
              <w:widowControl/>
              <w:suppressLineNumbers w:val="0"/>
              <w:spacing w:line="240" w:lineRule="auto"/>
              <w:jc w:val="center"/>
              <w:textAlignment w:val="center"/>
              <w:rPr>
                <w:rFonts w:hint="eastAsia" w:ascii="宋体" w:hAnsi="宋体" w:eastAsia="宋体" w:cs="宋体"/>
                <w:i w:val="0"/>
                <w:color w:val="auto"/>
                <w:kern w:val="0"/>
                <w:sz w:val="22"/>
                <w:szCs w:val="22"/>
                <w:highlight w:val="none"/>
                <w:u w:val="none"/>
                <w:lang w:val="en-US" w:eastAsia="zh-CN" w:bidi="ar"/>
              </w:rPr>
            </w:pPr>
          </w:p>
        </w:tc>
      </w:tr>
      <w:tr w14:paraId="5EC2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2" w:hRule="atLeast"/>
          <w:jc w:val="center"/>
        </w:trPr>
        <w:tc>
          <w:tcPr>
            <w:tcW w:w="4143" w:type="dxa"/>
            <w:gridSpan w:val="4"/>
            <w:tcBorders>
              <w:tl2br w:val="nil"/>
              <w:tr2bl w:val="nil"/>
            </w:tcBorders>
            <w:shd w:val="clear" w:color="auto" w:fill="auto"/>
            <w:vAlign w:val="top"/>
          </w:tcPr>
          <w:p w14:paraId="2E597D13">
            <w:pPr>
              <w:spacing w:line="240" w:lineRule="auto"/>
              <w:ind w:left="108"/>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施工单位代表：</w:t>
            </w:r>
          </w:p>
          <w:p w14:paraId="4138D360">
            <w:pPr>
              <w:spacing w:line="240" w:lineRule="auto"/>
              <w:ind w:left="108"/>
              <w:jc w:val="left"/>
              <w:rPr>
                <w:rFonts w:hint="eastAsia" w:ascii="宋体" w:hAnsi="宋体" w:eastAsia="宋体" w:cs="宋体"/>
                <w:bCs/>
                <w:color w:val="auto"/>
                <w:szCs w:val="21"/>
                <w:highlight w:val="none"/>
              </w:rPr>
            </w:pPr>
          </w:p>
          <w:p w14:paraId="03456B52">
            <w:pPr>
              <w:spacing w:line="240" w:lineRule="auto"/>
              <w:ind w:left="108"/>
              <w:jc w:val="left"/>
              <w:rPr>
                <w:rFonts w:hint="eastAsia" w:ascii="宋体" w:hAnsi="宋体" w:eastAsia="宋体" w:cs="宋体"/>
                <w:bCs/>
                <w:color w:val="auto"/>
                <w:szCs w:val="21"/>
                <w:highlight w:val="none"/>
              </w:rPr>
            </w:pPr>
          </w:p>
          <w:p w14:paraId="41050010">
            <w:pPr>
              <w:spacing w:line="240" w:lineRule="auto"/>
              <w:ind w:left="108"/>
              <w:jc w:val="left"/>
              <w:rPr>
                <w:rFonts w:hint="eastAsia" w:ascii="宋体" w:hAnsi="宋体" w:eastAsia="宋体" w:cs="宋体"/>
                <w:bCs/>
                <w:color w:val="auto"/>
                <w:szCs w:val="21"/>
                <w:highlight w:val="none"/>
              </w:rPr>
            </w:pPr>
          </w:p>
          <w:p w14:paraId="3CC357C6">
            <w:pPr>
              <w:spacing w:line="240" w:lineRule="auto"/>
              <w:ind w:left="108"/>
              <w:jc w:val="left"/>
              <w:rPr>
                <w:rFonts w:hint="eastAsia" w:ascii="宋体" w:hAnsi="宋体" w:eastAsia="宋体" w:cs="宋体"/>
                <w:bCs/>
                <w:color w:val="auto"/>
                <w:szCs w:val="21"/>
                <w:highlight w:val="none"/>
              </w:rPr>
            </w:pPr>
          </w:p>
          <w:p w14:paraId="0751F692">
            <w:pPr>
              <w:spacing w:line="240" w:lineRule="auto"/>
              <w:ind w:left="108"/>
              <w:jc w:val="left"/>
              <w:rPr>
                <w:rFonts w:hint="eastAsia" w:ascii="宋体" w:hAnsi="宋体" w:eastAsia="宋体" w:cs="宋体"/>
                <w:bCs/>
                <w:color w:val="auto"/>
                <w:szCs w:val="21"/>
                <w:highlight w:val="none"/>
              </w:rPr>
            </w:pPr>
          </w:p>
          <w:p w14:paraId="0CD08051">
            <w:pPr>
              <w:spacing w:line="240" w:lineRule="auto"/>
              <w:ind w:left="108" w:leftChars="0" w:firstLine="2415" w:firstLineChars="1150"/>
              <w:jc w:val="left"/>
              <w:rPr>
                <w:rFonts w:hint="eastAsia" w:ascii="宋体" w:hAnsi="宋体" w:eastAsia="宋体" w:cs="宋体"/>
                <w:i w:val="0"/>
                <w:iCs w:val="0"/>
                <w:color w:val="auto"/>
                <w:kern w:val="2"/>
                <w:sz w:val="21"/>
                <w:szCs w:val="21"/>
                <w:highlight w:val="none"/>
                <w:u w:val="none"/>
              </w:rPr>
            </w:pPr>
            <w:r>
              <w:rPr>
                <w:rFonts w:hint="eastAsia" w:ascii="宋体" w:hAnsi="宋体" w:eastAsia="宋体" w:cs="宋体"/>
                <w:bCs/>
                <w:color w:val="auto"/>
                <w:szCs w:val="21"/>
                <w:highlight w:val="none"/>
              </w:rPr>
              <w:t>年 月  日</w:t>
            </w:r>
          </w:p>
        </w:tc>
        <w:tc>
          <w:tcPr>
            <w:tcW w:w="4183" w:type="dxa"/>
            <w:gridSpan w:val="3"/>
            <w:tcBorders>
              <w:tl2br w:val="nil"/>
              <w:tr2bl w:val="nil"/>
            </w:tcBorders>
            <w:shd w:val="clear" w:color="auto" w:fill="auto"/>
            <w:vAlign w:val="top"/>
          </w:tcPr>
          <w:p w14:paraId="09DC21FC">
            <w:pPr>
              <w:widowControl/>
              <w:spacing w:line="24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专业工程师：</w:t>
            </w:r>
          </w:p>
          <w:p w14:paraId="7E58B3B8">
            <w:pPr>
              <w:widowControl/>
              <w:spacing w:line="240" w:lineRule="auto"/>
              <w:jc w:val="left"/>
              <w:rPr>
                <w:rFonts w:hint="eastAsia" w:ascii="宋体" w:hAnsi="宋体" w:eastAsia="宋体" w:cs="宋体"/>
                <w:bCs/>
                <w:color w:val="auto"/>
                <w:szCs w:val="21"/>
                <w:highlight w:val="none"/>
              </w:rPr>
            </w:pPr>
          </w:p>
          <w:p w14:paraId="60C3B6C6">
            <w:pPr>
              <w:widowControl/>
              <w:spacing w:line="240" w:lineRule="auto"/>
              <w:jc w:val="left"/>
              <w:rPr>
                <w:rFonts w:hint="eastAsia" w:ascii="宋体" w:hAnsi="宋体" w:eastAsia="宋体" w:cs="宋体"/>
                <w:bCs/>
                <w:color w:val="auto"/>
                <w:szCs w:val="21"/>
                <w:highlight w:val="none"/>
              </w:rPr>
            </w:pPr>
          </w:p>
          <w:p w14:paraId="4979DF21">
            <w:pPr>
              <w:widowControl/>
              <w:spacing w:line="240" w:lineRule="auto"/>
              <w:jc w:val="left"/>
              <w:rPr>
                <w:rFonts w:hint="eastAsia" w:ascii="宋体" w:hAnsi="宋体" w:eastAsia="宋体" w:cs="宋体"/>
                <w:bCs/>
                <w:color w:val="auto"/>
                <w:szCs w:val="21"/>
                <w:highlight w:val="none"/>
              </w:rPr>
            </w:pPr>
          </w:p>
          <w:p w14:paraId="7223CFE7">
            <w:pPr>
              <w:widowControl/>
              <w:spacing w:line="240" w:lineRule="auto"/>
              <w:jc w:val="left"/>
              <w:rPr>
                <w:rFonts w:hint="eastAsia" w:ascii="宋体" w:hAnsi="宋体" w:eastAsia="宋体" w:cs="宋体"/>
                <w:bCs/>
                <w:color w:val="auto"/>
                <w:szCs w:val="21"/>
                <w:highlight w:val="none"/>
              </w:rPr>
            </w:pPr>
          </w:p>
          <w:p w14:paraId="106406E4">
            <w:pPr>
              <w:widowControl/>
              <w:spacing w:line="240" w:lineRule="auto"/>
              <w:jc w:val="left"/>
              <w:rPr>
                <w:rFonts w:hint="eastAsia" w:ascii="宋体" w:hAnsi="宋体" w:eastAsia="宋体" w:cs="宋体"/>
                <w:bCs/>
                <w:color w:val="auto"/>
                <w:szCs w:val="21"/>
                <w:highlight w:val="none"/>
              </w:rPr>
            </w:pPr>
          </w:p>
          <w:p w14:paraId="78D5A9BF">
            <w:pPr>
              <w:spacing w:line="240" w:lineRule="auto"/>
              <w:jc w:val="left"/>
              <w:rPr>
                <w:rFonts w:hint="eastAsia" w:ascii="宋体" w:hAnsi="宋体" w:eastAsia="宋体" w:cs="宋体"/>
                <w:i w:val="0"/>
                <w:iCs w:val="0"/>
                <w:color w:val="auto"/>
                <w:kern w:val="2"/>
                <w:sz w:val="21"/>
                <w:szCs w:val="21"/>
                <w:highlight w:val="none"/>
                <w:u w:val="single"/>
              </w:rPr>
            </w:pPr>
            <w:r>
              <w:rPr>
                <w:rFonts w:hint="eastAsia" w:ascii="宋体" w:hAnsi="宋体" w:eastAsia="宋体" w:cs="宋体"/>
                <w:bCs/>
                <w:color w:val="auto"/>
                <w:szCs w:val="21"/>
                <w:highlight w:val="none"/>
              </w:rPr>
              <w:t>年   月   日</w:t>
            </w:r>
          </w:p>
        </w:tc>
      </w:tr>
      <w:tr w14:paraId="6A0E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8" w:hRule="atLeast"/>
          <w:jc w:val="center"/>
        </w:trPr>
        <w:tc>
          <w:tcPr>
            <w:tcW w:w="4143" w:type="dxa"/>
            <w:gridSpan w:val="4"/>
            <w:tcBorders>
              <w:tl2br w:val="nil"/>
              <w:tr2bl w:val="nil"/>
            </w:tcBorders>
            <w:shd w:val="clear" w:color="auto" w:fill="auto"/>
            <w:vAlign w:val="top"/>
          </w:tcPr>
          <w:p w14:paraId="789F26CD">
            <w:pPr>
              <w:spacing w:line="240" w:lineRule="auto"/>
              <w:ind w:left="108"/>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生产技术部：</w:t>
            </w:r>
          </w:p>
          <w:p w14:paraId="7F9B7005">
            <w:pPr>
              <w:spacing w:line="240" w:lineRule="auto"/>
              <w:ind w:left="108"/>
              <w:jc w:val="left"/>
              <w:rPr>
                <w:rFonts w:hint="eastAsia" w:ascii="宋体" w:hAnsi="宋体" w:eastAsia="宋体" w:cs="宋体"/>
                <w:bCs/>
                <w:color w:val="auto"/>
                <w:szCs w:val="21"/>
                <w:highlight w:val="none"/>
              </w:rPr>
            </w:pPr>
          </w:p>
          <w:p w14:paraId="0B3ADE67">
            <w:pPr>
              <w:spacing w:line="240" w:lineRule="auto"/>
              <w:ind w:left="108"/>
              <w:jc w:val="left"/>
              <w:rPr>
                <w:rFonts w:hint="eastAsia" w:ascii="宋体" w:hAnsi="宋体" w:eastAsia="宋体" w:cs="宋体"/>
                <w:bCs/>
                <w:color w:val="auto"/>
                <w:szCs w:val="21"/>
                <w:highlight w:val="none"/>
              </w:rPr>
            </w:pPr>
          </w:p>
          <w:p w14:paraId="3E8D7512">
            <w:pPr>
              <w:spacing w:line="240" w:lineRule="auto"/>
              <w:ind w:left="108"/>
              <w:jc w:val="left"/>
              <w:rPr>
                <w:rFonts w:hint="eastAsia" w:ascii="宋体" w:hAnsi="宋体" w:eastAsia="宋体" w:cs="宋体"/>
                <w:bCs/>
                <w:color w:val="auto"/>
                <w:szCs w:val="21"/>
                <w:highlight w:val="none"/>
              </w:rPr>
            </w:pPr>
          </w:p>
          <w:p w14:paraId="2B22A33E">
            <w:pPr>
              <w:spacing w:line="240" w:lineRule="auto"/>
              <w:ind w:left="108"/>
              <w:jc w:val="left"/>
              <w:rPr>
                <w:rFonts w:hint="eastAsia" w:ascii="宋体" w:hAnsi="宋体" w:eastAsia="宋体" w:cs="宋体"/>
                <w:bCs/>
                <w:color w:val="auto"/>
                <w:szCs w:val="21"/>
                <w:highlight w:val="none"/>
              </w:rPr>
            </w:pPr>
          </w:p>
          <w:p w14:paraId="2FC610C8">
            <w:pPr>
              <w:spacing w:line="240" w:lineRule="auto"/>
              <w:ind w:left="108"/>
              <w:jc w:val="left"/>
              <w:rPr>
                <w:rFonts w:hint="eastAsia" w:ascii="宋体" w:hAnsi="宋体" w:eastAsia="宋体" w:cs="宋体"/>
                <w:bCs/>
                <w:color w:val="auto"/>
                <w:szCs w:val="21"/>
                <w:highlight w:val="none"/>
              </w:rPr>
            </w:pPr>
          </w:p>
          <w:p w14:paraId="612EBC63">
            <w:pPr>
              <w:spacing w:line="240" w:lineRule="auto"/>
              <w:ind w:left="108"/>
              <w:jc w:val="left"/>
              <w:rPr>
                <w:rFonts w:hint="eastAsia" w:ascii="宋体" w:hAnsi="宋体" w:eastAsia="宋体" w:cs="宋体"/>
                <w:bCs/>
                <w:color w:val="auto"/>
                <w:szCs w:val="21"/>
                <w:highlight w:val="none"/>
              </w:rPr>
            </w:pPr>
          </w:p>
          <w:p w14:paraId="7D46CF6F">
            <w:pPr>
              <w:spacing w:line="240" w:lineRule="auto"/>
              <w:ind w:left="108" w:leftChars="0" w:firstLine="2310" w:firstLineChars="1100"/>
              <w:jc w:val="left"/>
              <w:rPr>
                <w:rFonts w:hint="eastAsia" w:ascii="宋体" w:hAnsi="宋体" w:eastAsia="宋体" w:cs="宋体"/>
                <w:i w:val="0"/>
                <w:iCs w:val="0"/>
                <w:color w:val="auto"/>
                <w:kern w:val="2"/>
                <w:sz w:val="21"/>
                <w:szCs w:val="21"/>
                <w:highlight w:val="none"/>
                <w:u w:val="none"/>
              </w:rPr>
            </w:pPr>
            <w:r>
              <w:rPr>
                <w:rFonts w:hint="eastAsia" w:ascii="宋体" w:hAnsi="宋体" w:eastAsia="宋体" w:cs="宋体"/>
                <w:bCs/>
                <w:color w:val="auto"/>
                <w:szCs w:val="21"/>
                <w:highlight w:val="none"/>
              </w:rPr>
              <w:t>年  月 日</w:t>
            </w:r>
          </w:p>
        </w:tc>
        <w:tc>
          <w:tcPr>
            <w:tcW w:w="4183" w:type="dxa"/>
            <w:gridSpan w:val="3"/>
            <w:tcBorders>
              <w:tl2br w:val="nil"/>
              <w:tr2bl w:val="nil"/>
            </w:tcBorders>
            <w:shd w:val="clear" w:color="auto" w:fill="auto"/>
            <w:vAlign w:val="top"/>
          </w:tcPr>
          <w:p w14:paraId="59536469">
            <w:pPr>
              <w:widowControl/>
              <w:spacing w:line="240" w:lineRule="auto"/>
              <w:jc w:val="lef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甲方副总经理：</w:t>
            </w:r>
          </w:p>
          <w:p w14:paraId="0B06B8A8">
            <w:pPr>
              <w:widowControl/>
              <w:spacing w:line="240" w:lineRule="auto"/>
              <w:jc w:val="left"/>
              <w:rPr>
                <w:rFonts w:hint="eastAsia" w:ascii="宋体" w:hAnsi="宋体" w:eastAsia="宋体" w:cs="宋体"/>
                <w:bCs/>
                <w:color w:val="auto"/>
                <w:szCs w:val="21"/>
                <w:highlight w:val="none"/>
              </w:rPr>
            </w:pPr>
          </w:p>
          <w:p w14:paraId="0F0DCA4C">
            <w:pPr>
              <w:widowControl/>
              <w:spacing w:line="240" w:lineRule="auto"/>
              <w:jc w:val="left"/>
              <w:rPr>
                <w:rFonts w:hint="eastAsia" w:ascii="宋体" w:hAnsi="宋体" w:eastAsia="宋体" w:cs="宋体"/>
                <w:bCs/>
                <w:color w:val="auto"/>
                <w:szCs w:val="21"/>
                <w:highlight w:val="none"/>
              </w:rPr>
            </w:pPr>
          </w:p>
          <w:p w14:paraId="549D64F2">
            <w:pPr>
              <w:widowControl/>
              <w:spacing w:line="240" w:lineRule="auto"/>
              <w:jc w:val="left"/>
              <w:rPr>
                <w:rFonts w:hint="eastAsia" w:ascii="宋体" w:hAnsi="宋体" w:eastAsia="宋体" w:cs="宋体"/>
                <w:bCs/>
                <w:color w:val="auto"/>
                <w:szCs w:val="21"/>
                <w:highlight w:val="none"/>
              </w:rPr>
            </w:pPr>
          </w:p>
          <w:p w14:paraId="4864C082">
            <w:pPr>
              <w:widowControl/>
              <w:spacing w:line="240" w:lineRule="auto"/>
              <w:jc w:val="left"/>
              <w:rPr>
                <w:rFonts w:hint="eastAsia" w:ascii="宋体" w:hAnsi="宋体" w:eastAsia="宋体" w:cs="宋体"/>
                <w:bCs/>
                <w:color w:val="auto"/>
                <w:szCs w:val="21"/>
                <w:highlight w:val="none"/>
              </w:rPr>
            </w:pPr>
          </w:p>
          <w:p w14:paraId="62F67F94">
            <w:pPr>
              <w:widowControl/>
              <w:spacing w:line="240" w:lineRule="auto"/>
              <w:jc w:val="left"/>
              <w:rPr>
                <w:rFonts w:hint="eastAsia" w:ascii="宋体" w:hAnsi="宋体" w:eastAsia="宋体" w:cs="宋体"/>
                <w:bCs/>
                <w:color w:val="auto"/>
                <w:szCs w:val="21"/>
                <w:highlight w:val="none"/>
              </w:rPr>
            </w:pPr>
          </w:p>
          <w:p w14:paraId="43B6A9F8">
            <w:pPr>
              <w:widowControl/>
              <w:spacing w:line="240" w:lineRule="auto"/>
              <w:jc w:val="left"/>
              <w:rPr>
                <w:rFonts w:hint="eastAsia" w:ascii="宋体" w:hAnsi="宋体" w:eastAsia="宋体" w:cs="宋体"/>
                <w:bCs/>
                <w:color w:val="auto"/>
                <w:szCs w:val="21"/>
                <w:highlight w:val="none"/>
              </w:rPr>
            </w:pPr>
          </w:p>
          <w:p w14:paraId="58462B49">
            <w:pPr>
              <w:spacing w:line="240" w:lineRule="auto"/>
              <w:ind w:firstLine="2835" w:firstLineChars="1350"/>
              <w:jc w:val="left"/>
              <w:rPr>
                <w:rFonts w:hint="eastAsia" w:ascii="宋体" w:hAnsi="宋体" w:eastAsia="宋体" w:cs="宋体"/>
                <w:color w:val="auto"/>
                <w:highlight w:val="none"/>
              </w:rPr>
            </w:pPr>
            <w:r>
              <w:rPr>
                <w:rFonts w:hint="eastAsia" w:ascii="宋体" w:hAnsi="宋体" w:eastAsia="宋体" w:cs="宋体"/>
                <w:bCs/>
                <w:color w:val="auto"/>
                <w:szCs w:val="21"/>
                <w:highlight w:val="none"/>
              </w:rPr>
              <w:t>年  月  日</w:t>
            </w:r>
          </w:p>
        </w:tc>
      </w:tr>
    </w:tbl>
    <w:p w14:paraId="6422D294">
      <w:pPr>
        <w:bidi w:val="0"/>
        <w:rPr>
          <w:rFonts w:hint="eastAsia" w:ascii="宋体" w:hAnsi="宋体" w:eastAsia="宋体" w:cs="宋体"/>
          <w:color w:val="auto"/>
          <w:highlight w:val="none"/>
        </w:rPr>
      </w:pPr>
      <w:r>
        <w:rPr>
          <w:rFonts w:hint="eastAsia" w:ascii="宋体" w:hAnsi="宋体" w:eastAsia="宋体" w:cs="宋体"/>
          <w:color w:val="auto"/>
          <w:highlight w:val="none"/>
        </w:rPr>
        <w:t>四、工程竣工验收签证书</w:t>
      </w:r>
      <w:bookmarkEnd w:id="250"/>
      <w:bookmarkEnd w:id="251"/>
    </w:p>
    <w:p w14:paraId="7649ECC8">
      <w:pPr>
        <w:widowControl/>
        <w:adjustRightInd/>
        <w:snapToGrid/>
        <w:spacing w:line="360" w:lineRule="auto"/>
        <w:jc w:val="center"/>
        <w:rPr>
          <w:rFonts w:hint="eastAsia" w:ascii="宋体" w:hAnsi="宋体" w:eastAsia="宋体" w:cs="宋体"/>
          <w:b/>
          <w:color w:val="auto"/>
          <w:kern w:val="2"/>
          <w:szCs w:val="21"/>
          <w:highlight w:val="none"/>
        </w:rPr>
      </w:pPr>
      <w:r>
        <w:rPr>
          <w:rFonts w:hint="eastAsia" w:ascii="宋体" w:hAnsi="宋体" w:eastAsia="宋体" w:cs="宋体"/>
          <w:b/>
          <w:color w:val="auto"/>
          <w:kern w:val="2"/>
          <w:szCs w:val="21"/>
          <w:highlight w:val="none"/>
        </w:rPr>
        <w:t>工程竣工验收签证书</w:t>
      </w:r>
    </w:p>
    <w:p w14:paraId="17338D38">
      <w:pPr>
        <w:widowControl w:val="0"/>
        <w:tabs>
          <w:tab w:val="right" w:pos="9169"/>
        </w:tabs>
        <w:adjustRightInd/>
        <w:snapToGrid/>
        <w:spacing w:line="360" w:lineRule="auto"/>
        <w:ind w:right="-817" w:rightChars="-389"/>
        <w:jc w:val="both"/>
        <w:rPr>
          <w:rFonts w:hint="eastAsia" w:ascii="宋体" w:hAnsi="宋体" w:eastAsia="宋体" w:cs="宋体"/>
          <w:snapToGrid w:val="0"/>
          <w:color w:val="auto"/>
          <w:spacing w:val="-10"/>
          <w:kern w:val="0"/>
          <w:szCs w:val="21"/>
          <w:highlight w:val="none"/>
        </w:rPr>
      </w:pPr>
      <w:r>
        <w:rPr>
          <w:rFonts w:hint="eastAsia" w:ascii="宋体" w:hAnsi="宋体" w:eastAsia="宋体" w:cs="宋体"/>
          <w:snapToGrid w:val="0"/>
          <w:color w:val="auto"/>
          <w:spacing w:val="-10"/>
          <w:kern w:val="0"/>
          <w:szCs w:val="21"/>
          <w:highlight w:val="none"/>
        </w:rPr>
        <w:t>合同名称：                                                         编号：</w:t>
      </w:r>
    </w:p>
    <w:tbl>
      <w:tblPr>
        <w:tblStyle w:val="31"/>
        <w:tblW w:w="852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028"/>
        <w:gridCol w:w="3659"/>
        <w:gridCol w:w="1372"/>
        <w:gridCol w:w="1664"/>
      </w:tblGrid>
      <w:tr w14:paraId="68087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827" w:type="dxa"/>
            <w:gridSpan w:val="2"/>
            <w:tcBorders>
              <w:top w:val="single" w:color="000000" w:sz="12" w:space="0"/>
              <w:left w:val="single" w:color="auto" w:sz="12" w:space="0"/>
            </w:tcBorders>
            <w:vAlign w:val="top"/>
          </w:tcPr>
          <w:p w14:paraId="74A8DD1C">
            <w:pPr>
              <w:widowControl w:val="0"/>
              <w:adjustRightInd/>
              <w:snapToGrid/>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单位工程名称</w:t>
            </w:r>
          </w:p>
        </w:tc>
        <w:tc>
          <w:tcPr>
            <w:tcW w:w="3659" w:type="dxa"/>
            <w:tcBorders>
              <w:top w:val="single" w:color="000000" w:sz="12" w:space="0"/>
            </w:tcBorders>
            <w:vAlign w:val="top"/>
          </w:tcPr>
          <w:p w14:paraId="2F020017">
            <w:pPr>
              <w:widowControl w:val="0"/>
              <w:adjustRightInd/>
              <w:snapToGrid/>
              <w:spacing w:line="360" w:lineRule="auto"/>
              <w:jc w:val="both"/>
              <w:rPr>
                <w:rFonts w:hint="eastAsia" w:ascii="宋体" w:hAnsi="宋体" w:eastAsia="宋体" w:cs="宋体"/>
                <w:color w:val="auto"/>
                <w:kern w:val="2"/>
                <w:szCs w:val="21"/>
                <w:highlight w:val="none"/>
              </w:rPr>
            </w:pPr>
          </w:p>
        </w:tc>
        <w:tc>
          <w:tcPr>
            <w:tcW w:w="1372" w:type="dxa"/>
            <w:tcBorders>
              <w:top w:val="single" w:color="000000" w:sz="12" w:space="0"/>
            </w:tcBorders>
            <w:vAlign w:val="top"/>
          </w:tcPr>
          <w:p w14:paraId="0425C5CD">
            <w:pPr>
              <w:widowControl w:val="0"/>
              <w:adjustRightInd/>
              <w:snapToGrid/>
              <w:spacing w:line="360" w:lineRule="auto"/>
              <w:ind w:left="63" w:leftChars="30" w:right="40" w:rightChars="19"/>
              <w:jc w:val="distribute"/>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工程量</w:t>
            </w:r>
          </w:p>
        </w:tc>
        <w:tc>
          <w:tcPr>
            <w:tcW w:w="1664" w:type="dxa"/>
            <w:tcBorders>
              <w:top w:val="single" w:color="000000" w:sz="12" w:space="0"/>
              <w:right w:val="single" w:color="auto" w:sz="12" w:space="0"/>
            </w:tcBorders>
            <w:vAlign w:val="top"/>
          </w:tcPr>
          <w:p w14:paraId="0F39D0DC">
            <w:pPr>
              <w:widowControl w:val="0"/>
              <w:adjustRightInd/>
              <w:snapToGrid/>
              <w:spacing w:line="360" w:lineRule="auto"/>
              <w:jc w:val="both"/>
              <w:rPr>
                <w:rFonts w:hint="eastAsia" w:ascii="宋体" w:hAnsi="宋体" w:eastAsia="宋体" w:cs="宋体"/>
                <w:color w:val="auto"/>
                <w:kern w:val="2"/>
                <w:szCs w:val="21"/>
                <w:highlight w:val="none"/>
              </w:rPr>
            </w:pPr>
          </w:p>
        </w:tc>
      </w:tr>
      <w:tr w14:paraId="726AFD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2" w:hRule="atLeast"/>
        </w:trPr>
        <w:tc>
          <w:tcPr>
            <w:tcW w:w="1827" w:type="dxa"/>
            <w:gridSpan w:val="2"/>
            <w:tcBorders>
              <w:left w:val="single" w:color="auto" w:sz="12" w:space="0"/>
            </w:tcBorders>
            <w:vAlign w:val="top"/>
          </w:tcPr>
          <w:p w14:paraId="75887632">
            <w:pPr>
              <w:widowControl w:val="0"/>
              <w:adjustRightInd/>
              <w:snapToGrid/>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工 程 地 址</w:t>
            </w:r>
          </w:p>
        </w:tc>
        <w:tc>
          <w:tcPr>
            <w:tcW w:w="3659" w:type="dxa"/>
            <w:vAlign w:val="top"/>
          </w:tcPr>
          <w:p w14:paraId="0C8304E7">
            <w:pPr>
              <w:widowControl w:val="0"/>
              <w:adjustRightInd/>
              <w:snapToGrid/>
              <w:spacing w:line="360" w:lineRule="auto"/>
              <w:jc w:val="both"/>
              <w:rPr>
                <w:rFonts w:hint="eastAsia" w:ascii="宋体" w:hAnsi="宋体" w:eastAsia="宋体" w:cs="宋体"/>
                <w:color w:val="auto"/>
                <w:kern w:val="2"/>
                <w:szCs w:val="21"/>
                <w:highlight w:val="none"/>
              </w:rPr>
            </w:pPr>
          </w:p>
        </w:tc>
        <w:tc>
          <w:tcPr>
            <w:tcW w:w="1372" w:type="dxa"/>
            <w:vAlign w:val="top"/>
          </w:tcPr>
          <w:p w14:paraId="1FD6C6E9">
            <w:pPr>
              <w:widowControl w:val="0"/>
              <w:adjustRightInd/>
              <w:snapToGrid/>
              <w:spacing w:line="360" w:lineRule="auto"/>
              <w:ind w:left="63" w:leftChars="30" w:right="40" w:rightChars="19"/>
              <w:jc w:val="distribute"/>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工程造价</w:t>
            </w:r>
          </w:p>
        </w:tc>
        <w:tc>
          <w:tcPr>
            <w:tcW w:w="1664" w:type="dxa"/>
            <w:tcBorders>
              <w:right w:val="single" w:color="auto" w:sz="12" w:space="0"/>
            </w:tcBorders>
            <w:vAlign w:val="top"/>
          </w:tcPr>
          <w:p w14:paraId="29D9ADB7">
            <w:pPr>
              <w:widowControl w:val="0"/>
              <w:adjustRightInd/>
              <w:snapToGrid/>
              <w:spacing w:line="360" w:lineRule="auto"/>
              <w:jc w:val="both"/>
              <w:rPr>
                <w:rFonts w:hint="eastAsia" w:ascii="宋体" w:hAnsi="宋体" w:eastAsia="宋体" w:cs="宋体"/>
                <w:color w:val="auto"/>
                <w:kern w:val="2"/>
                <w:szCs w:val="21"/>
                <w:highlight w:val="none"/>
              </w:rPr>
            </w:pPr>
          </w:p>
        </w:tc>
      </w:tr>
      <w:tr w14:paraId="2FE746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827" w:type="dxa"/>
            <w:gridSpan w:val="2"/>
            <w:tcBorders>
              <w:left w:val="single" w:color="auto" w:sz="12" w:space="0"/>
            </w:tcBorders>
            <w:vAlign w:val="top"/>
          </w:tcPr>
          <w:p w14:paraId="376A5B9F">
            <w:pPr>
              <w:widowControl w:val="0"/>
              <w:adjustRightInd/>
              <w:snapToGrid/>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工 程 性 质</w:t>
            </w:r>
          </w:p>
        </w:tc>
        <w:tc>
          <w:tcPr>
            <w:tcW w:w="3659" w:type="dxa"/>
            <w:vAlign w:val="top"/>
          </w:tcPr>
          <w:p w14:paraId="7714719D">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清包工</w:t>
            </w:r>
          </w:p>
        </w:tc>
        <w:tc>
          <w:tcPr>
            <w:tcW w:w="1372" w:type="dxa"/>
            <w:vAlign w:val="top"/>
          </w:tcPr>
          <w:p w14:paraId="1AE367EC">
            <w:pPr>
              <w:widowControl w:val="0"/>
              <w:adjustRightInd/>
              <w:snapToGrid/>
              <w:spacing w:line="360" w:lineRule="auto"/>
              <w:ind w:left="63" w:leftChars="30" w:right="40" w:rightChars="19"/>
              <w:jc w:val="distribute"/>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竣工日期</w:t>
            </w:r>
          </w:p>
        </w:tc>
        <w:tc>
          <w:tcPr>
            <w:tcW w:w="1664" w:type="dxa"/>
            <w:tcBorders>
              <w:right w:val="single" w:color="auto" w:sz="12" w:space="0"/>
            </w:tcBorders>
            <w:vAlign w:val="top"/>
          </w:tcPr>
          <w:p w14:paraId="151348E7">
            <w:pPr>
              <w:widowControl w:val="0"/>
              <w:adjustRightInd/>
              <w:snapToGrid/>
              <w:spacing w:line="360" w:lineRule="auto"/>
              <w:jc w:val="both"/>
              <w:rPr>
                <w:rFonts w:hint="eastAsia" w:ascii="宋体" w:hAnsi="宋体" w:eastAsia="宋体" w:cs="宋体"/>
                <w:color w:val="auto"/>
                <w:kern w:val="2"/>
                <w:szCs w:val="21"/>
                <w:highlight w:val="none"/>
              </w:rPr>
            </w:pPr>
          </w:p>
        </w:tc>
      </w:tr>
      <w:tr w14:paraId="7827AF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4" w:hRule="atLeast"/>
        </w:trPr>
        <w:tc>
          <w:tcPr>
            <w:tcW w:w="1827" w:type="dxa"/>
            <w:gridSpan w:val="2"/>
            <w:tcBorders>
              <w:left w:val="single" w:color="auto" w:sz="12" w:space="0"/>
            </w:tcBorders>
            <w:vAlign w:val="top"/>
          </w:tcPr>
          <w:p w14:paraId="73847DD3">
            <w:pPr>
              <w:widowControl w:val="0"/>
              <w:adjustRightInd/>
              <w:snapToGrid/>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 工 单 位</w:t>
            </w:r>
          </w:p>
        </w:tc>
        <w:tc>
          <w:tcPr>
            <w:tcW w:w="3659" w:type="dxa"/>
            <w:vAlign w:val="top"/>
          </w:tcPr>
          <w:p w14:paraId="05A97CE8">
            <w:pPr>
              <w:widowControl w:val="0"/>
              <w:adjustRightInd/>
              <w:snapToGrid/>
              <w:spacing w:line="360" w:lineRule="auto"/>
              <w:jc w:val="both"/>
              <w:rPr>
                <w:rFonts w:hint="eastAsia" w:ascii="宋体" w:hAnsi="宋体" w:eastAsia="宋体" w:cs="宋体"/>
                <w:color w:val="auto"/>
                <w:kern w:val="2"/>
                <w:szCs w:val="21"/>
                <w:highlight w:val="none"/>
              </w:rPr>
            </w:pPr>
          </w:p>
        </w:tc>
        <w:tc>
          <w:tcPr>
            <w:tcW w:w="1372" w:type="dxa"/>
            <w:vAlign w:val="top"/>
          </w:tcPr>
          <w:p w14:paraId="53FABD73">
            <w:pPr>
              <w:widowControl w:val="0"/>
              <w:adjustRightInd/>
              <w:snapToGrid/>
              <w:spacing w:line="360" w:lineRule="auto"/>
              <w:ind w:left="63" w:leftChars="30" w:right="40" w:rightChars="19"/>
              <w:jc w:val="distribute"/>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质量总评</w:t>
            </w:r>
          </w:p>
        </w:tc>
        <w:tc>
          <w:tcPr>
            <w:tcW w:w="1664" w:type="dxa"/>
            <w:tcBorders>
              <w:right w:val="single" w:color="auto" w:sz="12" w:space="0"/>
            </w:tcBorders>
            <w:vAlign w:val="top"/>
          </w:tcPr>
          <w:p w14:paraId="42830F57">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合格</w:t>
            </w:r>
          </w:p>
        </w:tc>
      </w:tr>
      <w:tr w14:paraId="3E0963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900" w:hRule="atLeast"/>
        </w:trPr>
        <w:tc>
          <w:tcPr>
            <w:tcW w:w="8522" w:type="dxa"/>
            <w:gridSpan w:val="5"/>
            <w:tcBorders>
              <w:left w:val="single" w:color="auto" w:sz="12" w:space="0"/>
              <w:right w:val="single" w:color="auto" w:sz="12" w:space="0"/>
            </w:tcBorders>
            <w:vAlign w:val="top"/>
          </w:tcPr>
          <w:p w14:paraId="59B0A70B">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工程范围及内容：</w:t>
            </w:r>
          </w:p>
          <w:p w14:paraId="3B94D4A8">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  </w:t>
            </w:r>
          </w:p>
        </w:tc>
      </w:tr>
      <w:tr w14:paraId="3ABB6C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52" w:hRule="atLeast"/>
        </w:trPr>
        <w:tc>
          <w:tcPr>
            <w:tcW w:w="799" w:type="dxa"/>
            <w:tcBorders>
              <w:left w:val="single" w:color="auto" w:sz="12" w:space="0"/>
            </w:tcBorders>
            <w:vAlign w:val="center"/>
          </w:tcPr>
          <w:p w14:paraId="2F9FEC1A">
            <w:pPr>
              <w:widowControl w:val="0"/>
              <w:adjustRightInd/>
              <w:snapToGrid/>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验</w:t>
            </w:r>
          </w:p>
          <w:p w14:paraId="65BBB926">
            <w:pPr>
              <w:widowControl w:val="0"/>
              <w:adjustRightInd/>
              <w:snapToGrid/>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收</w:t>
            </w:r>
          </w:p>
          <w:p w14:paraId="47AA8ED6">
            <w:pPr>
              <w:widowControl w:val="0"/>
              <w:adjustRightInd/>
              <w:snapToGrid/>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意</w:t>
            </w:r>
          </w:p>
          <w:p w14:paraId="50C972C5">
            <w:pPr>
              <w:widowControl w:val="0"/>
              <w:adjustRightInd/>
              <w:snapToGrid/>
              <w:spacing w:line="360" w:lineRule="auto"/>
              <w:jc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见</w:t>
            </w:r>
          </w:p>
        </w:tc>
        <w:tc>
          <w:tcPr>
            <w:tcW w:w="7723" w:type="dxa"/>
            <w:gridSpan w:val="4"/>
            <w:tcBorders>
              <w:right w:val="single" w:color="auto" w:sz="12" w:space="0"/>
            </w:tcBorders>
            <w:vAlign w:val="center"/>
          </w:tcPr>
          <w:p w14:paraId="76E8787C">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     工程完成，工程质量符合要求，验收合格。</w:t>
            </w:r>
          </w:p>
        </w:tc>
      </w:tr>
      <w:tr w14:paraId="2C043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28" w:hRule="atLeast"/>
        </w:trPr>
        <w:tc>
          <w:tcPr>
            <w:tcW w:w="8522" w:type="dxa"/>
            <w:gridSpan w:val="5"/>
            <w:tcBorders>
              <w:left w:val="single" w:color="auto" w:sz="12" w:space="0"/>
              <w:bottom w:val="single" w:color="auto" w:sz="12" w:space="0"/>
              <w:right w:val="single" w:color="auto" w:sz="12" w:space="0"/>
            </w:tcBorders>
            <w:vAlign w:val="top"/>
          </w:tcPr>
          <w:p w14:paraId="3066BC34">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上述工程验收手续于   年  月  日已由甲、乙双方办理完成，认为全部工程质量标准合乎设计要求，特填具验收/移交证明书。</w:t>
            </w:r>
          </w:p>
          <w:p w14:paraId="199D9043">
            <w:pPr>
              <w:widowControl w:val="0"/>
              <w:adjustRightInd/>
              <w:snapToGrid/>
              <w:spacing w:line="360" w:lineRule="auto"/>
              <w:jc w:val="both"/>
              <w:rPr>
                <w:rFonts w:hint="eastAsia" w:ascii="宋体" w:hAnsi="宋体" w:eastAsia="宋体" w:cs="宋体"/>
                <w:color w:val="auto"/>
                <w:kern w:val="2"/>
                <w:szCs w:val="21"/>
                <w:highlight w:val="none"/>
              </w:rPr>
            </w:pPr>
          </w:p>
          <w:p w14:paraId="19BE2342">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施工单位（公章）          主管人：                 项目负责人：</w:t>
            </w:r>
          </w:p>
          <w:p w14:paraId="5E32F08D">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建设单位（公章）          主管人：                 项目负责人：</w:t>
            </w:r>
          </w:p>
          <w:p w14:paraId="24B0327C">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其他参加验收人员：</w:t>
            </w:r>
          </w:p>
          <w:p w14:paraId="52C01811">
            <w:pPr>
              <w:widowControl w:val="0"/>
              <w:adjustRightInd/>
              <w:snapToGrid/>
              <w:spacing w:line="360" w:lineRule="auto"/>
              <w:jc w:val="both"/>
              <w:rPr>
                <w:rFonts w:hint="eastAsia" w:ascii="宋体" w:hAnsi="宋体" w:eastAsia="宋体" w:cs="宋体"/>
                <w:color w:val="auto"/>
                <w:kern w:val="2"/>
                <w:szCs w:val="21"/>
                <w:highlight w:val="none"/>
              </w:rPr>
            </w:pPr>
          </w:p>
          <w:p w14:paraId="6AADA2AF">
            <w:pPr>
              <w:widowControl w:val="0"/>
              <w:adjustRightInd/>
              <w:snapToGrid/>
              <w:spacing w:line="360" w:lineRule="auto"/>
              <w:jc w:val="both"/>
              <w:rPr>
                <w:rFonts w:hint="eastAsia" w:ascii="宋体" w:hAnsi="宋体" w:eastAsia="宋体" w:cs="宋体"/>
                <w:color w:val="auto"/>
                <w:kern w:val="2"/>
                <w:szCs w:val="21"/>
                <w:highlight w:val="none"/>
              </w:rPr>
            </w:pPr>
          </w:p>
        </w:tc>
      </w:tr>
    </w:tbl>
    <w:p w14:paraId="49B1F18F">
      <w:pPr>
        <w:widowControl w:val="0"/>
        <w:adjustRightInd/>
        <w:snapToGrid/>
        <w:spacing w:line="360" w:lineRule="auto"/>
        <w:ind w:left="420" w:right="113" w:rightChars="54" w:hanging="420" w:hangingChars="20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注：此签证书是工程验收合格移交时所用表格，为工程竣工决算必备文件，是工程移交的证明文件，亦是质保期开始点的证明文件。</w:t>
      </w:r>
    </w:p>
    <w:p w14:paraId="79BB1C9B">
      <w:pPr>
        <w:pStyle w:val="10"/>
        <w:rPr>
          <w:rFonts w:hint="eastAsia" w:ascii="宋体" w:hAnsi="宋体" w:eastAsia="宋体" w:cs="宋体"/>
          <w:color w:val="auto"/>
          <w:highlight w:val="none"/>
        </w:rPr>
      </w:pPr>
    </w:p>
    <w:p w14:paraId="137AD35A">
      <w:pPr>
        <w:bidi w:val="0"/>
        <w:rPr>
          <w:rFonts w:hint="eastAsia" w:ascii="宋体" w:hAnsi="宋体" w:eastAsia="宋体" w:cs="宋体"/>
          <w:color w:val="auto"/>
          <w:highlight w:val="none"/>
        </w:rPr>
      </w:pPr>
      <w:bookmarkStart w:id="252" w:name="_Toc10304"/>
      <w:bookmarkStart w:id="253" w:name="_Toc131690847"/>
      <w:r>
        <w:rPr>
          <w:rFonts w:hint="eastAsia" w:ascii="宋体" w:hAnsi="宋体" w:eastAsia="宋体" w:cs="宋体"/>
          <w:color w:val="auto"/>
          <w:highlight w:val="none"/>
        </w:rPr>
        <w:t>五、工程验收</w:t>
      </w:r>
      <w:r>
        <w:rPr>
          <w:rFonts w:hint="eastAsia" w:ascii="宋体" w:hAnsi="宋体" w:eastAsia="宋体" w:cs="宋体"/>
          <w:color w:val="auto"/>
          <w:highlight w:val="none"/>
          <w:lang w:val="en-US" w:eastAsia="zh-CN"/>
        </w:rPr>
        <w:t>核算单</w:t>
      </w:r>
      <w:bookmarkEnd w:id="252"/>
      <w:bookmarkEnd w:id="253"/>
    </w:p>
    <w:p w14:paraId="77D73582">
      <w:pPr>
        <w:bidi w:val="0"/>
        <w:rPr>
          <w:rFonts w:hint="eastAsia" w:ascii="宋体" w:hAnsi="宋体" w:eastAsia="宋体" w:cs="宋体"/>
          <w:color w:val="auto"/>
          <w:highlight w:val="none"/>
        </w:rPr>
      </w:pPr>
      <w:bookmarkStart w:id="254" w:name="_Toc28719"/>
      <w:bookmarkStart w:id="255" w:name="_Toc131690848"/>
      <w:bookmarkStart w:id="256" w:name="_Toc23854"/>
      <w:r>
        <w:rPr>
          <w:rFonts w:hint="eastAsia" w:ascii="宋体" w:hAnsi="宋体" w:eastAsia="宋体" w:cs="宋体"/>
          <w:color w:val="auto"/>
          <w:highlight w:val="none"/>
        </w:rPr>
        <w:t>（一）锅炉与尾气系统常规项目工程验收</w:t>
      </w:r>
      <w:r>
        <w:rPr>
          <w:rFonts w:hint="eastAsia" w:ascii="宋体" w:hAnsi="宋体" w:eastAsia="宋体" w:cs="宋体"/>
          <w:color w:val="auto"/>
          <w:highlight w:val="none"/>
          <w:lang w:val="en-US" w:eastAsia="zh-CN"/>
        </w:rPr>
        <w:t>核算单</w:t>
      </w:r>
      <w:r>
        <w:rPr>
          <w:rFonts w:hint="eastAsia" w:ascii="宋体" w:hAnsi="宋体" w:eastAsia="宋体" w:cs="宋体"/>
          <w:color w:val="auto"/>
          <w:highlight w:val="none"/>
        </w:rPr>
        <w:t>：</w:t>
      </w:r>
      <w:bookmarkEnd w:id="254"/>
      <w:bookmarkEnd w:id="255"/>
      <w:bookmarkEnd w:id="256"/>
    </w:p>
    <w:tbl>
      <w:tblPr>
        <w:tblStyle w:val="31"/>
        <w:tblW w:w="841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5"/>
        <w:gridCol w:w="665"/>
        <w:gridCol w:w="665"/>
        <w:gridCol w:w="1331"/>
        <w:gridCol w:w="665"/>
        <w:gridCol w:w="661"/>
        <w:gridCol w:w="443"/>
        <w:gridCol w:w="846"/>
        <w:gridCol w:w="543"/>
        <w:gridCol w:w="543"/>
        <w:gridCol w:w="544"/>
        <w:gridCol w:w="847"/>
      </w:tblGrid>
      <w:tr w14:paraId="59CEA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66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5AE0777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665" w:type="dxa"/>
            <w:vMerge w:val="restart"/>
            <w:tcBorders>
              <w:top w:val="single" w:color="000000" w:sz="8" w:space="0"/>
              <w:left w:val="nil"/>
              <w:bottom w:val="single" w:color="000000" w:sz="8" w:space="0"/>
              <w:right w:val="single" w:color="000000" w:sz="8" w:space="0"/>
            </w:tcBorders>
            <w:shd w:val="clear" w:color="auto" w:fill="auto"/>
            <w:vAlign w:val="center"/>
          </w:tcPr>
          <w:p w14:paraId="0EBA7637">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系统名称</w:t>
            </w:r>
          </w:p>
        </w:tc>
        <w:tc>
          <w:tcPr>
            <w:tcW w:w="665" w:type="dxa"/>
            <w:vMerge w:val="restart"/>
            <w:tcBorders>
              <w:top w:val="single" w:color="000000" w:sz="8" w:space="0"/>
              <w:left w:val="nil"/>
              <w:bottom w:val="single" w:color="000000" w:sz="8" w:space="0"/>
              <w:right w:val="single" w:color="000000" w:sz="8" w:space="0"/>
            </w:tcBorders>
            <w:shd w:val="clear" w:color="auto" w:fill="auto"/>
            <w:vAlign w:val="center"/>
          </w:tcPr>
          <w:p w14:paraId="7E9D3CA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部件名称</w:t>
            </w:r>
          </w:p>
        </w:tc>
        <w:tc>
          <w:tcPr>
            <w:tcW w:w="1331" w:type="dxa"/>
            <w:vMerge w:val="restart"/>
            <w:tcBorders>
              <w:top w:val="single" w:color="000000" w:sz="8" w:space="0"/>
              <w:left w:val="nil"/>
              <w:bottom w:val="single" w:color="000000" w:sz="8" w:space="0"/>
              <w:right w:val="single" w:color="000000" w:sz="8" w:space="0"/>
            </w:tcBorders>
            <w:shd w:val="clear" w:color="auto" w:fill="auto"/>
            <w:vAlign w:val="center"/>
          </w:tcPr>
          <w:p w14:paraId="24B5CF2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常规项目</w:t>
            </w:r>
          </w:p>
        </w:tc>
        <w:tc>
          <w:tcPr>
            <w:tcW w:w="1326" w:type="dxa"/>
            <w:gridSpan w:val="2"/>
            <w:tcBorders>
              <w:top w:val="single" w:color="000000" w:sz="8" w:space="0"/>
              <w:left w:val="nil"/>
              <w:bottom w:val="single" w:color="000000" w:sz="8" w:space="0"/>
              <w:right w:val="single" w:color="000000" w:sz="8" w:space="0"/>
            </w:tcBorders>
            <w:shd w:val="clear" w:color="auto" w:fill="auto"/>
            <w:vAlign w:val="center"/>
          </w:tcPr>
          <w:p w14:paraId="3E0AB37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2"/>
                <w:szCs w:val="21"/>
                <w:highlight w:val="none"/>
              </w:rPr>
              <w:t>常规项目单项价格（元）</w:t>
            </w:r>
          </w:p>
        </w:tc>
        <w:tc>
          <w:tcPr>
            <w:tcW w:w="443" w:type="dxa"/>
            <w:vMerge w:val="restart"/>
            <w:tcBorders>
              <w:top w:val="single" w:color="000000" w:sz="8" w:space="0"/>
              <w:left w:val="nil"/>
              <w:right w:val="single" w:color="000000" w:sz="8" w:space="0"/>
            </w:tcBorders>
            <w:shd w:val="clear" w:color="auto" w:fill="auto"/>
            <w:vAlign w:val="center"/>
          </w:tcPr>
          <w:p w14:paraId="52D24B1D">
            <w:pPr>
              <w:widowControl w:val="0"/>
              <w:autoSpaceDN w:val="0"/>
              <w:adjustRightInd/>
              <w:snapToGrid/>
              <w:spacing w:line="240" w:lineRule="auto"/>
              <w:jc w:val="both"/>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申报</w:t>
            </w:r>
          </w:p>
          <w:p w14:paraId="656A04EB">
            <w:pPr>
              <w:widowControl w:val="0"/>
              <w:autoSpaceDN w:val="0"/>
              <w:adjustRightInd/>
              <w:snapToGrid/>
              <w:spacing w:line="240" w:lineRule="auto"/>
              <w:jc w:val="both"/>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工程量</w:t>
            </w:r>
          </w:p>
        </w:tc>
        <w:tc>
          <w:tcPr>
            <w:tcW w:w="846" w:type="dxa"/>
            <w:vMerge w:val="restart"/>
            <w:tcBorders>
              <w:top w:val="single" w:color="000000" w:sz="8" w:space="0"/>
              <w:left w:val="nil"/>
              <w:right w:val="single" w:color="000000" w:sz="8" w:space="0"/>
            </w:tcBorders>
            <w:shd w:val="clear" w:color="auto" w:fill="auto"/>
            <w:vAlign w:val="center"/>
          </w:tcPr>
          <w:p w14:paraId="1B30BF22">
            <w:pPr>
              <w:widowControl w:val="0"/>
              <w:autoSpaceDN w:val="0"/>
              <w:adjustRightInd/>
              <w:snapToGrid/>
              <w:spacing w:line="240" w:lineRule="auto"/>
              <w:jc w:val="center"/>
              <w:textAlignment w:val="center"/>
              <w:rPr>
                <w:rFonts w:hint="eastAsia" w:ascii="宋体" w:hAnsi="宋体" w:eastAsia="宋体" w:cs="宋体"/>
                <w:color w:val="auto"/>
                <w:kern w:val="2"/>
                <w:szCs w:val="21"/>
                <w:highlight w:val="none"/>
              </w:rPr>
            </w:pPr>
            <w:r>
              <w:rPr>
                <w:rFonts w:hint="eastAsia" w:ascii="宋体" w:hAnsi="宋体" w:cs="宋体"/>
                <w:color w:val="auto"/>
                <w:kern w:val="2"/>
                <w:szCs w:val="21"/>
                <w:highlight w:val="none"/>
                <w:lang w:val="en-US" w:eastAsia="zh-CN"/>
              </w:rPr>
              <w:t>申报</w:t>
            </w:r>
            <w:r>
              <w:rPr>
                <w:rFonts w:hint="eastAsia" w:ascii="宋体" w:hAnsi="宋体" w:eastAsia="宋体" w:cs="宋体"/>
                <w:color w:val="auto"/>
                <w:kern w:val="2"/>
                <w:szCs w:val="21"/>
                <w:highlight w:val="none"/>
              </w:rPr>
              <w:t>价格（元）</w:t>
            </w:r>
          </w:p>
        </w:tc>
        <w:tc>
          <w:tcPr>
            <w:tcW w:w="543" w:type="dxa"/>
            <w:vMerge w:val="restart"/>
            <w:tcBorders>
              <w:top w:val="single" w:color="000000" w:sz="8" w:space="0"/>
              <w:left w:val="nil"/>
              <w:right w:val="single" w:color="000000" w:sz="8" w:space="0"/>
            </w:tcBorders>
            <w:shd w:val="clear" w:color="auto" w:fill="auto"/>
            <w:vAlign w:val="center"/>
          </w:tcPr>
          <w:p w14:paraId="5711646A">
            <w:pPr>
              <w:widowControl w:val="0"/>
              <w:autoSpaceDN w:val="0"/>
              <w:adjustRightInd/>
              <w:snapToGrid/>
              <w:spacing w:line="24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核实工程量</w:t>
            </w:r>
          </w:p>
        </w:tc>
        <w:tc>
          <w:tcPr>
            <w:tcW w:w="543" w:type="dxa"/>
            <w:vMerge w:val="restart"/>
            <w:tcBorders>
              <w:top w:val="single" w:color="000000" w:sz="8" w:space="0"/>
              <w:left w:val="nil"/>
              <w:right w:val="single" w:color="000000" w:sz="8" w:space="0"/>
            </w:tcBorders>
            <w:shd w:val="clear" w:color="auto" w:fill="auto"/>
            <w:vAlign w:val="center"/>
          </w:tcPr>
          <w:p w14:paraId="1A14E23A">
            <w:pPr>
              <w:widowControl w:val="0"/>
              <w:autoSpaceDN w:val="0"/>
              <w:adjustRightInd/>
              <w:snapToGrid/>
              <w:spacing w:line="24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验收及核实人</w:t>
            </w:r>
          </w:p>
        </w:tc>
        <w:tc>
          <w:tcPr>
            <w:tcW w:w="544" w:type="dxa"/>
            <w:vMerge w:val="restart"/>
            <w:tcBorders>
              <w:top w:val="single" w:color="000000" w:sz="8" w:space="0"/>
              <w:left w:val="nil"/>
              <w:right w:val="single" w:color="000000" w:sz="8" w:space="0"/>
            </w:tcBorders>
            <w:shd w:val="clear" w:color="auto" w:fill="auto"/>
            <w:vAlign w:val="center"/>
          </w:tcPr>
          <w:p w14:paraId="220C1D23">
            <w:pPr>
              <w:widowControl w:val="0"/>
              <w:autoSpaceDN w:val="0"/>
              <w:adjustRightInd/>
              <w:snapToGrid/>
              <w:spacing w:line="24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核实说明及备注</w:t>
            </w:r>
          </w:p>
        </w:tc>
        <w:tc>
          <w:tcPr>
            <w:tcW w:w="847" w:type="dxa"/>
            <w:vMerge w:val="restart"/>
            <w:tcBorders>
              <w:top w:val="single" w:color="000000" w:sz="8" w:space="0"/>
              <w:left w:val="nil"/>
              <w:right w:val="single" w:color="000000" w:sz="8" w:space="0"/>
            </w:tcBorders>
            <w:shd w:val="clear" w:color="auto" w:fill="auto"/>
            <w:vAlign w:val="center"/>
          </w:tcPr>
          <w:p w14:paraId="441911E4">
            <w:pPr>
              <w:widowControl w:val="0"/>
              <w:autoSpaceDN w:val="0"/>
              <w:adjustRightInd/>
              <w:snapToGrid/>
              <w:spacing w:line="24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核实价格</w:t>
            </w:r>
          </w:p>
          <w:p w14:paraId="4187D5B4">
            <w:pPr>
              <w:widowControl w:val="0"/>
              <w:autoSpaceDN w:val="0"/>
              <w:adjustRightInd/>
              <w:snapToGrid/>
              <w:spacing w:line="24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（元）</w:t>
            </w:r>
          </w:p>
        </w:tc>
      </w:tr>
      <w:tr w14:paraId="74E5D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B41EC26">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single" w:color="000000" w:sz="8" w:space="0"/>
              <w:left w:val="nil"/>
              <w:bottom w:val="single" w:color="000000" w:sz="8" w:space="0"/>
              <w:right w:val="single" w:color="000000" w:sz="8" w:space="0"/>
            </w:tcBorders>
            <w:shd w:val="clear" w:color="auto" w:fill="auto"/>
            <w:vAlign w:val="center"/>
          </w:tcPr>
          <w:p w14:paraId="6E3CA1A2">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single" w:color="000000" w:sz="8" w:space="0"/>
              <w:left w:val="nil"/>
              <w:bottom w:val="single" w:color="000000" w:sz="8" w:space="0"/>
              <w:right w:val="single" w:color="000000" w:sz="8" w:space="0"/>
            </w:tcBorders>
            <w:shd w:val="clear" w:color="auto" w:fill="auto"/>
            <w:vAlign w:val="center"/>
          </w:tcPr>
          <w:p w14:paraId="1A71F0D6">
            <w:pPr>
              <w:spacing w:line="240" w:lineRule="auto"/>
              <w:jc w:val="center"/>
              <w:rPr>
                <w:rFonts w:hint="eastAsia" w:ascii="宋体" w:hAnsi="宋体" w:eastAsia="宋体" w:cs="宋体"/>
                <w:i w:val="0"/>
                <w:iCs w:val="0"/>
                <w:color w:val="auto"/>
                <w:sz w:val="21"/>
                <w:szCs w:val="21"/>
                <w:highlight w:val="none"/>
                <w:u w:val="none"/>
              </w:rPr>
            </w:pPr>
          </w:p>
        </w:tc>
        <w:tc>
          <w:tcPr>
            <w:tcW w:w="1331" w:type="dxa"/>
            <w:vMerge w:val="continue"/>
            <w:tcBorders>
              <w:top w:val="single" w:color="000000" w:sz="8" w:space="0"/>
              <w:left w:val="nil"/>
              <w:bottom w:val="single" w:color="000000" w:sz="8" w:space="0"/>
              <w:right w:val="single" w:color="000000" w:sz="8" w:space="0"/>
            </w:tcBorders>
            <w:shd w:val="clear" w:color="auto" w:fill="auto"/>
            <w:vAlign w:val="center"/>
          </w:tcPr>
          <w:p w14:paraId="25B41139">
            <w:pPr>
              <w:spacing w:line="240" w:lineRule="auto"/>
              <w:jc w:val="center"/>
              <w:rPr>
                <w:rFonts w:hint="eastAsia" w:ascii="宋体" w:hAnsi="宋体" w:eastAsia="宋体" w:cs="宋体"/>
                <w:i w:val="0"/>
                <w:iCs w:val="0"/>
                <w:color w:val="auto"/>
                <w:sz w:val="21"/>
                <w:szCs w:val="21"/>
                <w:highlight w:val="none"/>
                <w:u w:val="none"/>
              </w:rPr>
            </w:pPr>
          </w:p>
        </w:tc>
        <w:tc>
          <w:tcPr>
            <w:tcW w:w="665" w:type="dxa"/>
            <w:tcBorders>
              <w:top w:val="nil"/>
              <w:left w:val="nil"/>
              <w:bottom w:val="single" w:color="000000" w:sz="8" w:space="0"/>
              <w:right w:val="single" w:color="000000" w:sz="8" w:space="0"/>
            </w:tcBorders>
            <w:shd w:val="clear" w:color="auto" w:fill="auto"/>
            <w:vAlign w:val="center"/>
          </w:tcPr>
          <w:p w14:paraId="3772D1F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单位</w:t>
            </w:r>
          </w:p>
        </w:tc>
        <w:tc>
          <w:tcPr>
            <w:tcW w:w="661" w:type="dxa"/>
            <w:tcBorders>
              <w:top w:val="single" w:color="000000" w:sz="8" w:space="0"/>
              <w:left w:val="nil"/>
              <w:bottom w:val="single" w:color="000000" w:sz="8" w:space="0"/>
              <w:right w:val="single" w:color="000000" w:sz="8" w:space="0"/>
            </w:tcBorders>
            <w:shd w:val="clear" w:color="auto" w:fill="auto"/>
            <w:vAlign w:val="center"/>
          </w:tcPr>
          <w:p w14:paraId="3DCD5F92">
            <w:pPr>
              <w:widowControl w:val="0"/>
              <w:autoSpaceDN w:val="0"/>
              <w:adjustRightInd/>
              <w:snapToGrid/>
              <w:spacing w:line="24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综合</w:t>
            </w:r>
          </w:p>
          <w:p w14:paraId="4631729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2"/>
                <w:szCs w:val="21"/>
                <w:highlight w:val="none"/>
              </w:rPr>
              <w:t>单价</w:t>
            </w:r>
          </w:p>
        </w:tc>
        <w:tc>
          <w:tcPr>
            <w:tcW w:w="443" w:type="dxa"/>
            <w:vMerge w:val="continue"/>
            <w:tcBorders>
              <w:left w:val="nil"/>
              <w:bottom w:val="single" w:color="000000" w:sz="8" w:space="0"/>
              <w:right w:val="single" w:color="000000" w:sz="8" w:space="0"/>
            </w:tcBorders>
            <w:shd w:val="clear" w:color="auto" w:fill="auto"/>
            <w:vAlign w:val="center"/>
          </w:tcPr>
          <w:p w14:paraId="34CB4038">
            <w:pPr>
              <w:keepNext w:val="0"/>
              <w:keepLines w:val="0"/>
              <w:widowControl/>
              <w:suppressLineNumbers w:val="0"/>
              <w:spacing w:line="240" w:lineRule="auto"/>
              <w:jc w:val="center"/>
              <w:textAlignment w:val="center"/>
              <w:rPr>
                <w:rFonts w:hint="eastAsia" w:ascii="宋体" w:hAnsi="宋体" w:eastAsia="宋体" w:cs="宋体"/>
                <w:color w:val="auto"/>
                <w:kern w:val="2"/>
                <w:szCs w:val="21"/>
                <w:highlight w:val="none"/>
              </w:rPr>
            </w:pPr>
          </w:p>
        </w:tc>
        <w:tc>
          <w:tcPr>
            <w:tcW w:w="846" w:type="dxa"/>
            <w:vMerge w:val="continue"/>
            <w:tcBorders>
              <w:left w:val="nil"/>
              <w:bottom w:val="single" w:color="000000" w:sz="8" w:space="0"/>
              <w:right w:val="single" w:color="000000" w:sz="8" w:space="0"/>
            </w:tcBorders>
            <w:shd w:val="clear" w:color="auto" w:fill="auto"/>
            <w:vAlign w:val="center"/>
          </w:tcPr>
          <w:p w14:paraId="2DA71205">
            <w:pPr>
              <w:keepNext w:val="0"/>
              <w:keepLines w:val="0"/>
              <w:widowControl/>
              <w:suppressLineNumbers w:val="0"/>
              <w:spacing w:line="240" w:lineRule="auto"/>
              <w:jc w:val="center"/>
              <w:textAlignment w:val="center"/>
              <w:rPr>
                <w:rFonts w:hint="eastAsia" w:ascii="宋体" w:hAnsi="宋体" w:eastAsia="宋体" w:cs="宋体"/>
                <w:color w:val="auto"/>
                <w:kern w:val="2"/>
                <w:szCs w:val="21"/>
                <w:highlight w:val="none"/>
              </w:rPr>
            </w:pPr>
          </w:p>
        </w:tc>
        <w:tc>
          <w:tcPr>
            <w:tcW w:w="543" w:type="dxa"/>
            <w:vMerge w:val="continue"/>
            <w:tcBorders>
              <w:left w:val="nil"/>
              <w:bottom w:val="single" w:color="000000" w:sz="8" w:space="0"/>
              <w:right w:val="single" w:color="000000" w:sz="8" w:space="0"/>
            </w:tcBorders>
            <w:shd w:val="clear" w:color="auto" w:fill="auto"/>
            <w:vAlign w:val="center"/>
          </w:tcPr>
          <w:p w14:paraId="7279269E">
            <w:pPr>
              <w:keepNext w:val="0"/>
              <w:keepLines w:val="0"/>
              <w:widowControl/>
              <w:suppressLineNumbers w:val="0"/>
              <w:spacing w:line="240" w:lineRule="auto"/>
              <w:jc w:val="center"/>
              <w:textAlignment w:val="center"/>
              <w:rPr>
                <w:rFonts w:hint="eastAsia" w:ascii="宋体" w:hAnsi="宋体" w:eastAsia="宋体" w:cs="宋体"/>
                <w:color w:val="auto"/>
                <w:kern w:val="2"/>
                <w:szCs w:val="21"/>
                <w:highlight w:val="none"/>
              </w:rPr>
            </w:pPr>
          </w:p>
        </w:tc>
        <w:tc>
          <w:tcPr>
            <w:tcW w:w="543" w:type="dxa"/>
            <w:vMerge w:val="continue"/>
            <w:tcBorders>
              <w:left w:val="nil"/>
              <w:bottom w:val="single" w:color="000000" w:sz="8" w:space="0"/>
              <w:right w:val="single" w:color="000000" w:sz="8" w:space="0"/>
            </w:tcBorders>
            <w:shd w:val="clear" w:color="auto" w:fill="auto"/>
            <w:vAlign w:val="center"/>
          </w:tcPr>
          <w:p w14:paraId="47A784C4">
            <w:pPr>
              <w:keepNext w:val="0"/>
              <w:keepLines w:val="0"/>
              <w:widowControl/>
              <w:suppressLineNumbers w:val="0"/>
              <w:spacing w:line="240" w:lineRule="auto"/>
              <w:jc w:val="center"/>
              <w:textAlignment w:val="center"/>
              <w:rPr>
                <w:rFonts w:hint="eastAsia" w:ascii="宋体" w:hAnsi="宋体" w:eastAsia="宋体" w:cs="宋体"/>
                <w:color w:val="auto"/>
                <w:kern w:val="2"/>
                <w:szCs w:val="21"/>
                <w:highlight w:val="none"/>
              </w:rPr>
            </w:pPr>
          </w:p>
        </w:tc>
        <w:tc>
          <w:tcPr>
            <w:tcW w:w="544" w:type="dxa"/>
            <w:vMerge w:val="continue"/>
            <w:tcBorders>
              <w:left w:val="nil"/>
              <w:bottom w:val="single" w:color="000000" w:sz="8" w:space="0"/>
              <w:right w:val="single" w:color="000000" w:sz="8" w:space="0"/>
            </w:tcBorders>
            <w:shd w:val="clear" w:color="auto" w:fill="auto"/>
            <w:vAlign w:val="center"/>
          </w:tcPr>
          <w:p w14:paraId="0267461D">
            <w:pPr>
              <w:keepNext w:val="0"/>
              <w:keepLines w:val="0"/>
              <w:widowControl/>
              <w:suppressLineNumbers w:val="0"/>
              <w:spacing w:line="240" w:lineRule="auto"/>
              <w:jc w:val="center"/>
              <w:textAlignment w:val="center"/>
              <w:rPr>
                <w:rFonts w:hint="eastAsia" w:ascii="宋体" w:hAnsi="宋体" w:eastAsia="宋体" w:cs="宋体"/>
                <w:color w:val="auto"/>
                <w:kern w:val="2"/>
                <w:szCs w:val="21"/>
                <w:highlight w:val="none"/>
              </w:rPr>
            </w:pPr>
          </w:p>
        </w:tc>
        <w:tc>
          <w:tcPr>
            <w:tcW w:w="847" w:type="dxa"/>
            <w:vMerge w:val="continue"/>
            <w:tcBorders>
              <w:left w:val="nil"/>
              <w:bottom w:val="single" w:color="000000" w:sz="8" w:space="0"/>
              <w:right w:val="single" w:color="000000" w:sz="8" w:space="0"/>
            </w:tcBorders>
            <w:shd w:val="clear" w:color="auto" w:fill="auto"/>
            <w:vAlign w:val="center"/>
          </w:tcPr>
          <w:p w14:paraId="60A47279">
            <w:pPr>
              <w:keepNext w:val="0"/>
              <w:keepLines w:val="0"/>
              <w:widowControl/>
              <w:suppressLineNumbers w:val="0"/>
              <w:spacing w:line="240" w:lineRule="auto"/>
              <w:jc w:val="center"/>
              <w:textAlignment w:val="center"/>
              <w:rPr>
                <w:rFonts w:hint="eastAsia" w:ascii="宋体" w:hAnsi="宋体" w:eastAsia="宋体" w:cs="宋体"/>
                <w:color w:val="auto"/>
                <w:kern w:val="2"/>
                <w:szCs w:val="21"/>
                <w:highlight w:val="none"/>
              </w:rPr>
            </w:pPr>
          </w:p>
        </w:tc>
      </w:tr>
      <w:tr w14:paraId="77FF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5" w:hRule="atLeast"/>
        </w:trPr>
        <w:tc>
          <w:tcPr>
            <w:tcW w:w="665" w:type="dxa"/>
            <w:vMerge w:val="restart"/>
            <w:tcBorders>
              <w:top w:val="nil"/>
              <w:left w:val="single" w:color="000000" w:sz="8" w:space="0"/>
              <w:bottom w:val="single" w:color="000000" w:sz="8" w:space="0"/>
              <w:right w:val="single" w:color="000000" w:sz="8" w:space="0"/>
            </w:tcBorders>
            <w:shd w:val="clear" w:color="auto" w:fill="auto"/>
            <w:vAlign w:val="center"/>
          </w:tcPr>
          <w:p w14:paraId="41CEF69E">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w:t>
            </w:r>
          </w:p>
        </w:tc>
        <w:tc>
          <w:tcPr>
            <w:tcW w:w="665" w:type="dxa"/>
            <w:vMerge w:val="restart"/>
            <w:tcBorders>
              <w:top w:val="nil"/>
              <w:left w:val="nil"/>
              <w:bottom w:val="single" w:color="000000" w:sz="8" w:space="0"/>
              <w:right w:val="single" w:color="000000" w:sz="8" w:space="0"/>
            </w:tcBorders>
            <w:shd w:val="clear" w:color="auto" w:fill="auto"/>
            <w:vAlign w:val="center"/>
          </w:tcPr>
          <w:p w14:paraId="3B1A83E5">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余热锅炉本体</w:t>
            </w:r>
          </w:p>
        </w:tc>
        <w:tc>
          <w:tcPr>
            <w:tcW w:w="665" w:type="dxa"/>
            <w:vMerge w:val="restart"/>
            <w:tcBorders>
              <w:top w:val="nil"/>
              <w:left w:val="nil"/>
              <w:bottom w:val="single" w:color="000000" w:sz="8" w:space="0"/>
              <w:right w:val="single" w:color="000000" w:sz="8" w:space="0"/>
            </w:tcBorders>
            <w:shd w:val="clear" w:color="auto" w:fill="auto"/>
            <w:vAlign w:val="center"/>
          </w:tcPr>
          <w:p w14:paraId="27C1E74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水冷系统</w:t>
            </w:r>
          </w:p>
        </w:tc>
        <w:tc>
          <w:tcPr>
            <w:tcW w:w="1331" w:type="dxa"/>
            <w:tcBorders>
              <w:top w:val="nil"/>
              <w:left w:val="nil"/>
              <w:bottom w:val="single" w:color="000000" w:sz="8" w:space="0"/>
              <w:right w:val="single" w:color="000000" w:sz="8" w:space="0"/>
            </w:tcBorders>
            <w:shd w:val="clear" w:color="auto" w:fill="auto"/>
            <w:vAlign w:val="center"/>
          </w:tcPr>
          <w:p w14:paraId="04C95172">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1.一通道炉膛内壁焦块和积灰清理，消缺及更换受热面管；（包括膨胀节联箱以上的部分结焦清理）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5D2BC19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auto" w:sz="4" w:space="0"/>
              <w:right w:val="single" w:color="000000" w:sz="8" w:space="0"/>
            </w:tcBorders>
            <w:shd w:val="clear" w:color="auto" w:fill="auto"/>
            <w:vAlign w:val="center"/>
          </w:tcPr>
          <w:p w14:paraId="0E9D2B89">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auto" w:sz="4" w:space="0"/>
              <w:right w:val="single" w:color="000000" w:sz="8" w:space="0"/>
            </w:tcBorders>
            <w:shd w:val="clear" w:color="auto" w:fill="auto"/>
            <w:vAlign w:val="center"/>
          </w:tcPr>
          <w:p w14:paraId="713E9700">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auto" w:sz="4" w:space="0"/>
              <w:right w:val="single" w:color="000000" w:sz="8" w:space="0"/>
            </w:tcBorders>
            <w:shd w:val="clear" w:color="auto" w:fill="auto"/>
            <w:vAlign w:val="center"/>
          </w:tcPr>
          <w:p w14:paraId="50D075E3">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auto" w:sz="4" w:space="0"/>
              <w:right w:val="single" w:color="000000" w:sz="8" w:space="0"/>
            </w:tcBorders>
            <w:shd w:val="clear" w:color="auto" w:fill="auto"/>
            <w:vAlign w:val="center"/>
          </w:tcPr>
          <w:p w14:paraId="1E620208">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auto" w:sz="4" w:space="0"/>
              <w:right w:val="single" w:color="000000" w:sz="8" w:space="0"/>
            </w:tcBorders>
            <w:shd w:val="clear" w:color="auto" w:fill="auto"/>
            <w:vAlign w:val="center"/>
          </w:tcPr>
          <w:p w14:paraId="7E5BF1A9">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auto" w:sz="4" w:space="0"/>
              <w:right w:val="single" w:color="000000" w:sz="8" w:space="0"/>
            </w:tcBorders>
            <w:shd w:val="clear" w:color="auto" w:fill="auto"/>
            <w:vAlign w:val="center"/>
          </w:tcPr>
          <w:p w14:paraId="201C924D">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auto" w:sz="4" w:space="0"/>
              <w:right w:val="single" w:color="000000" w:sz="8" w:space="0"/>
            </w:tcBorders>
            <w:shd w:val="clear" w:color="auto" w:fill="auto"/>
            <w:vAlign w:val="center"/>
          </w:tcPr>
          <w:p w14:paraId="008F8F19">
            <w:pPr>
              <w:spacing w:line="240" w:lineRule="auto"/>
              <w:jc w:val="center"/>
              <w:rPr>
                <w:rFonts w:hint="eastAsia" w:ascii="宋体" w:hAnsi="宋体" w:eastAsia="宋体" w:cs="宋体"/>
                <w:i w:val="0"/>
                <w:iCs w:val="0"/>
                <w:color w:val="auto"/>
                <w:sz w:val="21"/>
                <w:szCs w:val="21"/>
                <w:highlight w:val="none"/>
                <w:u w:val="none"/>
              </w:rPr>
            </w:pPr>
          </w:p>
        </w:tc>
      </w:tr>
      <w:tr w14:paraId="64133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4916144D">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05D00B56">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437E5F6B">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7AAB8D04">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2.防磨瓦检查；</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6C7CC59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single" w:color="auto" w:sz="4" w:space="0"/>
              <w:left w:val="nil"/>
              <w:bottom w:val="single" w:color="000000" w:sz="8" w:space="0"/>
              <w:right w:val="single" w:color="000000" w:sz="8" w:space="0"/>
            </w:tcBorders>
            <w:shd w:val="clear" w:color="auto" w:fill="auto"/>
            <w:vAlign w:val="center"/>
          </w:tcPr>
          <w:p w14:paraId="7A4E28FF">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single" w:color="auto" w:sz="4" w:space="0"/>
              <w:left w:val="nil"/>
              <w:bottom w:val="single" w:color="000000" w:sz="8" w:space="0"/>
              <w:right w:val="single" w:color="000000" w:sz="8" w:space="0"/>
            </w:tcBorders>
            <w:shd w:val="clear" w:color="auto" w:fill="auto"/>
            <w:vAlign w:val="center"/>
          </w:tcPr>
          <w:p w14:paraId="1F186FBE">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single" w:color="auto" w:sz="4" w:space="0"/>
              <w:left w:val="nil"/>
              <w:bottom w:val="single" w:color="000000" w:sz="8" w:space="0"/>
              <w:right w:val="single" w:color="000000" w:sz="8" w:space="0"/>
            </w:tcBorders>
            <w:shd w:val="clear" w:color="auto" w:fill="auto"/>
            <w:vAlign w:val="center"/>
          </w:tcPr>
          <w:p w14:paraId="099AD5CD">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auto" w:sz="4" w:space="0"/>
              <w:left w:val="nil"/>
              <w:bottom w:val="single" w:color="000000" w:sz="8" w:space="0"/>
              <w:right w:val="single" w:color="000000" w:sz="8" w:space="0"/>
            </w:tcBorders>
            <w:shd w:val="clear" w:color="auto" w:fill="auto"/>
            <w:vAlign w:val="center"/>
          </w:tcPr>
          <w:p w14:paraId="04BEB4E4">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auto" w:sz="4" w:space="0"/>
              <w:left w:val="nil"/>
              <w:bottom w:val="single" w:color="000000" w:sz="8" w:space="0"/>
              <w:right w:val="single" w:color="000000" w:sz="8" w:space="0"/>
            </w:tcBorders>
            <w:shd w:val="clear" w:color="auto" w:fill="auto"/>
            <w:vAlign w:val="center"/>
          </w:tcPr>
          <w:p w14:paraId="1B6AF9EF">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single" w:color="auto" w:sz="4" w:space="0"/>
              <w:left w:val="nil"/>
              <w:bottom w:val="single" w:color="000000" w:sz="8" w:space="0"/>
              <w:right w:val="single" w:color="000000" w:sz="8" w:space="0"/>
            </w:tcBorders>
            <w:shd w:val="clear" w:color="auto" w:fill="auto"/>
            <w:vAlign w:val="center"/>
          </w:tcPr>
          <w:p w14:paraId="2489C840">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single" w:color="auto" w:sz="4" w:space="0"/>
              <w:left w:val="nil"/>
              <w:bottom w:val="single" w:color="000000" w:sz="8" w:space="0"/>
              <w:right w:val="single" w:color="000000" w:sz="8" w:space="0"/>
            </w:tcBorders>
            <w:shd w:val="clear" w:color="auto" w:fill="auto"/>
            <w:vAlign w:val="center"/>
          </w:tcPr>
          <w:p w14:paraId="7F7B9027">
            <w:pPr>
              <w:spacing w:line="240" w:lineRule="auto"/>
              <w:jc w:val="center"/>
              <w:rPr>
                <w:rFonts w:hint="eastAsia" w:ascii="宋体" w:hAnsi="宋体" w:eastAsia="宋体" w:cs="宋体"/>
                <w:i w:val="0"/>
                <w:iCs w:val="0"/>
                <w:color w:val="auto"/>
                <w:sz w:val="21"/>
                <w:szCs w:val="21"/>
                <w:highlight w:val="none"/>
                <w:u w:val="none"/>
              </w:rPr>
            </w:pPr>
          </w:p>
        </w:tc>
      </w:tr>
      <w:tr w14:paraId="4F443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3"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4FFD3A54">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33C4C7BD">
            <w:pPr>
              <w:spacing w:line="240" w:lineRule="auto"/>
              <w:jc w:val="both"/>
              <w:rPr>
                <w:rFonts w:hint="eastAsia" w:ascii="宋体" w:hAnsi="宋体" w:eastAsia="宋体" w:cs="宋体"/>
                <w:i w:val="0"/>
                <w:iCs w:val="0"/>
                <w:color w:val="auto"/>
                <w:sz w:val="21"/>
                <w:szCs w:val="21"/>
                <w:highlight w:val="none"/>
                <w:u w:val="none"/>
              </w:rPr>
            </w:pPr>
          </w:p>
        </w:tc>
        <w:tc>
          <w:tcPr>
            <w:tcW w:w="665" w:type="dxa"/>
            <w:tcBorders>
              <w:top w:val="nil"/>
              <w:left w:val="nil"/>
              <w:bottom w:val="single" w:color="000000" w:sz="8" w:space="0"/>
              <w:right w:val="single" w:color="000000" w:sz="8" w:space="0"/>
            </w:tcBorders>
            <w:shd w:val="clear" w:color="auto" w:fill="auto"/>
            <w:vAlign w:val="center"/>
          </w:tcPr>
          <w:p w14:paraId="0232587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省煤器系统</w:t>
            </w:r>
          </w:p>
        </w:tc>
        <w:tc>
          <w:tcPr>
            <w:tcW w:w="1331" w:type="dxa"/>
            <w:tcBorders>
              <w:top w:val="nil"/>
              <w:left w:val="nil"/>
              <w:bottom w:val="single" w:color="000000" w:sz="8" w:space="0"/>
              <w:right w:val="single" w:color="000000" w:sz="8" w:space="0"/>
            </w:tcBorders>
            <w:shd w:val="clear" w:color="auto" w:fill="auto"/>
            <w:vAlign w:val="center"/>
          </w:tcPr>
          <w:p w14:paraId="55B2B566">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3.a.检查管子磨损、变形、腐蚀、必要时割管检查；</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78F3E45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6C97A985">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auto" w:sz="4" w:space="0"/>
              <w:right w:val="single" w:color="000000" w:sz="8" w:space="0"/>
            </w:tcBorders>
            <w:shd w:val="clear" w:color="auto" w:fill="auto"/>
            <w:vAlign w:val="center"/>
          </w:tcPr>
          <w:p w14:paraId="061DE7CA">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auto" w:sz="4" w:space="0"/>
              <w:right w:val="single" w:color="000000" w:sz="8" w:space="0"/>
            </w:tcBorders>
            <w:shd w:val="clear" w:color="auto" w:fill="auto"/>
            <w:vAlign w:val="center"/>
          </w:tcPr>
          <w:p w14:paraId="5C0503E6">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auto" w:sz="4" w:space="0"/>
              <w:right w:val="single" w:color="000000" w:sz="8" w:space="0"/>
            </w:tcBorders>
            <w:shd w:val="clear" w:color="auto" w:fill="auto"/>
            <w:vAlign w:val="center"/>
          </w:tcPr>
          <w:p w14:paraId="457A71A2">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auto" w:sz="4" w:space="0"/>
              <w:right w:val="single" w:color="000000" w:sz="8" w:space="0"/>
            </w:tcBorders>
            <w:shd w:val="clear" w:color="auto" w:fill="auto"/>
            <w:vAlign w:val="center"/>
          </w:tcPr>
          <w:p w14:paraId="23142F66">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auto" w:sz="4" w:space="0"/>
              <w:right w:val="single" w:color="000000" w:sz="8" w:space="0"/>
            </w:tcBorders>
            <w:shd w:val="clear" w:color="auto" w:fill="auto"/>
            <w:vAlign w:val="center"/>
          </w:tcPr>
          <w:p w14:paraId="6237E1F7">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auto" w:sz="4" w:space="0"/>
              <w:right w:val="single" w:color="000000" w:sz="8" w:space="0"/>
            </w:tcBorders>
            <w:shd w:val="clear" w:color="auto" w:fill="auto"/>
            <w:vAlign w:val="center"/>
          </w:tcPr>
          <w:p w14:paraId="00565B8D">
            <w:pPr>
              <w:spacing w:line="240" w:lineRule="auto"/>
              <w:jc w:val="center"/>
              <w:rPr>
                <w:rFonts w:hint="eastAsia" w:ascii="宋体" w:hAnsi="宋体" w:eastAsia="宋体" w:cs="宋体"/>
                <w:i w:val="0"/>
                <w:iCs w:val="0"/>
                <w:color w:val="auto"/>
                <w:sz w:val="21"/>
                <w:szCs w:val="21"/>
                <w:highlight w:val="none"/>
                <w:u w:val="none"/>
              </w:rPr>
            </w:pPr>
          </w:p>
        </w:tc>
      </w:tr>
      <w:tr w14:paraId="2E87C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18495FF3">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70A2FBC8">
            <w:pPr>
              <w:spacing w:line="240" w:lineRule="auto"/>
              <w:jc w:val="both"/>
              <w:rPr>
                <w:rFonts w:hint="eastAsia" w:ascii="宋体" w:hAnsi="宋体" w:eastAsia="宋体" w:cs="宋体"/>
                <w:i w:val="0"/>
                <w:iCs w:val="0"/>
                <w:color w:val="auto"/>
                <w:sz w:val="21"/>
                <w:szCs w:val="21"/>
                <w:highlight w:val="none"/>
                <w:u w:val="none"/>
              </w:rPr>
            </w:pPr>
          </w:p>
        </w:tc>
        <w:tc>
          <w:tcPr>
            <w:tcW w:w="665" w:type="dxa"/>
            <w:tcBorders>
              <w:top w:val="nil"/>
              <w:left w:val="nil"/>
              <w:bottom w:val="single" w:color="000000" w:sz="8" w:space="0"/>
              <w:right w:val="single" w:color="000000" w:sz="8" w:space="0"/>
            </w:tcBorders>
            <w:shd w:val="clear" w:color="auto" w:fill="auto"/>
            <w:vAlign w:val="center"/>
          </w:tcPr>
          <w:p w14:paraId="46A0AB99">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空气预热器</w:t>
            </w:r>
          </w:p>
        </w:tc>
        <w:tc>
          <w:tcPr>
            <w:tcW w:w="1331" w:type="dxa"/>
            <w:tcBorders>
              <w:top w:val="nil"/>
              <w:left w:val="nil"/>
              <w:bottom w:val="single" w:color="000000" w:sz="8" w:space="0"/>
              <w:right w:val="single" w:color="000000" w:sz="8" w:space="0"/>
            </w:tcBorders>
            <w:shd w:val="clear" w:color="auto" w:fill="auto"/>
            <w:vAlign w:val="center"/>
          </w:tcPr>
          <w:p w14:paraId="46328572">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4.漏风试验，积灰清理，护板防腐，并处理各漏点；</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0B0661D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21ADD908">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single" w:color="auto" w:sz="4" w:space="0"/>
              <w:left w:val="nil"/>
              <w:bottom w:val="single" w:color="auto" w:sz="4" w:space="0"/>
              <w:right w:val="single" w:color="000000" w:sz="8" w:space="0"/>
            </w:tcBorders>
            <w:shd w:val="clear" w:color="auto" w:fill="auto"/>
            <w:vAlign w:val="center"/>
          </w:tcPr>
          <w:p w14:paraId="1ED7851F">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single" w:color="auto" w:sz="4" w:space="0"/>
              <w:left w:val="nil"/>
              <w:bottom w:val="single" w:color="auto" w:sz="4" w:space="0"/>
              <w:right w:val="single" w:color="000000" w:sz="8" w:space="0"/>
            </w:tcBorders>
            <w:shd w:val="clear" w:color="auto" w:fill="auto"/>
            <w:vAlign w:val="center"/>
          </w:tcPr>
          <w:p w14:paraId="722FD37A">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auto" w:sz="4" w:space="0"/>
              <w:left w:val="nil"/>
              <w:bottom w:val="single" w:color="auto" w:sz="4" w:space="0"/>
              <w:right w:val="single" w:color="000000" w:sz="8" w:space="0"/>
            </w:tcBorders>
            <w:shd w:val="clear" w:color="auto" w:fill="auto"/>
            <w:vAlign w:val="center"/>
          </w:tcPr>
          <w:p w14:paraId="12B46D4B">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auto" w:sz="4" w:space="0"/>
              <w:left w:val="nil"/>
              <w:bottom w:val="single" w:color="auto" w:sz="4" w:space="0"/>
              <w:right w:val="single" w:color="000000" w:sz="8" w:space="0"/>
            </w:tcBorders>
            <w:shd w:val="clear" w:color="auto" w:fill="auto"/>
            <w:vAlign w:val="center"/>
          </w:tcPr>
          <w:p w14:paraId="35B3EF65">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single" w:color="auto" w:sz="4" w:space="0"/>
              <w:left w:val="nil"/>
              <w:bottom w:val="single" w:color="auto" w:sz="4" w:space="0"/>
              <w:right w:val="single" w:color="000000" w:sz="8" w:space="0"/>
            </w:tcBorders>
            <w:shd w:val="clear" w:color="auto" w:fill="auto"/>
            <w:vAlign w:val="center"/>
          </w:tcPr>
          <w:p w14:paraId="65F863E6">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single" w:color="auto" w:sz="4" w:space="0"/>
              <w:left w:val="nil"/>
              <w:bottom w:val="single" w:color="auto" w:sz="4" w:space="0"/>
              <w:right w:val="single" w:color="000000" w:sz="8" w:space="0"/>
            </w:tcBorders>
            <w:shd w:val="clear" w:color="auto" w:fill="auto"/>
            <w:vAlign w:val="center"/>
          </w:tcPr>
          <w:p w14:paraId="57A526F5">
            <w:pPr>
              <w:spacing w:line="240" w:lineRule="auto"/>
              <w:jc w:val="center"/>
              <w:rPr>
                <w:rFonts w:hint="eastAsia" w:ascii="宋体" w:hAnsi="宋体" w:eastAsia="宋体" w:cs="宋体"/>
                <w:i w:val="0"/>
                <w:iCs w:val="0"/>
                <w:color w:val="auto"/>
                <w:sz w:val="21"/>
                <w:szCs w:val="21"/>
                <w:highlight w:val="none"/>
                <w:u w:val="none"/>
              </w:rPr>
            </w:pPr>
          </w:p>
        </w:tc>
      </w:tr>
      <w:tr w14:paraId="7DB97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8"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327B86FD">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611EE675">
            <w:pPr>
              <w:spacing w:line="240" w:lineRule="auto"/>
              <w:jc w:val="both"/>
              <w:rPr>
                <w:rFonts w:hint="eastAsia" w:ascii="宋体" w:hAnsi="宋体" w:eastAsia="宋体" w:cs="宋体"/>
                <w:i w:val="0"/>
                <w:iCs w:val="0"/>
                <w:color w:val="auto"/>
                <w:sz w:val="21"/>
                <w:szCs w:val="21"/>
                <w:highlight w:val="none"/>
                <w:u w:val="none"/>
              </w:rPr>
            </w:pPr>
          </w:p>
        </w:tc>
        <w:tc>
          <w:tcPr>
            <w:tcW w:w="665" w:type="dxa"/>
            <w:tcBorders>
              <w:top w:val="nil"/>
              <w:left w:val="nil"/>
              <w:bottom w:val="single" w:color="000000" w:sz="8" w:space="0"/>
              <w:right w:val="single" w:color="000000" w:sz="8" w:space="0"/>
            </w:tcBorders>
            <w:shd w:val="clear" w:color="auto" w:fill="auto"/>
            <w:vAlign w:val="center"/>
          </w:tcPr>
          <w:p w14:paraId="1F2A865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钢架炉墙保温</w:t>
            </w:r>
          </w:p>
        </w:tc>
        <w:tc>
          <w:tcPr>
            <w:tcW w:w="1331" w:type="dxa"/>
            <w:tcBorders>
              <w:top w:val="nil"/>
              <w:left w:val="nil"/>
              <w:bottom w:val="single" w:color="000000" w:sz="8" w:space="0"/>
              <w:right w:val="single" w:color="000000" w:sz="8" w:space="0"/>
            </w:tcBorders>
            <w:shd w:val="clear" w:color="auto" w:fill="auto"/>
            <w:vAlign w:val="center"/>
          </w:tcPr>
          <w:p w14:paraId="674FD214">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5.看火门、人孔门、防爆门、伸缩节、炉墙消缺、积灰清理，各类跑冒滴漏处理；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60040C9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36304738">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single" w:color="auto" w:sz="4" w:space="0"/>
              <w:left w:val="nil"/>
              <w:bottom w:val="single" w:color="000000" w:sz="8" w:space="0"/>
              <w:right w:val="single" w:color="000000" w:sz="8" w:space="0"/>
            </w:tcBorders>
            <w:shd w:val="clear" w:color="auto" w:fill="auto"/>
            <w:vAlign w:val="center"/>
          </w:tcPr>
          <w:p w14:paraId="261D1C06">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single" w:color="auto" w:sz="4" w:space="0"/>
              <w:left w:val="nil"/>
              <w:bottom w:val="single" w:color="000000" w:sz="8" w:space="0"/>
              <w:right w:val="single" w:color="000000" w:sz="8" w:space="0"/>
            </w:tcBorders>
            <w:shd w:val="clear" w:color="auto" w:fill="auto"/>
            <w:vAlign w:val="center"/>
          </w:tcPr>
          <w:p w14:paraId="6AC42C81">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auto" w:sz="4" w:space="0"/>
              <w:left w:val="nil"/>
              <w:bottom w:val="single" w:color="000000" w:sz="8" w:space="0"/>
              <w:right w:val="single" w:color="000000" w:sz="8" w:space="0"/>
            </w:tcBorders>
            <w:shd w:val="clear" w:color="auto" w:fill="auto"/>
            <w:vAlign w:val="center"/>
          </w:tcPr>
          <w:p w14:paraId="1557DA4D">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auto" w:sz="4" w:space="0"/>
              <w:left w:val="nil"/>
              <w:bottom w:val="single" w:color="000000" w:sz="8" w:space="0"/>
              <w:right w:val="single" w:color="000000" w:sz="8" w:space="0"/>
            </w:tcBorders>
            <w:shd w:val="clear" w:color="auto" w:fill="auto"/>
            <w:vAlign w:val="center"/>
          </w:tcPr>
          <w:p w14:paraId="7C9CFB00">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single" w:color="auto" w:sz="4" w:space="0"/>
              <w:left w:val="nil"/>
              <w:bottom w:val="single" w:color="000000" w:sz="8" w:space="0"/>
              <w:right w:val="single" w:color="000000" w:sz="8" w:space="0"/>
            </w:tcBorders>
            <w:shd w:val="clear" w:color="auto" w:fill="auto"/>
            <w:vAlign w:val="center"/>
          </w:tcPr>
          <w:p w14:paraId="52C16441">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single" w:color="auto" w:sz="4" w:space="0"/>
              <w:left w:val="nil"/>
              <w:bottom w:val="single" w:color="000000" w:sz="8" w:space="0"/>
              <w:right w:val="single" w:color="000000" w:sz="8" w:space="0"/>
            </w:tcBorders>
            <w:shd w:val="clear" w:color="auto" w:fill="auto"/>
            <w:vAlign w:val="center"/>
          </w:tcPr>
          <w:p w14:paraId="7AEED8BF">
            <w:pPr>
              <w:spacing w:line="240" w:lineRule="auto"/>
              <w:jc w:val="center"/>
              <w:rPr>
                <w:rFonts w:hint="eastAsia" w:ascii="宋体" w:hAnsi="宋体" w:eastAsia="宋体" w:cs="宋体"/>
                <w:i w:val="0"/>
                <w:iCs w:val="0"/>
                <w:color w:val="auto"/>
                <w:sz w:val="21"/>
                <w:szCs w:val="21"/>
                <w:highlight w:val="none"/>
                <w:u w:val="none"/>
              </w:rPr>
            </w:pPr>
          </w:p>
        </w:tc>
      </w:tr>
      <w:tr w14:paraId="06540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4"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482A1372">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21EE976F">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restart"/>
            <w:tcBorders>
              <w:top w:val="nil"/>
              <w:left w:val="nil"/>
              <w:bottom w:val="single" w:color="000000" w:sz="8" w:space="0"/>
              <w:right w:val="single" w:color="000000" w:sz="8" w:space="0"/>
            </w:tcBorders>
            <w:shd w:val="clear" w:color="auto" w:fill="auto"/>
            <w:vAlign w:val="center"/>
          </w:tcPr>
          <w:p w14:paraId="576ACED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其他</w:t>
            </w:r>
          </w:p>
        </w:tc>
        <w:tc>
          <w:tcPr>
            <w:tcW w:w="1331" w:type="dxa"/>
            <w:tcBorders>
              <w:top w:val="nil"/>
              <w:left w:val="nil"/>
              <w:bottom w:val="single" w:color="000000" w:sz="8" w:space="0"/>
              <w:right w:val="single" w:color="000000" w:sz="8" w:space="0"/>
            </w:tcBorders>
            <w:shd w:val="clear" w:color="auto" w:fill="auto"/>
            <w:vAlign w:val="center"/>
          </w:tcPr>
          <w:p w14:paraId="196BBDE8">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6.锅炉整体水压试验，检查承压部件的严密性，含汽水系统消缺；</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2411527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0DF16260">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5DC805E9">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6C6206DC">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2056E0B8">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4475DC48">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4D2D6C0D">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41A122E2">
            <w:pPr>
              <w:spacing w:line="240" w:lineRule="auto"/>
              <w:jc w:val="center"/>
              <w:rPr>
                <w:rFonts w:hint="eastAsia" w:ascii="宋体" w:hAnsi="宋体" w:eastAsia="宋体" w:cs="宋体"/>
                <w:i w:val="0"/>
                <w:iCs w:val="0"/>
                <w:color w:val="auto"/>
                <w:sz w:val="21"/>
                <w:szCs w:val="21"/>
                <w:highlight w:val="none"/>
                <w:u w:val="none"/>
              </w:rPr>
            </w:pPr>
          </w:p>
        </w:tc>
      </w:tr>
      <w:tr w14:paraId="38A38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8"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3D192C5C">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42D4C21">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20373C63">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415D8DF8">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7.处理漏风试验漏点；（由于项目施工造成的由施工方负责恢复，不另外进行结算）</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4EF7999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0C0DDB27">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4A37B84C">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02DE0635">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9C3BFAB">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CF68389">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702E7EC8">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16225901">
            <w:pPr>
              <w:spacing w:line="240" w:lineRule="auto"/>
              <w:jc w:val="center"/>
              <w:rPr>
                <w:rFonts w:hint="eastAsia" w:ascii="宋体" w:hAnsi="宋体" w:eastAsia="宋体" w:cs="宋体"/>
                <w:i w:val="0"/>
                <w:iCs w:val="0"/>
                <w:color w:val="auto"/>
                <w:sz w:val="21"/>
                <w:szCs w:val="21"/>
                <w:highlight w:val="none"/>
                <w:u w:val="none"/>
              </w:rPr>
            </w:pPr>
          </w:p>
        </w:tc>
      </w:tr>
      <w:tr w14:paraId="4ABE7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4"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31790E3E">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01BAEDA">
            <w:pPr>
              <w:spacing w:line="240" w:lineRule="auto"/>
              <w:jc w:val="both"/>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103D7C1C">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31BBF098">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8.锅炉本体中其它附属管道（如压缩空气管）漏点处理；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00AB9B2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51361270">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7C6D1FEB">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3F208CFA">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6C08A17">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64D85207">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0E58B4EC">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26B3550A">
            <w:pPr>
              <w:spacing w:line="240" w:lineRule="auto"/>
              <w:jc w:val="center"/>
              <w:rPr>
                <w:rFonts w:hint="eastAsia" w:ascii="宋体" w:hAnsi="宋体" w:eastAsia="宋体" w:cs="宋体"/>
                <w:i w:val="0"/>
                <w:iCs w:val="0"/>
                <w:color w:val="auto"/>
                <w:sz w:val="21"/>
                <w:szCs w:val="21"/>
                <w:highlight w:val="none"/>
                <w:u w:val="none"/>
              </w:rPr>
            </w:pPr>
          </w:p>
        </w:tc>
      </w:tr>
      <w:tr w14:paraId="4D6F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2" w:hRule="atLeast"/>
        </w:trPr>
        <w:tc>
          <w:tcPr>
            <w:tcW w:w="665" w:type="dxa"/>
            <w:vMerge w:val="restart"/>
            <w:tcBorders>
              <w:top w:val="nil"/>
              <w:left w:val="single" w:color="000000" w:sz="8" w:space="0"/>
              <w:bottom w:val="single" w:color="000000" w:sz="8" w:space="0"/>
              <w:right w:val="single" w:color="000000" w:sz="8" w:space="0"/>
            </w:tcBorders>
            <w:shd w:val="clear" w:color="auto" w:fill="auto"/>
            <w:vAlign w:val="center"/>
          </w:tcPr>
          <w:p w14:paraId="7839035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二</w:t>
            </w:r>
          </w:p>
        </w:tc>
        <w:tc>
          <w:tcPr>
            <w:tcW w:w="665" w:type="dxa"/>
            <w:vMerge w:val="restart"/>
            <w:tcBorders>
              <w:top w:val="nil"/>
              <w:left w:val="nil"/>
              <w:bottom w:val="single" w:color="000000" w:sz="8" w:space="0"/>
              <w:right w:val="single" w:color="000000" w:sz="8" w:space="0"/>
            </w:tcBorders>
            <w:shd w:val="clear" w:color="auto" w:fill="auto"/>
            <w:vAlign w:val="center"/>
          </w:tcPr>
          <w:p w14:paraId="2E5BAEB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炉排本体　</w:t>
            </w:r>
          </w:p>
        </w:tc>
        <w:tc>
          <w:tcPr>
            <w:tcW w:w="665" w:type="dxa"/>
            <w:vMerge w:val="restart"/>
            <w:tcBorders>
              <w:top w:val="nil"/>
              <w:left w:val="nil"/>
              <w:bottom w:val="single" w:color="000000" w:sz="8" w:space="0"/>
              <w:right w:val="single" w:color="000000" w:sz="8" w:space="0"/>
            </w:tcBorders>
            <w:shd w:val="clear" w:color="auto" w:fill="auto"/>
            <w:vAlign w:val="center"/>
          </w:tcPr>
          <w:p w14:paraId="2BC377D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给料系统</w:t>
            </w:r>
          </w:p>
        </w:tc>
        <w:tc>
          <w:tcPr>
            <w:tcW w:w="1331" w:type="dxa"/>
            <w:tcBorders>
              <w:top w:val="nil"/>
              <w:left w:val="nil"/>
              <w:bottom w:val="single" w:color="000000" w:sz="8" w:space="0"/>
              <w:right w:val="single" w:color="000000" w:sz="8" w:space="0"/>
            </w:tcBorders>
            <w:shd w:val="clear" w:color="auto" w:fill="auto"/>
            <w:vAlign w:val="center"/>
          </w:tcPr>
          <w:p w14:paraId="7390BAAF">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9.给料小车及小车导轨、加油模块、液压缸周边及渗滤液收集箱杂物清理、卫生清洁；</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5D99F71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3C0BD468">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7064FFA6">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221A85CE">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CFA5058">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626AC087">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7D61657F">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19006970">
            <w:pPr>
              <w:spacing w:line="240" w:lineRule="auto"/>
              <w:jc w:val="center"/>
              <w:rPr>
                <w:rFonts w:hint="eastAsia" w:ascii="宋体" w:hAnsi="宋体" w:eastAsia="宋体" w:cs="宋体"/>
                <w:i w:val="0"/>
                <w:iCs w:val="0"/>
                <w:color w:val="auto"/>
                <w:sz w:val="21"/>
                <w:szCs w:val="21"/>
                <w:highlight w:val="none"/>
                <w:u w:val="none"/>
              </w:rPr>
            </w:pPr>
          </w:p>
        </w:tc>
      </w:tr>
      <w:tr w14:paraId="1747A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8"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7CA66FA9">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64BCBD1F">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AAB74AF">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67B90AE3">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10.驱动轮、导向轮、行走钢轨检查、加油、维护及调整处理；支点加油系统维护；</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6E682F7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0E2438F3">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67543BCB">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4297D240">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23442334">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6DCB7E2E">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4464C1EC">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25C054C2">
            <w:pPr>
              <w:spacing w:line="240" w:lineRule="auto"/>
              <w:jc w:val="center"/>
              <w:rPr>
                <w:rFonts w:hint="eastAsia" w:ascii="宋体" w:hAnsi="宋体" w:eastAsia="宋体" w:cs="宋体"/>
                <w:i w:val="0"/>
                <w:iCs w:val="0"/>
                <w:color w:val="auto"/>
                <w:sz w:val="21"/>
                <w:szCs w:val="21"/>
                <w:highlight w:val="none"/>
                <w:u w:val="none"/>
              </w:rPr>
            </w:pPr>
          </w:p>
        </w:tc>
      </w:tr>
      <w:tr w14:paraId="7AD8D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2102312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8360507">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2B1C772">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59D506CE">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11.检查中间框架耐磨板及铸件检查、消缺、更换处理；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1826912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48D56864">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2D5341A6">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50311BE4">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92F4677">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35169391">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06ABE82B">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14218BAB">
            <w:pPr>
              <w:spacing w:line="240" w:lineRule="auto"/>
              <w:jc w:val="center"/>
              <w:rPr>
                <w:rFonts w:hint="eastAsia" w:ascii="宋体" w:hAnsi="宋体" w:eastAsia="宋体" w:cs="宋体"/>
                <w:i w:val="0"/>
                <w:iCs w:val="0"/>
                <w:color w:val="auto"/>
                <w:sz w:val="21"/>
                <w:szCs w:val="21"/>
                <w:highlight w:val="none"/>
                <w:u w:val="none"/>
              </w:rPr>
            </w:pPr>
          </w:p>
        </w:tc>
      </w:tr>
      <w:tr w14:paraId="12AF3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8"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47C1B74E">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2A80C80E">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653D579B">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5A000C8F">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12.检查各类铸件是否出现断裂、下沉、上翘、松动、铸件间间隙大缝隙等现象；</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104C1D5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0306C358">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58D45263">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5D515975">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68DCA885">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2DDA96D6">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7589DA3A">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79E3490E">
            <w:pPr>
              <w:spacing w:line="240" w:lineRule="auto"/>
              <w:jc w:val="center"/>
              <w:rPr>
                <w:rFonts w:hint="eastAsia" w:ascii="宋体" w:hAnsi="宋体" w:eastAsia="宋体" w:cs="宋体"/>
                <w:i w:val="0"/>
                <w:iCs w:val="0"/>
                <w:color w:val="auto"/>
                <w:sz w:val="21"/>
                <w:szCs w:val="21"/>
                <w:highlight w:val="none"/>
                <w:u w:val="none"/>
              </w:rPr>
            </w:pPr>
          </w:p>
        </w:tc>
      </w:tr>
      <w:tr w14:paraId="38116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35723A09">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2FEA69AB">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2BAA3EB4">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09CD959A">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13.检查滑动平台铸件平面度、相邻铸件平面度等；</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529A387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4BE80655">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7E5C073E">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53434D70">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014FB5C7">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2DFD5FBC">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7E2E7ED2">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50E99E0B">
            <w:pPr>
              <w:spacing w:line="240" w:lineRule="auto"/>
              <w:jc w:val="center"/>
              <w:rPr>
                <w:rFonts w:hint="eastAsia" w:ascii="宋体" w:hAnsi="宋体" w:eastAsia="宋体" w:cs="宋体"/>
                <w:i w:val="0"/>
                <w:iCs w:val="0"/>
                <w:color w:val="auto"/>
                <w:sz w:val="21"/>
                <w:szCs w:val="21"/>
                <w:highlight w:val="none"/>
                <w:u w:val="none"/>
              </w:rPr>
            </w:pPr>
          </w:p>
        </w:tc>
      </w:tr>
      <w:tr w14:paraId="4CC3E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0D0E7FCB">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0BB73BA3">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1270F6C9">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3A404740">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14.溜槽处防磨钢板磨损检查、缺陷处理；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00B1E4A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57976627">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088382E7">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742E26FB">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76EDB5D3">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378E8C4B">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0A332670">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53509F6A">
            <w:pPr>
              <w:spacing w:line="240" w:lineRule="auto"/>
              <w:jc w:val="center"/>
              <w:rPr>
                <w:rFonts w:hint="eastAsia" w:ascii="宋体" w:hAnsi="宋体" w:eastAsia="宋体" w:cs="宋体"/>
                <w:i w:val="0"/>
                <w:iCs w:val="0"/>
                <w:color w:val="auto"/>
                <w:sz w:val="21"/>
                <w:szCs w:val="21"/>
                <w:highlight w:val="none"/>
                <w:u w:val="none"/>
              </w:rPr>
            </w:pPr>
          </w:p>
        </w:tc>
      </w:tr>
      <w:tr w14:paraId="21BB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8"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599A67C2">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D087837">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restart"/>
            <w:tcBorders>
              <w:top w:val="nil"/>
              <w:left w:val="nil"/>
              <w:bottom w:val="single" w:color="000000" w:sz="8" w:space="0"/>
              <w:right w:val="single" w:color="000000" w:sz="8" w:space="0"/>
            </w:tcBorders>
            <w:shd w:val="clear" w:color="auto" w:fill="auto"/>
            <w:vAlign w:val="center"/>
          </w:tcPr>
          <w:p w14:paraId="39A2210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炉排系统</w:t>
            </w:r>
          </w:p>
        </w:tc>
        <w:tc>
          <w:tcPr>
            <w:tcW w:w="1331" w:type="dxa"/>
            <w:tcBorders>
              <w:top w:val="nil"/>
              <w:left w:val="nil"/>
              <w:bottom w:val="single" w:color="000000" w:sz="8" w:space="0"/>
              <w:right w:val="single" w:color="000000" w:sz="8" w:space="0"/>
            </w:tcBorders>
            <w:shd w:val="clear" w:color="auto" w:fill="auto"/>
            <w:vAlign w:val="center"/>
          </w:tcPr>
          <w:p w14:paraId="062E5AC0">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15.炉排残渣清理，炉排间隙检查、测量、调整（出现生料情况，清理以外判另计）；</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4C67571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61B44C97">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54134F57">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1FF8863D">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3E746D40">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28E1070E">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1521C24B">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6D9F8729">
            <w:pPr>
              <w:spacing w:line="240" w:lineRule="auto"/>
              <w:jc w:val="center"/>
              <w:rPr>
                <w:rFonts w:hint="eastAsia" w:ascii="宋体" w:hAnsi="宋体" w:eastAsia="宋体" w:cs="宋体"/>
                <w:i w:val="0"/>
                <w:iCs w:val="0"/>
                <w:color w:val="auto"/>
                <w:sz w:val="21"/>
                <w:szCs w:val="21"/>
                <w:highlight w:val="none"/>
                <w:u w:val="none"/>
              </w:rPr>
            </w:pPr>
          </w:p>
        </w:tc>
      </w:tr>
      <w:tr w14:paraId="1D305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26A372BA">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65DF39DA">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0DF539E5">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6E29D37A">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16.炉排垫片处理或更换、连接螺栓检查，缺陷处理；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3F067D7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6F79C72A">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3335872E">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32B3E799">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53F0203F">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0757BFFE">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39944F7A">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34F3EDBB">
            <w:pPr>
              <w:spacing w:line="240" w:lineRule="auto"/>
              <w:jc w:val="center"/>
              <w:rPr>
                <w:rFonts w:hint="eastAsia" w:ascii="宋体" w:hAnsi="宋体" w:eastAsia="宋体" w:cs="宋体"/>
                <w:i w:val="0"/>
                <w:iCs w:val="0"/>
                <w:color w:val="auto"/>
                <w:sz w:val="21"/>
                <w:szCs w:val="21"/>
                <w:highlight w:val="none"/>
                <w:u w:val="none"/>
              </w:rPr>
            </w:pPr>
          </w:p>
        </w:tc>
      </w:tr>
      <w:tr w14:paraId="2737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2"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67FD7546">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91047F2">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7C2D7D5">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23267AC7">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17.驱动梁维护、密封盒维护；轴承、压紧轮、导向轮等磨损检查、维护。油质检查。托辊维护；</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19DDC73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7BE11074">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024D20B1">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491A48B3">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5A1A751A">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09E6D243">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3E817155">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5491E2FC">
            <w:pPr>
              <w:spacing w:line="240" w:lineRule="auto"/>
              <w:jc w:val="center"/>
              <w:rPr>
                <w:rFonts w:hint="eastAsia" w:ascii="宋体" w:hAnsi="宋体" w:eastAsia="宋体" w:cs="宋体"/>
                <w:i w:val="0"/>
                <w:iCs w:val="0"/>
                <w:color w:val="auto"/>
                <w:sz w:val="21"/>
                <w:szCs w:val="21"/>
                <w:highlight w:val="none"/>
                <w:u w:val="none"/>
              </w:rPr>
            </w:pPr>
          </w:p>
        </w:tc>
      </w:tr>
      <w:tr w14:paraId="0DCDB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7FED7395">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1A4EE9AB">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4304B2EB">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17DB1DC2">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18.各受力部位连接件检查消缺；定位块检查；</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2F00FF5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46AAEF08">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79130558">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08AC60C1">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371CAAF">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6C1D3ADB">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7ADC7AB4">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522F0168">
            <w:pPr>
              <w:spacing w:line="240" w:lineRule="auto"/>
              <w:jc w:val="center"/>
              <w:rPr>
                <w:rFonts w:hint="eastAsia" w:ascii="宋体" w:hAnsi="宋体" w:eastAsia="宋体" w:cs="宋体"/>
                <w:i w:val="0"/>
                <w:iCs w:val="0"/>
                <w:color w:val="auto"/>
                <w:sz w:val="21"/>
                <w:szCs w:val="21"/>
                <w:highlight w:val="none"/>
                <w:u w:val="none"/>
              </w:rPr>
            </w:pPr>
          </w:p>
        </w:tc>
      </w:tr>
      <w:tr w14:paraId="3AA6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39688045">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36FA5542">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restart"/>
            <w:tcBorders>
              <w:top w:val="nil"/>
              <w:left w:val="nil"/>
              <w:bottom w:val="single" w:color="000000" w:sz="8" w:space="0"/>
              <w:right w:val="single" w:color="000000" w:sz="8" w:space="0"/>
            </w:tcBorders>
            <w:shd w:val="clear" w:color="auto" w:fill="auto"/>
            <w:vAlign w:val="center"/>
          </w:tcPr>
          <w:p w14:paraId="0748A65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除渣机</w:t>
            </w:r>
          </w:p>
        </w:tc>
        <w:tc>
          <w:tcPr>
            <w:tcW w:w="1331" w:type="dxa"/>
            <w:tcBorders>
              <w:top w:val="nil"/>
              <w:left w:val="nil"/>
              <w:bottom w:val="single" w:color="000000" w:sz="8" w:space="0"/>
              <w:right w:val="single" w:color="000000" w:sz="8" w:space="0"/>
            </w:tcBorders>
            <w:shd w:val="clear" w:color="auto" w:fill="auto"/>
            <w:vAlign w:val="center"/>
          </w:tcPr>
          <w:p w14:paraId="3BBA3B6E">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19.人孔门开启、封闭以及密封条更换；捞渣机清理；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0BBEDA3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40EC0460">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2614AD69">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0F34C332">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711FCCA6">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4F443C7C">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6CE7C188">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5D61155B">
            <w:pPr>
              <w:spacing w:line="240" w:lineRule="auto"/>
              <w:jc w:val="center"/>
              <w:rPr>
                <w:rFonts w:hint="eastAsia" w:ascii="宋体" w:hAnsi="宋体" w:eastAsia="宋体" w:cs="宋体"/>
                <w:i w:val="0"/>
                <w:iCs w:val="0"/>
                <w:color w:val="auto"/>
                <w:sz w:val="21"/>
                <w:szCs w:val="21"/>
                <w:highlight w:val="none"/>
                <w:u w:val="none"/>
              </w:rPr>
            </w:pPr>
          </w:p>
        </w:tc>
      </w:tr>
      <w:tr w14:paraId="698B8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6889D8B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25E3C83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546B043C">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310E9208">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20.各受力部位连接件及定位块检查消缺；</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76DF4D1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7ACA130F">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1505474C">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0431C3A4">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0772DA22">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582C4AA1">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6A8CDFE9">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77D89B84">
            <w:pPr>
              <w:spacing w:line="240" w:lineRule="auto"/>
              <w:jc w:val="center"/>
              <w:rPr>
                <w:rFonts w:hint="eastAsia" w:ascii="宋体" w:hAnsi="宋体" w:eastAsia="宋体" w:cs="宋体"/>
                <w:i w:val="0"/>
                <w:iCs w:val="0"/>
                <w:color w:val="auto"/>
                <w:sz w:val="21"/>
                <w:szCs w:val="21"/>
                <w:highlight w:val="none"/>
                <w:u w:val="none"/>
              </w:rPr>
            </w:pPr>
          </w:p>
        </w:tc>
      </w:tr>
      <w:tr w14:paraId="63929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8" w:hRule="atLeast"/>
        </w:trPr>
        <w:tc>
          <w:tcPr>
            <w:tcW w:w="665" w:type="dxa"/>
            <w:vMerge w:val="continue"/>
            <w:tcBorders>
              <w:top w:val="nil"/>
              <w:left w:val="single" w:color="000000" w:sz="8" w:space="0"/>
              <w:bottom w:val="single" w:color="000000" w:sz="8" w:space="0"/>
              <w:right w:val="single" w:color="000000" w:sz="8" w:space="0"/>
            </w:tcBorders>
            <w:shd w:val="clear" w:color="auto" w:fill="auto"/>
            <w:vAlign w:val="center"/>
          </w:tcPr>
          <w:p w14:paraId="4AE6105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43472F20">
            <w:pPr>
              <w:spacing w:line="240" w:lineRule="auto"/>
              <w:jc w:val="center"/>
              <w:rPr>
                <w:rFonts w:hint="eastAsia" w:ascii="宋体" w:hAnsi="宋体" w:eastAsia="宋体" w:cs="宋体"/>
                <w:i w:val="0"/>
                <w:iCs w:val="0"/>
                <w:color w:val="auto"/>
                <w:sz w:val="21"/>
                <w:szCs w:val="21"/>
                <w:highlight w:val="none"/>
                <w:u w:val="none"/>
              </w:rPr>
            </w:pPr>
          </w:p>
        </w:tc>
        <w:tc>
          <w:tcPr>
            <w:tcW w:w="66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18A85CE">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刮板机</w:t>
            </w:r>
          </w:p>
        </w:tc>
        <w:tc>
          <w:tcPr>
            <w:tcW w:w="1331" w:type="dxa"/>
            <w:tcBorders>
              <w:top w:val="nil"/>
              <w:left w:val="nil"/>
              <w:bottom w:val="single" w:color="000000" w:sz="8" w:space="0"/>
              <w:right w:val="single" w:color="000000" w:sz="8" w:space="0"/>
            </w:tcBorders>
            <w:shd w:val="clear" w:color="auto" w:fill="auto"/>
            <w:vAlign w:val="center"/>
          </w:tcPr>
          <w:p w14:paraId="6A4D746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21.输灰刮板机维护、链条调整、密封消缺；磨损检查；减速机及轴承解体检查；</w:t>
            </w:r>
          </w:p>
        </w:tc>
        <w:tc>
          <w:tcPr>
            <w:tcW w:w="665" w:type="dxa"/>
            <w:tcBorders>
              <w:top w:val="nil"/>
              <w:left w:val="nil"/>
              <w:bottom w:val="single" w:color="000000" w:sz="8" w:space="0"/>
              <w:right w:val="single" w:color="000000" w:sz="8" w:space="0"/>
            </w:tcBorders>
            <w:shd w:val="clear" w:color="auto" w:fill="auto"/>
            <w:vAlign w:val="center"/>
          </w:tcPr>
          <w:p w14:paraId="3CADC05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nil"/>
              <w:right w:val="single" w:color="000000" w:sz="8" w:space="0"/>
            </w:tcBorders>
            <w:shd w:val="clear" w:color="auto" w:fill="auto"/>
            <w:vAlign w:val="center"/>
          </w:tcPr>
          <w:p w14:paraId="34FF2D86">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nil"/>
              <w:right w:val="single" w:color="000000" w:sz="8" w:space="0"/>
            </w:tcBorders>
            <w:shd w:val="clear" w:color="auto" w:fill="auto"/>
            <w:vAlign w:val="center"/>
          </w:tcPr>
          <w:p w14:paraId="5B2F0496">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nil"/>
              <w:right w:val="single" w:color="000000" w:sz="8" w:space="0"/>
            </w:tcBorders>
            <w:shd w:val="clear" w:color="auto" w:fill="auto"/>
            <w:vAlign w:val="center"/>
          </w:tcPr>
          <w:p w14:paraId="587615BB">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nil"/>
              <w:right w:val="single" w:color="000000" w:sz="8" w:space="0"/>
            </w:tcBorders>
            <w:shd w:val="clear" w:color="auto" w:fill="auto"/>
            <w:vAlign w:val="center"/>
          </w:tcPr>
          <w:p w14:paraId="252D25EC">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nil"/>
              <w:right w:val="single" w:color="000000" w:sz="8" w:space="0"/>
            </w:tcBorders>
            <w:shd w:val="clear" w:color="auto" w:fill="auto"/>
            <w:vAlign w:val="center"/>
          </w:tcPr>
          <w:p w14:paraId="0C96CA45">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nil"/>
              <w:right w:val="single" w:color="000000" w:sz="8" w:space="0"/>
            </w:tcBorders>
            <w:shd w:val="clear" w:color="auto" w:fill="auto"/>
            <w:vAlign w:val="center"/>
          </w:tcPr>
          <w:p w14:paraId="374F1038">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nil"/>
              <w:right w:val="single" w:color="000000" w:sz="8" w:space="0"/>
            </w:tcBorders>
            <w:shd w:val="clear" w:color="auto" w:fill="auto"/>
            <w:vAlign w:val="center"/>
          </w:tcPr>
          <w:p w14:paraId="0CEA4A4C">
            <w:pPr>
              <w:spacing w:line="240" w:lineRule="auto"/>
              <w:jc w:val="center"/>
              <w:rPr>
                <w:rFonts w:hint="eastAsia" w:ascii="宋体" w:hAnsi="宋体" w:eastAsia="宋体" w:cs="宋体"/>
                <w:i w:val="0"/>
                <w:iCs w:val="0"/>
                <w:color w:val="auto"/>
                <w:sz w:val="21"/>
                <w:szCs w:val="21"/>
                <w:highlight w:val="none"/>
                <w:u w:val="none"/>
              </w:rPr>
            </w:pPr>
          </w:p>
        </w:tc>
      </w:tr>
      <w:tr w14:paraId="43485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65" w:type="dxa"/>
            <w:vMerge w:val="restart"/>
            <w:tcBorders>
              <w:top w:val="nil"/>
              <w:left w:val="single" w:color="000000" w:sz="8" w:space="0"/>
              <w:bottom w:val="nil"/>
              <w:right w:val="single" w:color="000000" w:sz="8" w:space="0"/>
            </w:tcBorders>
            <w:shd w:val="clear" w:color="auto" w:fill="auto"/>
            <w:vAlign w:val="center"/>
          </w:tcPr>
          <w:p w14:paraId="5D9A0AC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w:t>
            </w:r>
          </w:p>
        </w:tc>
        <w:tc>
          <w:tcPr>
            <w:tcW w:w="665" w:type="dxa"/>
            <w:vMerge w:val="restart"/>
            <w:tcBorders>
              <w:top w:val="nil"/>
              <w:left w:val="nil"/>
              <w:bottom w:val="nil"/>
              <w:right w:val="single" w:color="000000" w:sz="8" w:space="0"/>
            </w:tcBorders>
            <w:shd w:val="clear" w:color="auto" w:fill="auto"/>
            <w:vAlign w:val="center"/>
          </w:tcPr>
          <w:p w14:paraId="4AA1462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烟气净化系统</w:t>
            </w:r>
          </w:p>
        </w:tc>
        <w:tc>
          <w:tcPr>
            <w:tcW w:w="665" w:type="dxa"/>
            <w:vMerge w:val="restart"/>
            <w:tcBorders>
              <w:top w:val="nil"/>
              <w:left w:val="nil"/>
              <w:bottom w:val="single" w:color="000000" w:sz="8" w:space="0"/>
              <w:right w:val="single" w:color="000000" w:sz="8" w:space="0"/>
            </w:tcBorders>
            <w:shd w:val="clear" w:color="auto" w:fill="auto"/>
            <w:vAlign w:val="center"/>
          </w:tcPr>
          <w:p w14:paraId="1F3EAC7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反应塔</w:t>
            </w:r>
          </w:p>
        </w:tc>
        <w:tc>
          <w:tcPr>
            <w:tcW w:w="133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C33472">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22.破碎机维护；</w:t>
            </w:r>
          </w:p>
        </w:tc>
        <w:tc>
          <w:tcPr>
            <w:tcW w:w="665" w:type="dxa"/>
            <w:tcBorders>
              <w:top w:val="nil"/>
              <w:left w:val="nil"/>
              <w:bottom w:val="single" w:color="000000" w:sz="8" w:space="0"/>
              <w:right w:val="single" w:color="000000" w:sz="8" w:space="0"/>
            </w:tcBorders>
            <w:shd w:val="clear" w:color="auto" w:fill="auto"/>
            <w:vAlign w:val="center"/>
          </w:tcPr>
          <w:p w14:paraId="79D3237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E01FC6">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4C862B">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598F6E">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7A5C63">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42CC89">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A2F110">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8D299BC">
            <w:pPr>
              <w:spacing w:line="240" w:lineRule="auto"/>
              <w:jc w:val="center"/>
              <w:rPr>
                <w:rFonts w:hint="eastAsia" w:ascii="宋体" w:hAnsi="宋体" w:eastAsia="宋体" w:cs="宋体"/>
                <w:i w:val="0"/>
                <w:iCs w:val="0"/>
                <w:color w:val="auto"/>
                <w:sz w:val="21"/>
                <w:szCs w:val="21"/>
                <w:highlight w:val="none"/>
                <w:u w:val="none"/>
              </w:rPr>
            </w:pPr>
          </w:p>
        </w:tc>
      </w:tr>
      <w:tr w14:paraId="541D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20A18547">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67EDAB22">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10049918">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F4DBBE">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23.星型卸灰阀维护、检修；</w:t>
            </w:r>
          </w:p>
        </w:tc>
        <w:tc>
          <w:tcPr>
            <w:tcW w:w="665" w:type="dxa"/>
            <w:tcBorders>
              <w:top w:val="nil"/>
              <w:left w:val="nil"/>
              <w:bottom w:val="single" w:color="000000" w:sz="8" w:space="0"/>
              <w:right w:val="single" w:color="000000" w:sz="8" w:space="0"/>
            </w:tcBorders>
            <w:shd w:val="clear" w:color="auto" w:fill="auto"/>
            <w:vAlign w:val="center"/>
          </w:tcPr>
          <w:p w14:paraId="21B60C3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A7731A">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325507">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6D9018">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1257AB">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37CA30">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EB0AFF">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1401CB">
            <w:pPr>
              <w:spacing w:line="240" w:lineRule="auto"/>
              <w:jc w:val="center"/>
              <w:rPr>
                <w:rFonts w:hint="eastAsia" w:ascii="宋体" w:hAnsi="宋体" w:eastAsia="宋体" w:cs="宋体"/>
                <w:i w:val="0"/>
                <w:iCs w:val="0"/>
                <w:color w:val="auto"/>
                <w:sz w:val="21"/>
                <w:szCs w:val="21"/>
                <w:highlight w:val="none"/>
                <w:u w:val="none"/>
              </w:rPr>
            </w:pPr>
          </w:p>
        </w:tc>
      </w:tr>
      <w:tr w14:paraId="6DDB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4"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2DCA813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246D0326">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60B9F038">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single" w:color="000000" w:sz="8" w:space="0"/>
              <w:bottom w:val="single" w:color="000000" w:sz="8" w:space="0"/>
              <w:right w:val="single" w:color="000000" w:sz="8" w:space="0"/>
            </w:tcBorders>
            <w:shd w:val="clear" w:color="auto" w:fill="auto"/>
            <w:vAlign w:val="center"/>
          </w:tcPr>
          <w:p w14:paraId="54470B43">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24.反应塔下埋刮板输送机维护、链条调整、密封修补、磨损检查；</w:t>
            </w:r>
          </w:p>
        </w:tc>
        <w:tc>
          <w:tcPr>
            <w:tcW w:w="665" w:type="dxa"/>
            <w:tcBorders>
              <w:top w:val="nil"/>
              <w:left w:val="nil"/>
              <w:bottom w:val="single" w:color="000000" w:sz="8" w:space="0"/>
              <w:right w:val="single" w:color="000000" w:sz="8" w:space="0"/>
            </w:tcBorders>
            <w:shd w:val="clear" w:color="auto" w:fill="auto"/>
            <w:vAlign w:val="center"/>
          </w:tcPr>
          <w:p w14:paraId="77CC89D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single" w:color="000000" w:sz="8" w:space="0"/>
              <w:bottom w:val="single" w:color="000000" w:sz="8" w:space="0"/>
              <w:right w:val="single" w:color="000000" w:sz="8" w:space="0"/>
            </w:tcBorders>
            <w:shd w:val="clear" w:color="auto" w:fill="auto"/>
            <w:vAlign w:val="center"/>
          </w:tcPr>
          <w:p w14:paraId="12159A8F">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single" w:color="000000" w:sz="8" w:space="0"/>
              <w:bottom w:val="single" w:color="000000" w:sz="8" w:space="0"/>
              <w:right w:val="single" w:color="000000" w:sz="8" w:space="0"/>
            </w:tcBorders>
            <w:shd w:val="clear" w:color="auto" w:fill="auto"/>
            <w:vAlign w:val="center"/>
          </w:tcPr>
          <w:p w14:paraId="003A6AB9">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single" w:color="000000" w:sz="8" w:space="0"/>
              <w:bottom w:val="single" w:color="000000" w:sz="8" w:space="0"/>
              <w:right w:val="single" w:color="000000" w:sz="8" w:space="0"/>
            </w:tcBorders>
            <w:shd w:val="clear" w:color="auto" w:fill="auto"/>
            <w:vAlign w:val="center"/>
          </w:tcPr>
          <w:p w14:paraId="0A3E43DB">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single" w:color="000000" w:sz="8" w:space="0"/>
              <w:bottom w:val="single" w:color="000000" w:sz="8" w:space="0"/>
              <w:right w:val="single" w:color="000000" w:sz="8" w:space="0"/>
            </w:tcBorders>
            <w:shd w:val="clear" w:color="auto" w:fill="auto"/>
            <w:vAlign w:val="center"/>
          </w:tcPr>
          <w:p w14:paraId="6174FD7E">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single" w:color="000000" w:sz="8" w:space="0"/>
              <w:bottom w:val="single" w:color="000000" w:sz="8" w:space="0"/>
              <w:right w:val="single" w:color="000000" w:sz="8" w:space="0"/>
            </w:tcBorders>
            <w:shd w:val="clear" w:color="auto" w:fill="auto"/>
            <w:vAlign w:val="center"/>
          </w:tcPr>
          <w:p w14:paraId="06B02821">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single" w:color="000000" w:sz="8" w:space="0"/>
              <w:bottom w:val="single" w:color="000000" w:sz="8" w:space="0"/>
              <w:right w:val="single" w:color="000000" w:sz="8" w:space="0"/>
            </w:tcBorders>
            <w:shd w:val="clear" w:color="auto" w:fill="auto"/>
            <w:vAlign w:val="center"/>
          </w:tcPr>
          <w:p w14:paraId="79B409CA">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single" w:color="000000" w:sz="8" w:space="0"/>
              <w:bottom w:val="single" w:color="000000" w:sz="8" w:space="0"/>
              <w:right w:val="single" w:color="000000" w:sz="8" w:space="0"/>
            </w:tcBorders>
            <w:shd w:val="clear" w:color="auto" w:fill="auto"/>
            <w:vAlign w:val="center"/>
          </w:tcPr>
          <w:p w14:paraId="1AE62C61">
            <w:pPr>
              <w:spacing w:line="240" w:lineRule="auto"/>
              <w:jc w:val="center"/>
              <w:rPr>
                <w:rFonts w:hint="eastAsia" w:ascii="宋体" w:hAnsi="宋体" w:eastAsia="宋体" w:cs="宋体"/>
                <w:i w:val="0"/>
                <w:iCs w:val="0"/>
                <w:color w:val="auto"/>
                <w:sz w:val="21"/>
                <w:szCs w:val="21"/>
                <w:highlight w:val="none"/>
                <w:u w:val="none"/>
              </w:rPr>
            </w:pPr>
          </w:p>
        </w:tc>
      </w:tr>
      <w:tr w14:paraId="51822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3EEC7D13">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23679BE2">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restart"/>
            <w:tcBorders>
              <w:top w:val="nil"/>
              <w:left w:val="nil"/>
              <w:bottom w:val="single" w:color="000000" w:sz="8" w:space="0"/>
              <w:right w:val="single" w:color="000000" w:sz="8" w:space="0"/>
            </w:tcBorders>
            <w:shd w:val="clear" w:color="auto" w:fill="auto"/>
            <w:vAlign w:val="center"/>
          </w:tcPr>
          <w:p w14:paraId="3F0F669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布袋除尘器</w:t>
            </w:r>
          </w:p>
        </w:tc>
        <w:tc>
          <w:tcPr>
            <w:tcW w:w="1331" w:type="dxa"/>
            <w:tcBorders>
              <w:top w:val="nil"/>
              <w:left w:val="nil"/>
              <w:bottom w:val="single" w:color="000000" w:sz="8" w:space="0"/>
              <w:right w:val="single" w:color="000000" w:sz="8" w:space="0"/>
            </w:tcBorders>
            <w:shd w:val="clear" w:color="auto" w:fill="auto"/>
            <w:vAlign w:val="center"/>
          </w:tcPr>
          <w:p w14:paraId="2A933C22">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25.检查滤袋和骨架的磨损、腐蚀情况；</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5FB092B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1ECC46DD">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5C7CDE48">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03AB1B3A">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59D35F52">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7F636F5C">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57CF021F">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75AD9EC8">
            <w:pPr>
              <w:spacing w:line="240" w:lineRule="auto"/>
              <w:jc w:val="center"/>
              <w:rPr>
                <w:rFonts w:hint="eastAsia" w:ascii="宋体" w:hAnsi="宋体" w:eastAsia="宋体" w:cs="宋体"/>
                <w:i w:val="0"/>
                <w:iCs w:val="0"/>
                <w:color w:val="auto"/>
                <w:sz w:val="21"/>
                <w:szCs w:val="21"/>
                <w:highlight w:val="none"/>
                <w:u w:val="none"/>
              </w:rPr>
            </w:pPr>
          </w:p>
        </w:tc>
      </w:tr>
      <w:tr w14:paraId="58911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4"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077557D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4AFB2E49">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34556AFD">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093BD5F5">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26.检查箱体、清洁室花板、喷吹管、盖板烟道腐蚀情况；</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7116060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1D2907B1">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12BFC743">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4304706C">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C711973">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310A3278">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6D06C585">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354731B3">
            <w:pPr>
              <w:spacing w:line="240" w:lineRule="auto"/>
              <w:jc w:val="center"/>
              <w:rPr>
                <w:rFonts w:hint="eastAsia" w:ascii="宋体" w:hAnsi="宋体" w:eastAsia="宋体" w:cs="宋体"/>
                <w:i w:val="0"/>
                <w:iCs w:val="0"/>
                <w:color w:val="auto"/>
                <w:sz w:val="21"/>
                <w:szCs w:val="21"/>
                <w:highlight w:val="none"/>
                <w:u w:val="none"/>
              </w:rPr>
            </w:pPr>
          </w:p>
        </w:tc>
      </w:tr>
      <w:tr w14:paraId="0750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717E4FDA">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5DD1D52A">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4690477D">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6040FD4A">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27.喷吹管补焊及螺栓紧固；</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49E21D8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4287785F">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6CD12462">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046C70B8">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4F687821">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44ACC22B">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26884085">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35743BFC">
            <w:pPr>
              <w:spacing w:line="240" w:lineRule="auto"/>
              <w:jc w:val="center"/>
              <w:rPr>
                <w:rFonts w:hint="eastAsia" w:ascii="宋体" w:hAnsi="宋体" w:eastAsia="宋体" w:cs="宋体"/>
                <w:i w:val="0"/>
                <w:iCs w:val="0"/>
                <w:color w:val="auto"/>
                <w:sz w:val="21"/>
                <w:szCs w:val="21"/>
                <w:highlight w:val="none"/>
                <w:u w:val="none"/>
              </w:rPr>
            </w:pPr>
          </w:p>
        </w:tc>
      </w:tr>
      <w:tr w14:paraId="45DC1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65D8F23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2C90C9D4">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4C10542C">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0ED649C2">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28.提升阀严密性检查；</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3C85D69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76C8A901">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6E6CC3EB">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4431A930">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0C7E1703">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72BDB4F">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58713C38">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1F52EDBD">
            <w:pPr>
              <w:spacing w:line="240" w:lineRule="auto"/>
              <w:jc w:val="center"/>
              <w:rPr>
                <w:rFonts w:hint="eastAsia" w:ascii="宋体" w:hAnsi="宋体" w:eastAsia="宋体" w:cs="宋体"/>
                <w:i w:val="0"/>
                <w:iCs w:val="0"/>
                <w:color w:val="auto"/>
                <w:sz w:val="21"/>
                <w:szCs w:val="21"/>
                <w:highlight w:val="none"/>
                <w:u w:val="none"/>
              </w:rPr>
            </w:pPr>
          </w:p>
        </w:tc>
      </w:tr>
      <w:tr w14:paraId="52C44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486E28FE">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15FACE3E">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09BEBF10">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58682BDF">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29.全部星型卸灰阀维护、检修；</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09FE23A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14AC7935">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64BA5AB8">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56F2DE6D">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7FDB98B8">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798F9788">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3BFA2191">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76DB36F6">
            <w:pPr>
              <w:spacing w:line="240" w:lineRule="auto"/>
              <w:jc w:val="center"/>
              <w:rPr>
                <w:rFonts w:hint="eastAsia" w:ascii="宋体" w:hAnsi="宋体" w:eastAsia="宋体" w:cs="宋体"/>
                <w:i w:val="0"/>
                <w:iCs w:val="0"/>
                <w:color w:val="auto"/>
                <w:sz w:val="21"/>
                <w:szCs w:val="21"/>
                <w:highlight w:val="none"/>
                <w:u w:val="none"/>
              </w:rPr>
            </w:pPr>
          </w:p>
        </w:tc>
      </w:tr>
      <w:tr w14:paraId="63592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2"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2A79C3BA">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0EBCC4A4">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0345E4CA">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19C5B6B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30.除尘器下埋刮板输送机维护、链条调整、密封修补；磨损检查；</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2C2E6DB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6A558B0C">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793E060A">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53404BB4">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3ECAAFF6">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3539F7A9">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569DC995">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65005F41">
            <w:pPr>
              <w:spacing w:line="240" w:lineRule="auto"/>
              <w:jc w:val="center"/>
              <w:rPr>
                <w:rFonts w:hint="eastAsia" w:ascii="宋体" w:hAnsi="宋体" w:eastAsia="宋体" w:cs="宋体"/>
                <w:i w:val="0"/>
                <w:iCs w:val="0"/>
                <w:color w:val="auto"/>
                <w:sz w:val="21"/>
                <w:szCs w:val="21"/>
                <w:highlight w:val="none"/>
                <w:u w:val="none"/>
              </w:rPr>
            </w:pPr>
          </w:p>
        </w:tc>
      </w:tr>
      <w:tr w14:paraId="1F37B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4" w:hRule="atLeast"/>
        </w:trPr>
        <w:tc>
          <w:tcPr>
            <w:tcW w:w="665" w:type="dxa"/>
            <w:vMerge w:val="continue"/>
            <w:tcBorders>
              <w:top w:val="nil"/>
              <w:left w:val="single" w:color="000000" w:sz="8" w:space="0"/>
              <w:bottom w:val="nil"/>
              <w:right w:val="single" w:color="000000" w:sz="8" w:space="0"/>
            </w:tcBorders>
            <w:shd w:val="clear" w:color="auto" w:fill="auto"/>
            <w:vAlign w:val="center"/>
          </w:tcPr>
          <w:p w14:paraId="62713912">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nil"/>
              <w:right w:val="single" w:color="000000" w:sz="8" w:space="0"/>
            </w:tcBorders>
            <w:shd w:val="clear" w:color="auto" w:fill="auto"/>
            <w:vAlign w:val="center"/>
          </w:tcPr>
          <w:p w14:paraId="6B471D9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48C053C5">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00648A69">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31.除尘器查漏（包括布袋查漏、箱体查漏）及处理；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080A567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4A1DE4EC">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0A453D30">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71873ACA">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39B7C02D">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5B60CF15">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5A396DB8">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14933027">
            <w:pPr>
              <w:spacing w:line="240" w:lineRule="auto"/>
              <w:jc w:val="center"/>
              <w:rPr>
                <w:rFonts w:hint="eastAsia" w:ascii="宋体" w:hAnsi="宋体" w:eastAsia="宋体" w:cs="宋体"/>
                <w:i w:val="0"/>
                <w:iCs w:val="0"/>
                <w:color w:val="auto"/>
                <w:sz w:val="21"/>
                <w:szCs w:val="21"/>
                <w:highlight w:val="none"/>
                <w:u w:val="none"/>
              </w:rPr>
            </w:pPr>
          </w:p>
        </w:tc>
      </w:tr>
      <w:tr w14:paraId="39B30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6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198A4C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四</w:t>
            </w:r>
          </w:p>
        </w:tc>
        <w:tc>
          <w:tcPr>
            <w:tcW w:w="66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8CD7C3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烟风系统</w:t>
            </w:r>
          </w:p>
        </w:tc>
        <w:tc>
          <w:tcPr>
            <w:tcW w:w="665" w:type="dxa"/>
            <w:vMerge w:val="restart"/>
            <w:tcBorders>
              <w:top w:val="nil"/>
              <w:left w:val="nil"/>
              <w:bottom w:val="single" w:color="000000" w:sz="8" w:space="0"/>
              <w:right w:val="single" w:color="000000" w:sz="8" w:space="0"/>
            </w:tcBorders>
            <w:shd w:val="clear" w:color="auto" w:fill="auto"/>
            <w:vAlign w:val="center"/>
          </w:tcPr>
          <w:p w14:paraId="11B3A11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各类风机</w:t>
            </w:r>
          </w:p>
        </w:tc>
        <w:tc>
          <w:tcPr>
            <w:tcW w:w="1331" w:type="dxa"/>
            <w:tcBorders>
              <w:top w:val="nil"/>
              <w:left w:val="nil"/>
              <w:bottom w:val="single" w:color="000000" w:sz="8" w:space="0"/>
              <w:right w:val="single" w:color="000000" w:sz="8" w:space="0"/>
            </w:tcBorders>
            <w:shd w:val="clear" w:color="auto" w:fill="auto"/>
            <w:vAlign w:val="center"/>
          </w:tcPr>
          <w:p w14:paraId="6A24BD62">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32.风机内部清灰、检查叶轮磨损；</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33F949E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131106C6">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2B41AB58">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617C93B7">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4399DF21">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032D6C1B">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2EB748BE">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6AE9AB1F">
            <w:pPr>
              <w:spacing w:line="240" w:lineRule="auto"/>
              <w:jc w:val="center"/>
              <w:rPr>
                <w:rFonts w:hint="eastAsia" w:ascii="宋体" w:hAnsi="宋体" w:eastAsia="宋体" w:cs="宋体"/>
                <w:i w:val="0"/>
                <w:iCs w:val="0"/>
                <w:color w:val="auto"/>
                <w:sz w:val="21"/>
                <w:szCs w:val="21"/>
                <w:highlight w:val="none"/>
                <w:u w:val="none"/>
              </w:rPr>
            </w:pPr>
          </w:p>
        </w:tc>
      </w:tr>
      <w:tr w14:paraId="0C2B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9" w:hRule="atLeast"/>
        </w:trPr>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AD58D1">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AE913B5">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27A20986">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1F385EA7">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33.修补磨损外壳、衬板、轴承保护套；</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49F2DEC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66FE909B">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6D81BAE4">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331E5641">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5BD830D3">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3A6DDC3">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44096017">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378BCF07">
            <w:pPr>
              <w:spacing w:line="240" w:lineRule="auto"/>
              <w:jc w:val="center"/>
              <w:rPr>
                <w:rFonts w:hint="eastAsia" w:ascii="宋体" w:hAnsi="宋体" w:eastAsia="宋体" w:cs="宋体"/>
                <w:i w:val="0"/>
                <w:iCs w:val="0"/>
                <w:color w:val="auto"/>
                <w:sz w:val="21"/>
                <w:szCs w:val="21"/>
                <w:highlight w:val="none"/>
                <w:u w:val="none"/>
              </w:rPr>
            </w:pPr>
          </w:p>
        </w:tc>
      </w:tr>
      <w:tr w14:paraId="3FA6B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AF06442">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89EDAD1">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19C05E9D">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0E763091">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34.清理及检修入口调节挡板；</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3136D1C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06745458">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763E4348">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7636CEB5">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79550994">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2A65D1DD">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6F32AC98">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23A94074">
            <w:pPr>
              <w:spacing w:line="240" w:lineRule="auto"/>
              <w:jc w:val="center"/>
              <w:rPr>
                <w:rFonts w:hint="eastAsia" w:ascii="宋体" w:hAnsi="宋体" w:eastAsia="宋体" w:cs="宋体"/>
                <w:i w:val="0"/>
                <w:iCs w:val="0"/>
                <w:color w:val="auto"/>
                <w:sz w:val="21"/>
                <w:szCs w:val="21"/>
                <w:highlight w:val="none"/>
                <w:u w:val="none"/>
              </w:rPr>
            </w:pPr>
          </w:p>
        </w:tc>
      </w:tr>
      <w:tr w14:paraId="29B87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6520A0E">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FAB09FD">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799B545B">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5B1C54A9">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35.轴承维护及润滑油系统，换油；</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7C1B2E1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407FEABE">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2A45DE44">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568F470A">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79F25F96">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2ABECB9B">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2D9AE02B">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7BC0ABA1">
            <w:pPr>
              <w:spacing w:line="240" w:lineRule="auto"/>
              <w:jc w:val="center"/>
              <w:rPr>
                <w:rFonts w:hint="eastAsia" w:ascii="宋体" w:hAnsi="宋体" w:eastAsia="宋体" w:cs="宋体"/>
                <w:i w:val="0"/>
                <w:iCs w:val="0"/>
                <w:color w:val="auto"/>
                <w:sz w:val="21"/>
                <w:szCs w:val="21"/>
                <w:highlight w:val="none"/>
                <w:u w:val="none"/>
              </w:rPr>
            </w:pPr>
          </w:p>
        </w:tc>
      </w:tr>
      <w:tr w14:paraId="15151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B86AC63">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3F49F0E">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restart"/>
            <w:tcBorders>
              <w:top w:val="nil"/>
              <w:left w:val="nil"/>
              <w:bottom w:val="single" w:color="000000" w:sz="8" w:space="0"/>
              <w:right w:val="single" w:color="000000" w:sz="8" w:space="0"/>
            </w:tcBorders>
            <w:shd w:val="clear" w:color="auto" w:fill="auto"/>
            <w:vAlign w:val="center"/>
          </w:tcPr>
          <w:p w14:paraId="7826057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烟风管路</w:t>
            </w:r>
          </w:p>
        </w:tc>
        <w:tc>
          <w:tcPr>
            <w:tcW w:w="1331" w:type="dxa"/>
            <w:tcBorders>
              <w:top w:val="nil"/>
              <w:left w:val="nil"/>
              <w:bottom w:val="single" w:color="000000" w:sz="8" w:space="0"/>
              <w:right w:val="single" w:color="000000" w:sz="8" w:space="0"/>
            </w:tcBorders>
            <w:shd w:val="clear" w:color="auto" w:fill="auto"/>
            <w:vAlign w:val="center"/>
          </w:tcPr>
          <w:p w14:paraId="549908E4">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36.检查管路系统磨损、变形腐蚀、支吊架；</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41FA3A1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445A4FBC">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41BEC16A">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09585911">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176F0AFF">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64578C7F">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57AA1A2A">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7A2465ED">
            <w:pPr>
              <w:spacing w:line="240" w:lineRule="auto"/>
              <w:jc w:val="center"/>
              <w:rPr>
                <w:rFonts w:hint="eastAsia" w:ascii="宋体" w:hAnsi="宋体" w:eastAsia="宋体" w:cs="宋体"/>
                <w:i w:val="0"/>
                <w:iCs w:val="0"/>
                <w:color w:val="auto"/>
                <w:sz w:val="21"/>
                <w:szCs w:val="21"/>
                <w:highlight w:val="none"/>
                <w:u w:val="none"/>
              </w:rPr>
            </w:pPr>
          </w:p>
        </w:tc>
      </w:tr>
      <w:tr w14:paraId="03297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C77674D">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A6678DC">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6C4AA4BC">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4C0E7512">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37.管路内部清灰、破损油漆修补；</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6A60D7C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3E066166">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3A76EC79">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233B9C8F">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41245F44">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62781D0C">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66A83D81">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44C6FDB9">
            <w:pPr>
              <w:spacing w:line="240" w:lineRule="auto"/>
              <w:jc w:val="center"/>
              <w:rPr>
                <w:rFonts w:hint="eastAsia" w:ascii="宋体" w:hAnsi="宋体" w:eastAsia="宋体" w:cs="宋体"/>
                <w:i w:val="0"/>
                <w:iCs w:val="0"/>
                <w:color w:val="auto"/>
                <w:sz w:val="21"/>
                <w:szCs w:val="21"/>
                <w:highlight w:val="none"/>
                <w:u w:val="none"/>
              </w:rPr>
            </w:pPr>
          </w:p>
        </w:tc>
      </w:tr>
      <w:tr w14:paraId="50DB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0DF89B5">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EA7BEC1">
            <w:pPr>
              <w:spacing w:line="240" w:lineRule="auto"/>
              <w:jc w:val="center"/>
              <w:rPr>
                <w:rFonts w:hint="eastAsia" w:ascii="宋体" w:hAnsi="宋体" w:eastAsia="宋体" w:cs="宋体"/>
                <w:i w:val="0"/>
                <w:iCs w:val="0"/>
                <w:color w:val="auto"/>
                <w:sz w:val="21"/>
                <w:szCs w:val="21"/>
                <w:highlight w:val="none"/>
                <w:u w:val="none"/>
              </w:rPr>
            </w:pPr>
          </w:p>
        </w:tc>
        <w:tc>
          <w:tcPr>
            <w:tcW w:w="665" w:type="dxa"/>
            <w:vMerge w:val="continue"/>
            <w:tcBorders>
              <w:top w:val="nil"/>
              <w:left w:val="nil"/>
              <w:bottom w:val="single" w:color="000000" w:sz="8" w:space="0"/>
              <w:right w:val="single" w:color="000000" w:sz="8" w:space="0"/>
            </w:tcBorders>
            <w:shd w:val="clear" w:color="auto" w:fill="auto"/>
            <w:vAlign w:val="center"/>
          </w:tcPr>
          <w:p w14:paraId="132828BD">
            <w:pPr>
              <w:spacing w:line="240" w:lineRule="auto"/>
              <w:jc w:val="center"/>
              <w:rPr>
                <w:rFonts w:hint="eastAsia" w:ascii="宋体" w:hAnsi="宋体" w:eastAsia="宋体" w:cs="宋体"/>
                <w:i w:val="0"/>
                <w:iCs w:val="0"/>
                <w:color w:val="auto"/>
                <w:sz w:val="21"/>
                <w:szCs w:val="21"/>
                <w:highlight w:val="none"/>
                <w:u w:val="none"/>
              </w:rPr>
            </w:pPr>
          </w:p>
        </w:tc>
        <w:tc>
          <w:tcPr>
            <w:tcW w:w="1331" w:type="dxa"/>
            <w:tcBorders>
              <w:top w:val="nil"/>
              <w:left w:val="nil"/>
              <w:bottom w:val="single" w:color="000000" w:sz="8" w:space="0"/>
              <w:right w:val="single" w:color="000000" w:sz="8" w:space="0"/>
            </w:tcBorders>
            <w:shd w:val="clear" w:color="auto" w:fill="auto"/>
            <w:vAlign w:val="center"/>
          </w:tcPr>
          <w:p w14:paraId="6AC7C56E">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38.膨胀节检查与修复；</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6CF7DA4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3F7D121A">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3A92795D">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44FF1377">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4B8000F3">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554E077F">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533156A6">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4B0AC132">
            <w:pPr>
              <w:spacing w:line="240" w:lineRule="auto"/>
              <w:jc w:val="center"/>
              <w:rPr>
                <w:rFonts w:hint="eastAsia" w:ascii="宋体" w:hAnsi="宋体" w:eastAsia="宋体" w:cs="宋体"/>
                <w:i w:val="0"/>
                <w:iCs w:val="0"/>
                <w:color w:val="auto"/>
                <w:sz w:val="21"/>
                <w:szCs w:val="21"/>
                <w:highlight w:val="none"/>
                <w:u w:val="none"/>
              </w:rPr>
            </w:pPr>
          </w:p>
        </w:tc>
      </w:tr>
      <w:tr w14:paraId="0C87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665" w:type="dxa"/>
            <w:tcBorders>
              <w:top w:val="nil"/>
              <w:left w:val="single" w:color="000000" w:sz="8" w:space="0"/>
              <w:bottom w:val="single" w:color="000000" w:sz="8" w:space="0"/>
              <w:right w:val="single" w:color="000000" w:sz="8" w:space="0"/>
            </w:tcBorders>
            <w:shd w:val="clear" w:color="auto" w:fill="auto"/>
            <w:vAlign w:val="center"/>
          </w:tcPr>
          <w:p w14:paraId="313AB77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w:t>
            </w:r>
          </w:p>
        </w:tc>
        <w:tc>
          <w:tcPr>
            <w:tcW w:w="1330" w:type="dxa"/>
            <w:gridSpan w:val="2"/>
            <w:tcBorders>
              <w:top w:val="nil"/>
              <w:left w:val="nil"/>
              <w:bottom w:val="single" w:color="000000" w:sz="8" w:space="0"/>
              <w:right w:val="single" w:color="000000" w:sz="8" w:space="0"/>
            </w:tcBorders>
            <w:shd w:val="clear" w:color="auto" w:fill="auto"/>
            <w:vAlign w:val="center"/>
          </w:tcPr>
          <w:p w14:paraId="7CA5AF7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卫生清扫零星用工</w:t>
            </w:r>
          </w:p>
        </w:tc>
        <w:tc>
          <w:tcPr>
            <w:tcW w:w="1331" w:type="dxa"/>
            <w:tcBorders>
              <w:top w:val="nil"/>
              <w:left w:val="nil"/>
              <w:bottom w:val="single" w:color="000000" w:sz="8" w:space="0"/>
              <w:right w:val="single" w:color="000000" w:sz="8" w:space="0"/>
            </w:tcBorders>
            <w:shd w:val="clear" w:color="auto" w:fill="auto"/>
            <w:vAlign w:val="center"/>
          </w:tcPr>
          <w:p w14:paraId="4DEFEF18">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39.施工完成后现场卫生清理。</w:t>
            </w:r>
          </w:p>
        </w:tc>
        <w:tc>
          <w:tcPr>
            <w:tcW w:w="665" w:type="dxa"/>
            <w:tcBorders>
              <w:top w:val="nil"/>
              <w:left w:val="single" w:color="000000" w:sz="8" w:space="0"/>
              <w:bottom w:val="single" w:color="000000" w:sz="8" w:space="0"/>
              <w:right w:val="single" w:color="000000" w:sz="8" w:space="0"/>
            </w:tcBorders>
            <w:shd w:val="clear" w:color="auto" w:fill="auto"/>
            <w:vAlign w:val="center"/>
          </w:tcPr>
          <w:p w14:paraId="1AF78FC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61" w:type="dxa"/>
            <w:tcBorders>
              <w:top w:val="nil"/>
              <w:left w:val="nil"/>
              <w:bottom w:val="single" w:color="000000" w:sz="8" w:space="0"/>
              <w:right w:val="single" w:color="000000" w:sz="8" w:space="0"/>
            </w:tcBorders>
            <w:shd w:val="clear" w:color="auto" w:fill="auto"/>
            <w:vAlign w:val="center"/>
          </w:tcPr>
          <w:p w14:paraId="79EE3918">
            <w:pPr>
              <w:spacing w:line="240" w:lineRule="auto"/>
              <w:jc w:val="center"/>
              <w:rPr>
                <w:rFonts w:hint="eastAsia" w:ascii="宋体" w:hAnsi="宋体" w:eastAsia="宋体" w:cs="宋体"/>
                <w:i w:val="0"/>
                <w:iCs w:val="0"/>
                <w:color w:val="auto"/>
                <w:sz w:val="21"/>
                <w:szCs w:val="21"/>
                <w:highlight w:val="none"/>
                <w:u w:val="none"/>
              </w:rPr>
            </w:pPr>
          </w:p>
        </w:tc>
        <w:tc>
          <w:tcPr>
            <w:tcW w:w="443" w:type="dxa"/>
            <w:tcBorders>
              <w:top w:val="nil"/>
              <w:left w:val="nil"/>
              <w:bottom w:val="single" w:color="000000" w:sz="8" w:space="0"/>
              <w:right w:val="single" w:color="000000" w:sz="8" w:space="0"/>
            </w:tcBorders>
            <w:shd w:val="clear" w:color="auto" w:fill="auto"/>
            <w:vAlign w:val="center"/>
          </w:tcPr>
          <w:p w14:paraId="30FE324A">
            <w:pPr>
              <w:spacing w:line="240" w:lineRule="auto"/>
              <w:jc w:val="center"/>
              <w:rPr>
                <w:rFonts w:hint="eastAsia" w:ascii="宋体" w:hAnsi="宋体" w:eastAsia="宋体" w:cs="宋体"/>
                <w:i w:val="0"/>
                <w:iCs w:val="0"/>
                <w:color w:val="auto"/>
                <w:sz w:val="21"/>
                <w:szCs w:val="21"/>
                <w:highlight w:val="none"/>
                <w:u w:val="none"/>
              </w:rPr>
            </w:pPr>
          </w:p>
        </w:tc>
        <w:tc>
          <w:tcPr>
            <w:tcW w:w="846" w:type="dxa"/>
            <w:tcBorders>
              <w:top w:val="nil"/>
              <w:left w:val="nil"/>
              <w:bottom w:val="single" w:color="000000" w:sz="8" w:space="0"/>
              <w:right w:val="single" w:color="000000" w:sz="8" w:space="0"/>
            </w:tcBorders>
            <w:shd w:val="clear" w:color="auto" w:fill="auto"/>
            <w:vAlign w:val="center"/>
          </w:tcPr>
          <w:p w14:paraId="4BD69AF9">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263307DD">
            <w:pPr>
              <w:spacing w:line="240" w:lineRule="auto"/>
              <w:jc w:val="center"/>
              <w:rPr>
                <w:rFonts w:hint="eastAsia" w:ascii="宋体" w:hAnsi="宋体" w:eastAsia="宋体" w:cs="宋体"/>
                <w:i w:val="0"/>
                <w:iCs w:val="0"/>
                <w:color w:val="auto"/>
                <w:sz w:val="21"/>
                <w:szCs w:val="21"/>
                <w:highlight w:val="none"/>
                <w:u w:val="none"/>
              </w:rPr>
            </w:pPr>
          </w:p>
        </w:tc>
        <w:tc>
          <w:tcPr>
            <w:tcW w:w="543" w:type="dxa"/>
            <w:tcBorders>
              <w:top w:val="nil"/>
              <w:left w:val="nil"/>
              <w:bottom w:val="single" w:color="000000" w:sz="8" w:space="0"/>
              <w:right w:val="single" w:color="000000" w:sz="8" w:space="0"/>
            </w:tcBorders>
            <w:shd w:val="clear" w:color="auto" w:fill="auto"/>
            <w:vAlign w:val="center"/>
          </w:tcPr>
          <w:p w14:paraId="7F5E0EB7">
            <w:pPr>
              <w:spacing w:line="240" w:lineRule="auto"/>
              <w:jc w:val="center"/>
              <w:rPr>
                <w:rFonts w:hint="eastAsia" w:ascii="宋体" w:hAnsi="宋体" w:eastAsia="宋体" w:cs="宋体"/>
                <w:i w:val="0"/>
                <w:iCs w:val="0"/>
                <w:color w:val="auto"/>
                <w:sz w:val="21"/>
                <w:szCs w:val="21"/>
                <w:highlight w:val="none"/>
                <w:u w:val="none"/>
              </w:rPr>
            </w:pPr>
          </w:p>
        </w:tc>
        <w:tc>
          <w:tcPr>
            <w:tcW w:w="544" w:type="dxa"/>
            <w:tcBorders>
              <w:top w:val="nil"/>
              <w:left w:val="nil"/>
              <w:bottom w:val="single" w:color="000000" w:sz="8" w:space="0"/>
              <w:right w:val="single" w:color="000000" w:sz="8" w:space="0"/>
            </w:tcBorders>
            <w:shd w:val="clear" w:color="auto" w:fill="auto"/>
            <w:vAlign w:val="center"/>
          </w:tcPr>
          <w:p w14:paraId="2C70DB3E">
            <w:pPr>
              <w:spacing w:line="240" w:lineRule="auto"/>
              <w:jc w:val="center"/>
              <w:rPr>
                <w:rFonts w:hint="eastAsia" w:ascii="宋体" w:hAnsi="宋体" w:eastAsia="宋体" w:cs="宋体"/>
                <w:i w:val="0"/>
                <w:iCs w:val="0"/>
                <w:color w:val="auto"/>
                <w:sz w:val="21"/>
                <w:szCs w:val="21"/>
                <w:highlight w:val="none"/>
                <w:u w:val="none"/>
              </w:rPr>
            </w:pPr>
          </w:p>
        </w:tc>
        <w:tc>
          <w:tcPr>
            <w:tcW w:w="847" w:type="dxa"/>
            <w:tcBorders>
              <w:top w:val="nil"/>
              <w:left w:val="nil"/>
              <w:bottom w:val="single" w:color="000000" w:sz="8" w:space="0"/>
              <w:right w:val="single" w:color="000000" w:sz="8" w:space="0"/>
            </w:tcBorders>
            <w:shd w:val="clear" w:color="auto" w:fill="auto"/>
            <w:vAlign w:val="center"/>
          </w:tcPr>
          <w:p w14:paraId="13D9670C">
            <w:pPr>
              <w:spacing w:line="240" w:lineRule="auto"/>
              <w:jc w:val="center"/>
              <w:rPr>
                <w:rFonts w:hint="eastAsia" w:ascii="宋体" w:hAnsi="宋体" w:eastAsia="宋体" w:cs="宋体"/>
                <w:i w:val="0"/>
                <w:iCs w:val="0"/>
                <w:color w:val="auto"/>
                <w:sz w:val="21"/>
                <w:szCs w:val="21"/>
                <w:highlight w:val="none"/>
                <w:u w:val="none"/>
              </w:rPr>
            </w:pPr>
          </w:p>
        </w:tc>
      </w:tr>
    </w:tbl>
    <w:p w14:paraId="560AF65F">
      <w:pPr>
        <w:bidi w:val="0"/>
        <w:rPr>
          <w:rFonts w:hint="eastAsia" w:ascii="宋体" w:hAnsi="宋体" w:eastAsia="宋体" w:cs="宋体"/>
          <w:color w:val="auto"/>
          <w:highlight w:val="none"/>
        </w:rPr>
      </w:pPr>
      <w:bookmarkStart w:id="257" w:name="_Toc17043"/>
      <w:bookmarkStart w:id="258" w:name="_Toc131690849"/>
      <w:bookmarkStart w:id="259" w:name="_Toc30985"/>
      <w:r>
        <w:rPr>
          <w:rFonts w:hint="eastAsia" w:ascii="宋体" w:hAnsi="宋体" w:eastAsia="宋体" w:cs="宋体"/>
          <w:color w:val="auto"/>
          <w:highlight w:val="none"/>
        </w:rPr>
        <w:t>（二）锅炉与尾气系统大修特殊项目工程验收</w:t>
      </w:r>
      <w:r>
        <w:rPr>
          <w:rFonts w:hint="eastAsia" w:ascii="宋体" w:hAnsi="宋体" w:eastAsia="宋体" w:cs="宋体"/>
          <w:color w:val="auto"/>
          <w:highlight w:val="none"/>
          <w:lang w:val="en-US" w:eastAsia="zh-CN"/>
        </w:rPr>
        <w:t>核算单</w:t>
      </w:r>
      <w:r>
        <w:rPr>
          <w:rFonts w:hint="eastAsia" w:ascii="宋体" w:hAnsi="宋体" w:eastAsia="宋体" w:cs="宋体"/>
          <w:color w:val="auto"/>
          <w:highlight w:val="none"/>
        </w:rPr>
        <w:t>：</w:t>
      </w:r>
      <w:bookmarkEnd w:id="257"/>
      <w:bookmarkEnd w:id="258"/>
      <w:bookmarkEnd w:id="259"/>
    </w:p>
    <w:p w14:paraId="0E297F23">
      <w:pPr>
        <w:widowControl w:val="0"/>
        <w:adjustRightInd/>
        <w:snapToGrid/>
        <w:spacing w:line="360" w:lineRule="auto"/>
        <w:ind w:firstLine="42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rPr>
        <w:t>特殊项目视停炉后检查的实际情况而定，若有需要按实际情况进行施工，个别项目视情况我司可另外委托其他施工单位，以下项目若有发生时按单项包干价格进行结算：</w:t>
      </w:r>
    </w:p>
    <w:tbl>
      <w:tblPr>
        <w:tblStyle w:val="31"/>
        <w:tblW w:w="8593"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724"/>
        <w:gridCol w:w="760"/>
        <w:gridCol w:w="1785"/>
        <w:gridCol w:w="619"/>
        <w:gridCol w:w="673"/>
        <w:gridCol w:w="650"/>
        <w:gridCol w:w="596"/>
        <w:gridCol w:w="505"/>
        <w:gridCol w:w="635"/>
        <w:gridCol w:w="475"/>
        <w:gridCol w:w="521"/>
      </w:tblGrid>
      <w:tr w14:paraId="79562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 w:hRule="atLeast"/>
        </w:trPr>
        <w:tc>
          <w:tcPr>
            <w:tcW w:w="65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558F0F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724"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877BFF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系统名称</w:t>
            </w:r>
          </w:p>
        </w:tc>
        <w:tc>
          <w:tcPr>
            <w:tcW w:w="76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582C7B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部件名称</w:t>
            </w:r>
          </w:p>
        </w:tc>
        <w:tc>
          <w:tcPr>
            <w:tcW w:w="178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BA5728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特殊项目</w:t>
            </w:r>
          </w:p>
        </w:tc>
        <w:tc>
          <w:tcPr>
            <w:tcW w:w="1292"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68553B24">
            <w:pPr>
              <w:widowControl w:val="0"/>
              <w:autoSpaceDN w:val="0"/>
              <w:adjustRightInd/>
              <w:snapToGrid/>
              <w:spacing w:line="240" w:lineRule="auto"/>
              <w:jc w:val="center"/>
              <w:textAlignment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特殊项目单项</w:t>
            </w:r>
          </w:p>
          <w:p w14:paraId="6993BCFA">
            <w:pPr>
              <w:widowControl w:val="0"/>
              <w:autoSpaceDN w:val="0"/>
              <w:adjustRightInd/>
              <w:snapToGrid/>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2"/>
                <w:sz w:val="21"/>
                <w:szCs w:val="21"/>
                <w:highlight w:val="none"/>
              </w:rPr>
              <w:t>报价（元）</w:t>
            </w:r>
          </w:p>
        </w:tc>
        <w:tc>
          <w:tcPr>
            <w:tcW w:w="650" w:type="dxa"/>
            <w:vMerge w:val="restart"/>
            <w:tcBorders>
              <w:top w:val="single" w:color="000000" w:sz="8" w:space="0"/>
              <w:left w:val="single" w:color="000000" w:sz="8" w:space="0"/>
              <w:right w:val="single" w:color="000000" w:sz="8" w:space="0"/>
            </w:tcBorders>
            <w:shd w:val="clear" w:color="auto" w:fill="auto"/>
            <w:vAlign w:val="center"/>
          </w:tcPr>
          <w:p w14:paraId="5921C92D">
            <w:pPr>
              <w:keepNext w:val="0"/>
              <w:keepLines w:val="0"/>
              <w:widowControl/>
              <w:suppressLineNumbers w:val="0"/>
              <w:spacing w:line="240" w:lineRule="auto"/>
              <w:jc w:val="center"/>
              <w:textAlignment w:val="center"/>
              <w:rPr>
                <w:rFonts w:hint="eastAsia" w:ascii="宋体" w:hAnsi="宋体" w:eastAsia="宋体" w:cs="宋体"/>
                <w:color w:val="auto"/>
                <w:kern w:val="0"/>
                <w:sz w:val="21"/>
                <w:szCs w:val="21"/>
                <w:highlight w:val="none"/>
                <w:u w:val="none"/>
                <w:lang w:bidi="ar"/>
              </w:rPr>
            </w:pPr>
            <w:r>
              <w:rPr>
                <w:rFonts w:hint="eastAsia" w:ascii="宋体" w:hAnsi="宋体" w:eastAsia="宋体" w:cs="宋体"/>
                <w:b w:val="0"/>
                <w:bCs w:val="0"/>
                <w:i w:val="0"/>
                <w:iCs w:val="0"/>
                <w:color w:val="auto"/>
                <w:kern w:val="0"/>
                <w:sz w:val="21"/>
                <w:szCs w:val="21"/>
                <w:highlight w:val="none"/>
                <w:u w:val="none"/>
                <w:lang w:val="en-US" w:eastAsia="zh-CN" w:bidi="ar"/>
              </w:rPr>
              <w:t>申报</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工程量</w:t>
            </w:r>
          </w:p>
        </w:tc>
        <w:tc>
          <w:tcPr>
            <w:tcW w:w="596" w:type="dxa"/>
            <w:vMerge w:val="restart"/>
            <w:tcBorders>
              <w:top w:val="single" w:color="000000" w:sz="8" w:space="0"/>
              <w:left w:val="single" w:color="000000" w:sz="8" w:space="0"/>
              <w:right w:val="single" w:color="000000" w:sz="8" w:space="0"/>
            </w:tcBorders>
            <w:shd w:val="clear" w:color="auto" w:fill="auto"/>
            <w:vAlign w:val="center"/>
          </w:tcPr>
          <w:p w14:paraId="10469A02">
            <w:pPr>
              <w:keepNext w:val="0"/>
              <w:keepLines w:val="0"/>
              <w:widowControl/>
              <w:suppressLineNumbers w:val="0"/>
              <w:spacing w:line="240" w:lineRule="auto"/>
              <w:jc w:val="center"/>
              <w:textAlignment w:val="center"/>
              <w:rPr>
                <w:rFonts w:hint="eastAsia" w:ascii="宋体" w:hAnsi="宋体" w:eastAsia="宋体" w:cs="宋体"/>
                <w:color w:val="auto"/>
                <w:kern w:val="0"/>
                <w:sz w:val="21"/>
                <w:szCs w:val="21"/>
                <w:highlight w:val="none"/>
                <w:u w:val="none"/>
                <w:lang w:bidi="ar"/>
              </w:rPr>
            </w:pPr>
            <w:r>
              <w:rPr>
                <w:rFonts w:hint="eastAsia" w:ascii="宋体" w:hAnsi="宋体" w:eastAsia="宋体" w:cs="宋体"/>
                <w:b w:val="0"/>
                <w:bCs w:val="0"/>
                <w:i w:val="0"/>
                <w:iCs w:val="0"/>
                <w:color w:val="auto"/>
                <w:kern w:val="0"/>
                <w:sz w:val="21"/>
                <w:szCs w:val="21"/>
                <w:highlight w:val="none"/>
                <w:u w:val="none"/>
                <w:lang w:val="en-US" w:eastAsia="zh-CN" w:bidi="ar"/>
              </w:rPr>
              <w:t>申报价格</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（元）</w:t>
            </w:r>
          </w:p>
        </w:tc>
        <w:tc>
          <w:tcPr>
            <w:tcW w:w="505" w:type="dxa"/>
            <w:vMerge w:val="restart"/>
            <w:tcBorders>
              <w:top w:val="single" w:color="000000" w:sz="8" w:space="0"/>
              <w:left w:val="single" w:color="000000" w:sz="8" w:space="0"/>
              <w:right w:val="single" w:color="000000" w:sz="8" w:space="0"/>
            </w:tcBorders>
            <w:shd w:val="clear" w:color="auto" w:fill="auto"/>
            <w:vAlign w:val="center"/>
          </w:tcPr>
          <w:p w14:paraId="00872748">
            <w:pPr>
              <w:keepNext w:val="0"/>
              <w:keepLines w:val="0"/>
              <w:widowControl/>
              <w:suppressLineNumbers w:val="0"/>
              <w:spacing w:line="240" w:lineRule="auto"/>
              <w:jc w:val="center"/>
              <w:textAlignment w:val="center"/>
              <w:rPr>
                <w:rFonts w:hint="eastAsia" w:ascii="宋体" w:hAnsi="宋体" w:eastAsia="宋体" w:cs="宋体"/>
                <w:color w:val="auto"/>
                <w:kern w:val="0"/>
                <w:sz w:val="21"/>
                <w:szCs w:val="21"/>
                <w:highlight w:val="none"/>
                <w:u w:val="none"/>
                <w:lang w:bidi="ar"/>
              </w:rPr>
            </w:pPr>
            <w:r>
              <w:rPr>
                <w:rFonts w:hint="eastAsia" w:ascii="宋体" w:hAnsi="宋体" w:eastAsia="宋体" w:cs="宋体"/>
                <w:b w:val="0"/>
                <w:bCs w:val="0"/>
                <w:i w:val="0"/>
                <w:iCs w:val="0"/>
                <w:color w:val="auto"/>
                <w:kern w:val="0"/>
                <w:sz w:val="21"/>
                <w:szCs w:val="21"/>
                <w:highlight w:val="none"/>
                <w:u w:val="none"/>
                <w:lang w:val="en-US" w:eastAsia="zh-CN" w:bidi="ar"/>
              </w:rPr>
              <w:t>核　实</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工程量</w:t>
            </w:r>
          </w:p>
        </w:tc>
        <w:tc>
          <w:tcPr>
            <w:tcW w:w="635" w:type="dxa"/>
            <w:vMerge w:val="restart"/>
            <w:tcBorders>
              <w:top w:val="single" w:color="000000" w:sz="8" w:space="0"/>
              <w:left w:val="single" w:color="000000" w:sz="8" w:space="0"/>
              <w:right w:val="single" w:color="000000" w:sz="8" w:space="0"/>
            </w:tcBorders>
            <w:shd w:val="clear" w:color="auto" w:fill="auto"/>
            <w:vAlign w:val="center"/>
          </w:tcPr>
          <w:p w14:paraId="5C2949F9">
            <w:pPr>
              <w:keepNext w:val="0"/>
              <w:keepLines w:val="0"/>
              <w:widowControl/>
              <w:suppressLineNumbers w:val="0"/>
              <w:spacing w:line="240" w:lineRule="auto"/>
              <w:jc w:val="center"/>
              <w:textAlignment w:val="center"/>
              <w:rPr>
                <w:rFonts w:hint="eastAsia" w:ascii="宋体" w:hAnsi="宋体" w:eastAsia="宋体" w:cs="宋体"/>
                <w:color w:val="auto"/>
                <w:kern w:val="0"/>
                <w:sz w:val="21"/>
                <w:szCs w:val="21"/>
                <w:highlight w:val="none"/>
                <w:u w:val="none"/>
                <w:lang w:bidi="ar"/>
              </w:rPr>
            </w:pPr>
            <w:r>
              <w:rPr>
                <w:rFonts w:hint="eastAsia" w:ascii="宋体" w:hAnsi="宋体" w:eastAsia="宋体" w:cs="宋体"/>
                <w:b w:val="0"/>
                <w:bCs w:val="0"/>
                <w:i w:val="0"/>
                <w:iCs w:val="0"/>
                <w:color w:val="auto"/>
                <w:kern w:val="0"/>
                <w:sz w:val="21"/>
                <w:szCs w:val="21"/>
                <w:highlight w:val="none"/>
                <w:u w:val="none"/>
                <w:lang w:val="en-US" w:eastAsia="zh-CN" w:bidi="ar"/>
              </w:rPr>
              <w:t>验收及</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核实人</w:t>
            </w:r>
          </w:p>
        </w:tc>
        <w:tc>
          <w:tcPr>
            <w:tcW w:w="475" w:type="dxa"/>
            <w:vMerge w:val="restart"/>
            <w:tcBorders>
              <w:top w:val="single" w:color="000000" w:sz="8" w:space="0"/>
              <w:left w:val="single" w:color="000000" w:sz="8" w:space="0"/>
              <w:right w:val="single" w:color="000000" w:sz="8" w:space="0"/>
            </w:tcBorders>
            <w:shd w:val="clear" w:color="auto" w:fill="auto"/>
            <w:vAlign w:val="center"/>
          </w:tcPr>
          <w:p w14:paraId="2F49CAC1">
            <w:pPr>
              <w:keepNext w:val="0"/>
              <w:keepLines w:val="0"/>
              <w:widowControl/>
              <w:suppressLineNumbers w:val="0"/>
              <w:spacing w:line="240" w:lineRule="auto"/>
              <w:jc w:val="center"/>
              <w:textAlignment w:val="center"/>
              <w:rPr>
                <w:rFonts w:hint="eastAsia" w:ascii="宋体" w:hAnsi="宋体" w:eastAsia="宋体" w:cs="宋体"/>
                <w:color w:val="auto"/>
                <w:kern w:val="0"/>
                <w:sz w:val="21"/>
                <w:szCs w:val="21"/>
                <w:highlight w:val="none"/>
                <w:u w:val="none"/>
                <w:lang w:bidi="ar"/>
              </w:rPr>
            </w:pPr>
            <w:r>
              <w:rPr>
                <w:rFonts w:hint="eastAsia" w:ascii="宋体" w:hAnsi="宋体" w:eastAsia="宋体" w:cs="宋体"/>
                <w:b w:val="0"/>
                <w:bCs w:val="0"/>
                <w:i w:val="0"/>
                <w:iCs w:val="0"/>
                <w:color w:val="auto"/>
                <w:kern w:val="0"/>
                <w:sz w:val="21"/>
                <w:szCs w:val="21"/>
                <w:highlight w:val="none"/>
                <w:u w:val="none"/>
                <w:lang w:val="en-US" w:eastAsia="zh-CN" w:bidi="ar"/>
              </w:rPr>
              <w:t>核实说明</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及备注</w:t>
            </w:r>
          </w:p>
        </w:tc>
        <w:tc>
          <w:tcPr>
            <w:tcW w:w="521" w:type="dxa"/>
            <w:vMerge w:val="restart"/>
            <w:tcBorders>
              <w:top w:val="single" w:color="000000" w:sz="8" w:space="0"/>
              <w:left w:val="single" w:color="000000" w:sz="8" w:space="0"/>
              <w:right w:val="single" w:color="000000" w:sz="8" w:space="0"/>
            </w:tcBorders>
            <w:shd w:val="clear" w:color="auto" w:fill="auto"/>
            <w:vAlign w:val="center"/>
          </w:tcPr>
          <w:p w14:paraId="423948EC">
            <w:pPr>
              <w:keepNext w:val="0"/>
              <w:keepLines w:val="0"/>
              <w:widowControl/>
              <w:suppressLineNumbers w:val="0"/>
              <w:spacing w:line="240" w:lineRule="auto"/>
              <w:jc w:val="center"/>
              <w:textAlignment w:val="center"/>
              <w:rPr>
                <w:rFonts w:hint="eastAsia" w:ascii="宋体" w:hAnsi="宋体" w:eastAsia="宋体" w:cs="宋体"/>
                <w:color w:val="auto"/>
                <w:kern w:val="0"/>
                <w:sz w:val="21"/>
                <w:szCs w:val="21"/>
                <w:highlight w:val="none"/>
                <w:u w:val="none"/>
                <w:lang w:bidi="ar"/>
              </w:rPr>
            </w:pPr>
            <w:r>
              <w:rPr>
                <w:rFonts w:hint="eastAsia" w:ascii="宋体" w:hAnsi="宋体" w:eastAsia="宋体" w:cs="宋体"/>
                <w:b w:val="0"/>
                <w:bCs w:val="0"/>
                <w:i w:val="0"/>
                <w:iCs w:val="0"/>
                <w:color w:val="auto"/>
                <w:kern w:val="0"/>
                <w:sz w:val="21"/>
                <w:szCs w:val="21"/>
                <w:highlight w:val="none"/>
                <w:u w:val="none"/>
                <w:lang w:val="en-US" w:eastAsia="zh-CN" w:bidi="ar"/>
              </w:rPr>
              <w:t>核实价格</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（元）</w:t>
            </w:r>
          </w:p>
        </w:tc>
      </w:tr>
      <w:tr w14:paraId="6B3F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65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DDA22A7">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FE44E3A">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8768441">
            <w:pPr>
              <w:spacing w:line="240" w:lineRule="auto"/>
              <w:jc w:val="center"/>
              <w:rPr>
                <w:rFonts w:hint="eastAsia" w:ascii="宋体" w:hAnsi="宋体" w:eastAsia="宋体" w:cs="宋体"/>
                <w:i w:val="0"/>
                <w:iCs w:val="0"/>
                <w:color w:val="auto"/>
                <w:sz w:val="21"/>
                <w:szCs w:val="21"/>
                <w:highlight w:val="none"/>
                <w:u w:val="none"/>
              </w:rPr>
            </w:pPr>
          </w:p>
        </w:tc>
        <w:tc>
          <w:tcPr>
            <w:tcW w:w="178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7553C58">
            <w:pPr>
              <w:spacing w:line="240" w:lineRule="auto"/>
              <w:jc w:val="center"/>
              <w:rPr>
                <w:rFonts w:hint="eastAsia" w:ascii="宋体" w:hAnsi="宋体" w:eastAsia="宋体" w:cs="宋体"/>
                <w:i w:val="0"/>
                <w:iCs w:val="0"/>
                <w:color w:val="auto"/>
                <w:sz w:val="21"/>
                <w:szCs w:val="21"/>
                <w:highlight w:val="none"/>
                <w:u w:val="none"/>
              </w:rPr>
            </w:pP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A595FF4">
            <w:pPr>
              <w:widowControl w:val="0"/>
              <w:autoSpaceDN w:val="0"/>
              <w:adjustRightInd/>
              <w:snapToGrid/>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2"/>
                <w:sz w:val="21"/>
                <w:szCs w:val="21"/>
                <w:highlight w:val="none"/>
              </w:rPr>
              <w:t>单位</w:t>
            </w:r>
          </w:p>
        </w:tc>
        <w:tc>
          <w:tcPr>
            <w:tcW w:w="67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4A926E1">
            <w:pPr>
              <w:widowControl w:val="0"/>
              <w:autoSpaceDN w:val="0"/>
              <w:adjustRightInd/>
              <w:snapToGrid/>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kern w:val="2"/>
                <w:sz w:val="21"/>
                <w:szCs w:val="21"/>
                <w:highlight w:val="none"/>
              </w:rPr>
              <w:t>单项包干价格</w:t>
            </w:r>
          </w:p>
        </w:tc>
        <w:tc>
          <w:tcPr>
            <w:tcW w:w="650" w:type="dxa"/>
            <w:vMerge w:val="continue"/>
            <w:tcBorders>
              <w:left w:val="single" w:color="000000" w:sz="8" w:space="0"/>
              <w:bottom w:val="single" w:color="000000" w:sz="8" w:space="0"/>
              <w:right w:val="single" w:color="000000" w:sz="8" w:space="0"/>
            </w:tcBorders>
            <w:shd w:val="clear" w:color="auto" w:fill="auto"/>
            <w:vAlign w:val="center"/>
          </w:tcPr>
          <w:p w14:paraId="0625BA39">
            <w:pPr>
              <w:widowControl w:val="0"/>
              <w:autoSpaceDN w:val="0"/>
              <w:adjustRightInd/>
              <w:snapToGrid/>
              <w:spacing w:line="240" w:lineRule="auto"/>
              <w:jc w:val="center"/>
              <w:textAlignment w:val="center"/>
              <w:rPr>
                <w:rFonts w:hint="eastAsia" w:ascii="宋体" w:hAnsi="宋体" w:eastAsia="宋体" w:cs="宋体"/>
                <w:color w:val="auto"/>
                <w:kern w:val="2"/>
                <w:sz w:val="21"/>
                <w:szCs w:val="21"/>
                <w:highlight w:val="none"/>
              </w:rPr>
            </w:pPr>
          </w:p>
        </w:tc>
        <w:tc>
          <w:tcPr>
            <w:tcW w:w="596" w:type="dxa"/>
            <w:vMerge w:val="continue"/>
            <w:tcBorders>
              <w:left w:val="single" w:color="000000" w:sz="8" w:space="0"/>
              <w:bottom w:val="single" w:color="000000" w:sz="8" w:space="0"/>
              <w:right w:val="single" w:color="000000" w:sz="8" w:space="0"/>
            </w:tcBorders>
            <w:shd w:val="clear" w:color="auto" w:fill="auto"/>
            <w:vAlign w:val="center"/>
          </w:tcPr>
          <w:p w14:paraId="6F3F32C6">
            <w:pPr>
              <w:widowControl w:val="0"/>
              <w:autoSpaceDN w:val="0"/>
              <w:adjustRightInd/>
              <w:snapToGrid/>
              <w:spacing w:line="240" w:lineRule="auto"/>
              <w:jc w:val="center"/>
              <w:textAlignment w:val="center"/>
              <w:rPr>
                <w:rFonts w:hint="eastAsia" w:ascii="宋体" w:hAnsi="宋体" w:eastAsia="宋体" w:cs="宋体"/>
                <w:color w:val="auto"/>
                <w:kern w:val="2"/>
                <w:sz w:val="21"/>
                <w:szCs w:val="21"/>
                <w:highlight w:val="none"/>
              </w:rPr>
            </w:pPr>
          </w:p>
        </w:tc>
        <w:tc>
          <w:tcPr>
            <w:tcW w:w="505" w:type="dxa"/>
            <w:vMerge w:val="continue"/>
            <w:tcBorders>
              <w:left w:val="single" w:color="000000" w:sz="8" w:space="0"/>
              <w:bottom w:val="single" w:color="000000" w:sz="8" w:space="0"/>
              <w:right w:val="single" w:color="000000" w:sz="8" w:space="0"/>
            </w:tcBorders>
            <w:shd w:val="clear" w:color="auto" w:fill="auto"/>
            <w:vAlign w:val="center"/>
          </w:tcPr>
          <w:p w14:paraId="7FC31A74">
            <w:pPr>
              <w:widowControl w:val="0"/>
              <w:autoSpaceDN w:val="0"/>
              <w:adjustRightInd/>
              <w:snapToGrid/>
              <w:spacing w:line="240" w:lineRule="auto"/>
              <w:jc w:val="center"/>
              <w:textAlignment w:val="center"/>
              <w:rPr>
                <w:rFonts w:hint="eastAsia" w:ascii="宋体" w:hAnsi="宋体" w:eastAsia="宋体" w:cs="宋体"/>
                <w:color w:val="auto"/>
                <w:kern w:val="2"/>
                <w:sz w:val="21"/>
                <w:szCs w:val="21"/>
                <w:highlight w:val="none"/>
              </w:rPr>
            </w:pPr>
          </w:p>
        </w:tc>
        <w:tc>
          <w:tcPr>
            <w:tcW w:w="635" w:type="dxa"/>
            <w:vMerge w:val="continue"/>
            <w:tcBorders>
              <w:left w:val="single" w:color="000000" w:sz="8" w:space="0"/>
              <w:bottom w:val="single" w:color="000000" w:sz="8" w:space="0"/>
              <w:right w:val="single" w:color="000000" w:sz="8" w:space="0"/>
            </w:tcBorders>
            <w:shd w:val="clear" w:color="auto" w:fill="auto"/>
            <w:vAlign w:val="center"/>
          </w:tcPr>
          <w:p w14:paraId="0943BD62">
            <w:pPr>
              <w:widowControl w:val="0"/>
              <w:autoSpaceDN w:val="0"/>
              <w:adjustRightInd/>
              <w:snapToGrid/>
              <w:spacing w:line="240" w:lineRule="auto"/>
              <w:jc w:val="center"/>
              <w:textAlignment w:val="center"/>
              <w:rPr>
                <w:rFonts w:hint="eastAsia" w:ascii="宋体" w:hAnsi="宋体" w:eastAsia="宋体" w:cs="宋体"/>
                <w:color w:val="auto"/>
                <w:kern w:val="2"/>
                <w:sz w:val="21"/>
                <w:szCs w:val="21"/>
                <w:highlight w:val="none"/>
              </w:rPr>
            </w:pPr>
          </w:p>
        </w:tc>
        <w:tc>
          <w:tcPr>
            <w:tcW w:w="475" w:type="dxa"/>
            <w:vMerge w:val="continue"/>
            <w:tcBorders>
              <w:left w:val="single" w:color="000000" w:sz="8" w:space="0"/>
              <w:bottom w:val="single" w:color="000000" w:sz="8" w:space="0"/>
              <w:right w:val="single" w:color="000000" w:sz="8" w:space="0"/>
            </w:tcBorders>
            <w:shd w:val="clear" w:color="auto" w:fill="auto"/>
            <w:vAlign w:val="center"/>
          </w:tcPr>
          <w:p w14:paraId="68618380">
            <w:pPr>
              <w:widowControl w:val="0"/>
              <w:autoSpaceDN w:val="0"/>
              <w:adjustRightInd/>
              <w:snapToGrid/>
              <w:spacing w:line="240" w:lineRule="auto"/>
              <w:jc w:val="center"/>
              <w:textAlignment w:val="center"/>
              <w:rPr>
                <w:rFonts w:hint="eastAsia" w:ascii="宋体" w:hAnsi="宋体" w:eastAsia="宋体" w:cs="宋体"/>
                <w:color w:val="auto"/>
                <w:kern w:val="2"/>
                <w:sz w:val="21"/>
                <w:szCs w:val="21"/>
                <w:highlight w:val="none"/>
              </w:rPr>
            </w:pPr>
          </w:p>
        </w:tc>
        <w:tc>
          <w:tcPr>
            <w:tcW w:w="521" w:type="dxa"/>
            <w:vMerge w:val="continue"/>
            <w:tcBorders>
              <w:left w:val="single" w:color="000000" w:sz="8" w:space="0"/>
              <w:bottom w:val="single" w:color="000000" w:sz="8" w:space="0"/>
              <w:right w:val="single" w:color="000000" w:sz="8" w:space="0"/>
            </w:tcBorders>
            <w:shd w:val="clear" w:color="auto" w:fill="auto"/>
            <w:vAlign w:val="center"/>
          </w:tcPr>
          <w:p w14:paraId="1D594E74">
            <w:pPr>
              <w:widowControl w:val="0"/>
              <w:autoSpaceDN w:val="0"/>
              <w:adjustRightInd/>
              <w:snapToGrid/>
              <w:spacing w:line="240" w:lineRule="auto"/>
              <w:jc w:val="center"/>
              <w:textAlignment w:val="center"/>
              <w:rPr>
                <w:rFonts w:hint="eastAsia" w:ascii="宋体" w:hAnsi="宋体" w:eastAsia="宋体" w:cs="宋体"/>
                <w:color w:val="auto"/>
                <w:kern w:val="2"/>
                <w:sz w:val="21"/>
                <w:szCs w:val="21"/>
                <w:highlight w:val="none"/>
              </w:rPr>
            </w:pPr>
          </w:p>
        </w:tc>
      </w:tr>
      <w:tr w14:paraId="477CC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trPr>
        <w:tc>
          <w:tcPr>
            <w:tcW w:w="650" w:type="dxa"/>
            <w:vMerge w:val="restart"/>
            <w:tcBorders>
              <w:top w:val="nil"/>
              <w:left w:val="single" w:color="000000" w:sz="8" w:space="0"/>
              <w:bottom w:val="single" w:color="000000" w:sz="8" w:space="0"/>
              <w:right w:val="single" w:color="000000" w:sz="8" w:space="0"/>
            </w:tcBorders>
            <w:shd w:val="clear" w:color="auto" w:fill="auto"/>
            <w:vAlign w:val="center"/>
          </w:tcPr>
          <w:p w14:paraId="5F3E4AD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w:t>
            </w:r>
          </w:p>
        </w:tc>
        <w:tc>
          <w:tcPr>
            <w:tcW w:w="724" w:type="dxa"/>
            <w:vMerge w:val="restart"/>
            <w:tcBorders>
              <w:top w:val="nil"/>
              <w:left w:val="single" w:color="000000" w:sz="8" w:space="0"/>
              <w:bottom w:val="nil"/>
              <w:right w:val="single" w:color="000000" w:sz="8" w:space="0"/>
            </w:tcBorders>
            <w:shd w:val="clear" w:color="auto" w:fill="auto"/>
            <w:vAlign w:val="center"/>
          </w:tcPr>
          <w:p w14:paraId="3D2D0AF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余热锅炉本体</w:t>
            </w:r>
          </w:p>
        </w:tc>
        <w:tc>
          <w:tcPr>
            <w:tcW w:w="760" w:type="dxa"/>
            <w:tcBorders>
              <w:top w:val="nil"/>
              <w:left w:val="single" w:color="000000" w:sz="8" w:space="0"/>
              <w:bottom w:val="single" w:color="000000" w:sz="8" w:space="0"/>
              <w:right w:val="single" w:color="000000" w:sz="8" w:space="0"/>
            </w:tcBorders>
            <w:shd w:val="clear" w:color="auto" w:fill="auto"/>
            <w:vAlign w:val="center"/>
          </w:tcPr>
          <w:p w14:paraId="2916E81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协助内检</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A7C240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1.协助内检工作，拆除保温、打磨及恢复，根据现场需要搭设脚手架；</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E5A426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1F9D515">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33F50DB8">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90242EF">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E87C48B">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C9CC35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300CA0D">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B489415">
            <w:pPr>
              <w:spacing w:line="240" w:lineRule="auto"/>
              <w:jc w:val="center"/>
              <w:rPr>
                <w:rFonts w:hint="eastAsia" w:ascii="宋体" w:hAnsi="宋体" w:eastAsia="宋体" w:cs="宋体"/>
                <w:i w:val="0"/>
                <w:iCs w:val="0"/>
                <w:color w:val="auto"/>
                <w:sz w:val="21"/>
                <w:szCs w:val="21"/>
                <w:highlight w:val="none"/>
                <w:u w:val="none"/>
              </w:rPr>
            </w:pPr>
          </w:p>
        </w:tc>
      </w:tr>
      <w:tr w14:paraId="2A3ED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64287E7E">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0AB020DC">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0E74BCA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汽包</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5038B6A">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2.检查和清理汽包内部的腐蚀和结垢；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6CA1C8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590CD3B">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65B7A00">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A9F9292">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418B3AD9">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9F4D15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2A0634B">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29977BD">
            <w:pPr>
              <w:spacing w:line="240" w:lineRule="auto"/>
              <w:jc w:val="center"/>
              <w:rPr>
                <w:rFonts w:hint="eastAsia" w:ascii="宋体" w:hAnsi="宋体" w:eastAsia="宋体" w:cs="宋体"/>
                <w:i w:val="0"/>
                <w:iCs w:val="0"/>
                <w:color w:val="auto"/>
                <w:sz w:val="21"/>
                <w:szCs w:val="21"/>
                <w:highlight w:val="none"/>
                <w:u w:val="none"/>
              </w:rPr>
            </w:pPr>
          </w:p>
        </w:tc>
      </w:tr>
      <w:tr w14:paraId="0A2D7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652CDCCB">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2F17B21">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1943FB94">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06248D3">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3.检查汽水分离器及附件的完整性、严密性和固定情况；</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8A6EB7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834DDA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BC0ADDE">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496C016">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4957D47">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93C702F">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BFD7D5D">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108E736">
            <w:pPr>
              <w:spacing w:line="240" w:lineRule="auto"/>
              <w:jc w:val="center"/>
              <w:rPr>
                <w:rFonts w:hint="eastAsia" w:ascii="宋体" w:hAnsi="宋体" w:eastAsia="宋体" w:cs="宋体"/>
                <w:i w:val="0"/>
                <w:iCs w:val="0"/>
                <w:color w:val="auto"/>
                <w:sz w:val="21"/>
                <w:szCs w:val="21"/>
                <w:highlight w:val="none"/>
                <w:u w:val="none"/>
              </w:rPr>
            </w:pPr>
          </w:p>
        </w:tc>
      </w:tr>
      <w:tr w14:paraId="1F6C8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99C265E">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3233BF4D">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02D0CDA">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092A8FBE">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4.检查内部进水管、事故放水管、取样管、下降管、加药管、排污管、各水位计、压力表接口腐蚀，污垢，裂纹及焊口磨损并恢复；</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99ADAA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F8C1DFD">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A416287">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862AFBB">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2897CC7">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CE9367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1A85C5D4">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4FB122A">
            <w:pPr>
              <w:spacing w:line="240" w:lineRule="auto"/>
              <w:jc w:val="center"/>
              <w:rPr>
                <w:rFonts w:hint="eastAsia" w:ascii="宋体" w:hAnsi="宋体" w:eastAsia="宋体" w:cs="宋体"/>
                <w:i w:val="0"/>
                <w:iCs w:val="0"/>
                <w:color w:val="auto"/>
                <w:sz w:val="21"/>
                <w:szCs w:val="21"/>
                <w:highlight w:val="none"/>
                <w:u w:val="none"/>
              </w:rPr>
            </w:pPr>
          </w:p>
        </w:tc>
      </w:tr>
      <w:tr w14:paraId="54B5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7FF91E8">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1B896439">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015FDF5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水冷系统</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927A02A">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5.打开联箱手孔或割下封头、检查清理腐蚀、结垢；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3930EA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4F8A2D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FA53C9A">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C2B73DC">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68460F3">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B09BEE6">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D2E622D">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0685F77">
            <w:pPr>
              <w:spacing w:line="240" w:lineRule="auto"/>
              <w:jc w:val="center"/>
              <w:rPr>
                <w:rFonts w:hint="eastAsia" w:ascii="宋体" w:hAnsi="宋体" w:eastAsia="宋体" w:cs="宋体"/>
                <w:i w:val="0"/>
                <w:iCs w:val="0"/>
                <w:color w:val="auto"/>
                <w:sz w:val="21"/>
                <w:szCs w:val="21"/>
                <w:highlight w:val="none"/>
                <w:u w:val="none"/>
              </w:rPr>
            </w:pPr>
          </w:p>
        </w:tc>
      </w:tr>
      <w:tr w14:paraId="224B6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6505A7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E576582">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767C790">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BCE9C23">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6.更换管子，每根管子长度6米以内，含检查管子外壁磨损、胀粗，变形和损伤，割管检查水冷壁管内部状况；（每根超过6米的按比例结算）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8476C0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CEF9B0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7212D03">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7B9924B">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714BF36">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A7D3EE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3B5C60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A170119">
            <w:pPr>
              <w:spacing w:line="240" w:lineRule="auto"/>
              <w:jc w:val="center"/>
              <w:rPr>
                <w:rFonts w:hint="eastAsia" w:ascii="宋体" w:hAnsi="宋体" w:eastAsia="宋体" w:cs="宋体"/>
                <w:i w:val="0"/>
                <w:iCs w:val="0"/>
                <w:color w:val="auto"/>
                <w:sz w:val="21"/>
                <w:szCs w:val="21"/>
                <w:highlight w:val="none"/>
                <w:u w:val="none"/>
              </w:rPr>
            </w:pPr>
          </w:p>
        </w:tc>
      </w:tr>
      <w:tr w14:paraId="1D5B4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67DFA7E">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6812A728">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7CCA492">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95A537E">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7.防磨瓦更换（按实际更换比例结算）；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12B02C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3D621C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3FC8EF01">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9C11B84">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B892E0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019FED9">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20E0B0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9F90FD4">
            <w:pPr>
              <w:spacing w:line="240" w:lineRule="auto"/>
              <w:jc w:val="center"/>
              <w:rPr>
                <w:rFonts w:hint="eastAsia" w:ascii="宋体" w:hAnsi="宋体" w:eastAsia="宋体" w:cs="宋体"/>
                <w:i w:val="0"/>
                <w:iCs w:val="0"/>
                <w:color w:val="auto"/>
                <w:sz w:val="21"/>
                <w:szCs w:val="21"/>
                <w:highlight w:val="none"/>
                <w:u w:val="none"/>
              </w:rPr>
            </w:pPr>
          </w:p>
        </w:tc>
      </w:tr>
      <w:tr w14:paraId="33831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9149BF7">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2A07E25">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F09ED62">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4428B91">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8.蒸发器整组更换（含拆除、包括施工需要搭设各类的架子及平台）；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EFE692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221698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4B32D7F">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EB6CC94">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2AFE0F4">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1D9BAE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649FBC6">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8FB384E">
            <w:pPr>
              <w:spacing w:line="240" w:lineRule="auto"/>
              <w:jc w:val="center"/>
              <w:rPr>
                <w:rFonts w:hint="eastAsia" w:ascii="宋体" w:hAnsi="宋体" w:eastAsia="宋体" w:cs="宋体"/>
                <w:i w:val="0"/>
                <w:iCs w:val="0"/>
                <w:color w:val="auto"/>
                <w:sz w:val="21"/>
                <w:szCs w:val="21"/>
                <w:highlight w:val="none"/>
                <w:u w:val="none"/>
              </w:rPr>
            </w:pPr>
          </w:p>
        </w:tc>
      </w:tr>
      <w:tr w14:paraId="59A93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90A0C83">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36FD6E4D">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BE37846">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04F946DA">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9.第一通道搭钢管架至炉顶（不含前拱、后拱工作面）；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358D7C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324E325">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2220C1F">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C96FDE4">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2DFF42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41F12DB">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9655FF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58E64EC">
            <w:pPr>
              <w:spacing w:line="240" w:lineRule="auto"/>
              <w:jc w:val="center"/>
              <w:rPr>
                <w:rFonts w:hint="eastAsia" w:ascii="宋体" w:hAnsi="宋体" w:eastAsia="宋体" w:cs="宋体"/>
                <w:i w:val="0"/>
                <w:iCs w:val="0"/>
                <w:color w:val="auto"/>
                <w:sz w:val="21"/>
                <w:szCs w:val="21"/>
                <w:highlight w:val="none"/>
                <w:u w:val="none"/>
              </w:rPr>
            </w:pPr>
          </w:p>
        </w:tc>
      </w:tr>
      <w:tr w14:paraId="21A7E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9CED6B5">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139964C8">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7AA0969">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C985A2E">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10.第二通道搭钢管架至炉顶；</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6B0C16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11EF5DE">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7141B93">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27DFE43">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83651CF">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150595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B7AC695">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3D7A431">
            <w:pPr>
              <w:spacing w:line="240" w:lineRule="auto"/>
              <w:jc w:val="center"/>
              <w:rPr>
                <w:rFonts w:hint="eastAsia" w:ascii="宋体" w:hAnsi="宋体" w:eastAsia="宋体" w:cs="宋体"/>
                <w:i w:val="0"/>
                <w:iCs w:val="0"/>
                <w:color w:val="auto"/>
                <w:sz w:val="21"/>
                <w:szCs w:val="21"/>
                <w:highlight w:val="none"/>
                <w:u w:val="none"/>
              </w:rPr>
            </w:pPr>
          </w:p>
        </w:tc>
      </w:tr>
      <w:tr w14:paraId="28E73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D9EBED2">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76C298A">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E15F82B">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2C1F81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11.第三烟道搭钢管架至炉顶</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2E3B4E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EEF829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7FBA9B4">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3AC0BDF">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B972D0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30A076A">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56F9D57">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02AAECD">
            <w:pPr>
              <w:spacing w:line="240" w:lineRule="auto"/>
              <w:jc w:val="center"/>
              <w:rPr>
                <w:rFonts w:hint="eastAsia" w:ascii="宋体" w:hAnsi="宋体" w:eastAsia="宋体" w:cs="宋体"/>
                <w:i w:val="0"/>
                <w:iCs w:val="0"/>
                <w:color w:val="auto"/>
                <w:sz w:val="21"/>
                <w:szCs w:val="21"/>
                <w:highlight w:val="none"/>
                <w:u w:val="none"/>
              </w:rPr>
            </w:pPr>
          </w:p>
        </w:tc>
      </w:tr>
      <w:tr w14:paraId="47CE0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5B44E2D">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6747FAD4">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AEFF6EF">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8FEA5E3">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12.水平烟道搭钢管架至炉顶</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4C92DF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94447E3">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A065D41">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17DBE47">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C682387">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644FC1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76A303A">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FC4EF18">
            <w:pPr>
              <w:spacing w:line="240" w:lineRule="auto"/>
              <w:jc w:val="center"/>
              <w:rPr>
                <w:rFonts w:hint="eastAsia" w:ascii="宋体" w:hAnsi="宋体" w:eastAsia="宋体" w:cs="宋体"/>
                <w:i w:val="0"/>
                <w:iCs w:val="0"/>
                <w:color w:val="auto"/>
                <w:sz w:val="21"/>
                <w:szCs w:val="21"/>
                <w:highlight w:val="none"/>
                <w:u w:val="none"/>
              </w:rPr>
            </w:pPr>
          </w:p>
        </w:tc>
      </w:tr>
      <w:tr w14:paraId="16148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62198785">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0CAC0235">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CBE7A65">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9DA7CB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13.管子检查测厚</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EAE3B1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E5C3835">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BADB3E0">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66EBA71">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47A5785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95E194B">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FD0A15E">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DD5DA3A">
            <w:pPr>
              <w:spacing w:line="240" w:lineRule="auto"/>
              <w:jc w:val="center"/>
              <w:rPr>
                <w:rFonts w:hint="eastAsia" w:ascii="宋体" w:hAnsi="宋体" w:eastAsia="宋体" w:cs="宋体"/>
                <w:i w:val="0"/>
                <w:iCs w:val="0"/>
                <w:color w:val="auto"/>
                <w:sz w:val="21"/>
                <w:szCs w:val="21"/>
                <w:highlight w:val="none"/>
                <w:u w:val="none"/>
              </w:rPr>
            </w:pPr>
          </w:p>
        </w:tc>
      </w:tr>
      <w:tr w14:paraId="22835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440B851">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0FFE7B88">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0511727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过热器系统</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6E980F3">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14.打开联箱手孔或割下封头，检查并清理内部；</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A5DDE4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82C3C8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AB86BBC">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72AAA89">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9D5A15A">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1C86353">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06540A2E">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4BB5C29">
            <w:pPr>
              <w:spacing w:line="240" w:lineRule="auto"/>
              <w:jc w:val="center"/>
              <w:rPr>
                <w:rFonts w:hint="eastAsia" w:ascii="宋体" w:hAnsi="宋体" w:eastAsia="宋体" w:cs="宋体"/>
                <w:i w:val="0"/>
                <w:iCs w:val="0"/>
                <w:color w:val="auto"/>
                <w:sz w:val="21"/>
                <w:szCs w:val="21"/>
                <w:highlight w:val="none"/>
                <w:u w:val="none"/>
              </w:rPr>
            </w:pPr>
          </w:p>
        </w:tc>
      </w:tr>
      <w:tr w14:paraId="2801D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49CD81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0530B674">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A6645C7">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0C7B4C0D">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15.更换管子，每根管子长度6米以内；（每根超过6米的按比例结算）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DA947F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B60772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C084C27">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88C122A">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767C545">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73FD7FD">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1A3425AE">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B960088">
            <w:pPr>
              <w:spacing w:line="240" w:lineRule="auto"/>
              <w:jc w:val="center"/>
              <w:rPr>
                <w:rFonts w:hint="eastAsia" w:ascii="宋体" w:hAnsi="宋体" w:eastAsia="宋体" w:cs="宋体"/>
                <w:i w:val="0"/>
                <w:iCs w:val="0"/>
                <w:color w:val="auto"/>
                <w:sz w:val="21"/>
                <w:szCs w:val="21"/>
                <w:highlight w:val="none"/>
                <w:u w:val="none"/>
              </w:rPr>
            </w:pPr>
          </w:p>
        </w:tc>
      </w:tr>
      <w:tr w14:paraId="03099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D2DD495">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497B115E">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6C9A1AE">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69CB632">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16.整组更换过热器（含拆除、包括施工需要搭设各类的架子及平台）；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CD81A7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EBB1A3B">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6C6317B">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33BE1C6">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8761191">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10A284F">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D3F378D">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D7D8950">
            <w:pPr>
              <w:spacing w:line="240" w:lineRule="auto"/>
              <w:jc w:val="center"/>
              <w:rPr>
                <w:rFonts w:hint="eastAsia" w:ascii="宋体" w:hAnsi="宋体" w:eastAsia="宋体" w:cs="宋体"/>
                <w:i w:val="0"/>
                <w:iCs w:val="0"/>
                <w:color w:val="auto"/>
                <w:sz w:val="21"/>
                <w:szCs w:val="21"/>
                <w:highlight w:val="none"/>
                <w:u w:val="none"/>
              </w:rPr>
            </w:pPr>
          </w:p>
        </w:tc>
      </w:tr>
      <w:tr w14:paraId="4E5B4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88E48E4">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65496F53">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ECBA933">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E57FE7E">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17.整排更换过热器支座或管卡；</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259828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元/排</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17B0903">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33946C7">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51AFD37">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99138AD">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C60C444">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F8216E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8B814DD">
            <w:pPr>
              <w:spacing w:line="240" w:lineRule="auto"/>
              <w:jc w:val="center"/>
              <w:rPr>
                <w:rFonts w:hint="eastAsia" w:ascii="宋体" w:hAnsi="宋体" w:eastAsia="宋体" w:cs="宋体"/>
                <w:i w:val="0"/>
                <w:iCs w:val="0"/>
                <w:color w:val="auto"/>
                <w:sz w:val="21"/>
                <w:szCs w:val="21"/>
                <w:highlight w:val="none"/>
                <w:u w:val="none"/>
              </w:rPr>
            </w:pPr>
          </w:p>
        </w:tc>
      </w:tr>
      <w:tr w14:paraId="1742F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AEE809A">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174C5AE3">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E0FC538">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14E54DC">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18.防磨瓦更换（按实际更换比例结算）；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96EF07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DE7B3B9">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E3038C8">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B59B94B">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A3C329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5479EC5">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0D8DC4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11DDD85">
            <w:pPr>
              <w:spacing w:line="240" w:lineRule="auto"/>
              <w:jc w:val="center"/>
              <w:rPr>
                <w:rFonts w:hint="eastAsia" w:ascii="宋体" w:hAnsi="宋体" w:eastAsia="宋体" w:cs="宋体"/>
                <w:i w:val="0"/>
                <w:iCs w:val="0"/>
                <w:color w:val="auto"/>
                <w:sz w:val="21"/>
                <w:szCs w:val="21"/>
                <w:highlight w:val="none"/>
                <w:u w:val="none"/>
              </w:rPr>
            </w:pPr>
          </w:p>
        </w:tc>
      </w:tr>
      <w:tr w14:paraId="1A2D8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2FCC8F8">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22BD4E04">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165A699">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1A7D2CA">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19.割管检查；</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490E37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9FAF0C2">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394778DA">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DEDA166">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7224C2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D50B9A1">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7F1F528">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A926956">
            <w:pPr>
              <w:spacing w:line="240" w:lineRule="auto"/>
              <w:jc w:val="center"/>
              <w:rPr>
                <w:rFonts w:hint="eastAsia" w:ascii="宋体" w:hAnsi="宋体" w:eastAsia="宋体" w:cs="宋体"/>
                <w:i w:val="0"/>
                <w:iCs w:val="0"/>
                <w:color w:val="auto"/>
                <w:sz w:val="21"/>
                <w:szCs w:val="21"/>
                <w:highlight w:val="none"/>
                <w:u w:val="none"/>
              </w:rPr>
            </w:pPr>
          </w:p>
        </w:tc>
      </w:tr>
      <w:tr w14:paraId="511E9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79AD29C">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D244078">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47C1DFB">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D9DD59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20.检查管子磨损、胀粗、弯曲情况；</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E712CE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EC73068">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BF05CDC">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AAA7CE0">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4A32A7C5">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2401031">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17610B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07A5796">
            <w:pPr>
              <w:spacing w:line="240" w:lineRule="auto"/>
              <w:jc w:val="center"/>
              <w:rPr>
                <w:rFonts w:hint="eastAsia" w:ascii="宋体" w:hAnsi="宋体" w:eastAsia="宋体" w:cs="宋体"/>
                <w:i w:val="0"/>
                <w:iCs w:val="0"/>
                <w:color w:val="auto"/>
                <w:sz w:val="21"/>
                <w:szCs w:val="21"/>
                <w:highlight w:val="none"/>
                <w:u w:val="none"/>
              </w:rPr>
            </w:pPr>
          </w:p>
        </w:tc>
      </w:tr>
      <w:tr w14:paraId="0E1B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0261058">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2E1A29F">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3EB2E07">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B421BD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21.管子检查测厚；</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A86D2C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6CD89F4">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459E2C9">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53B917C">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A8280DC">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2D2FDC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84C8037">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BA09E50">
            <w:pPr>
              <w:spacing w:line="240" w:lineRule="auto"/>
              <w:jc w:val="center"/>
              <w:rPr>
                <w:rFonts w:hint="eastAsia" w:ascii="宋体" w:hAnsi="宋体" w:eastAsia="宋体" w:cs="宋体"/>
                <w:i w:val="0"/>
                <w:iCs w:val="0"/>
                <w:color w:val="auto"/>
                <w:sz w:val="21"/>
                <w:szCs w:val="21"/>
                <w:highlight w:val="none"/>
                <w:u w:val="none"/>
              </w:rPr>
            </w:pPr>
          </w:p>
        </w:tc>
      </w:tr>
      <w:tr w14:paraId="7861B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26D86D1">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190D6BF">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0C0C701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省煤器及联箱</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3050CC8">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22.打开联箱手孔或割下封头，检查腐蚀结垢，清理内部；</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6D069A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550C0CE">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5C87C6C">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5A2AEB1">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EF05ABF">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5AC579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7EF97A4">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D2AD90B">
            <w:pPr>
              <w:spacing w:line="240" w:lineRule="auto"/>
              <w:jc w:val="center"/>
              <w:rPr>
                <w:rFonts w:hint="eastAsia" w:ascii="宋体" w:hAnsi="宋体" w:eastAsia="宋体" w:cs="宋体"/>
                <w:i w:val="0"/>
                <w:iCs w:val="0"/>
                <w:color w:val="auto"/>
                <w:sz w:val="21"/>
                <w:szCs w:val="21"/>
                <w:highlight w:val="none"/>
                <w:u w:val="none"/>
              </w:rPr>
            </w:pPr>
          </w:p>
        </w:tc>
      </w:tr>
      <w:tr w14:paraId="757B0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35FF38C">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0C420897">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09F892B">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24D672C">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23.更换管子，每根管子长度6米以内；（每根超过6米的按比例结算）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D0ED5C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E4004CA">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E098919">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7056B3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35E6F33">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DDB07FD">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718AFEE">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8137A65">
            <w:pPr>
              <w:spacing w:line="240" w:lineRule="auto"/>
              <w:jc w:val="center"/>
              <w:rPr>
                <w:rFonts w:hint="eastAsia" w:ascii="宋体" w:hAnsi="宋体" w:eastAsia="宋体" w:cs="宋体"/>
                <w:i w:val="0"/>
                <w:iCs w:val="0"/>
                <w:color w:val="auto"/>
                <w:sz w:val="21"/>
                <w:szCs w:val="21"/>
                <w:highlight w:val="none"/>
                <w:u w:val="none"/>
              </w:rPr>
            </w:pPr>
          </w:p>
        </w:tc>
      </w:tr>
      <w:tr w14:paraId="6403F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24FBC3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37033C9B">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B0E1701">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094BA67">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24.整组更换省煤器（含拆除、包括施工需要搭设各类的架子及平台）；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E4304F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796EA43">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E4B18F1">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2C5AE4E">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AB7962B">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B38375E">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8736BA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A821AFC">
            <w:pPr>
              <w:spacing w:line="240" w:lineRule="auto"/>
              <w:jc w:val="center"/>
              <w:rPr>
                <w:rFonts w:hint="eastAsia" w:ascii="宋体" w:hAnsi="宋体" w:eastAsia="宋体" w:cs="宋体"/>
                <w:i w:val="0"/>
                <w:iCs w:val="0"/>
                <w:color w:val="auto"/>
                <w:sz w:val="21"/>
                <w:szCs w:val="21"/>
                <w:highlight w:val="none"/>
                <w:u w:val="none"/>
              </w:rPr>
            </w:pPr>
          </w:p>
        </w:tc>
      </w:tr>
      <w:tr w14:paraId="21FD9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1DF6B9F">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0C3D6F1A">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312E28C">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404315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25.整排更换省煤器支座或管卡；</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207422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元/排</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E6C089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5FB5FAF">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8566280">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EC7A321">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4422C1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3BE21AF">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0B439A3">
            <w:pPr>
              <w:spacing w:line="240" w:lineRule="auto"/>
              <w:jc w:val="center"/>
              <w:rPr>
                <w:rFonts w:hint="eastAsia" w:ascii="宋体" w:hAnsi="宋体" w:eastAsia="宋体" w:cs="宋体"/>
                <w:i w:val="0"/>
                <w:iCs w:val="0"/>
                <w:color w:val="auto"/>
                <w:sz w:val="21"/>
                <w:szCs w:val="21"/>
                <w:highlight w:val="none"/>
                <w:u w:val="none"/>
              </w:rPr>
            </w:pPr>
          </w:p>
        </w:tc>
      </w:tr>
      <w:tr w14:paraId="2A8CB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1466DBE">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399636BF">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686D2C74">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147A9C1">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26.防磨瓦更换（按实际更换比例结算）；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A3602C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E3978C8">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D509D6A">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F2BC978">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A0EEE83">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B33B784">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79A7564">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78CE0D6">
            <w:pPr>
              <w:spacing w:line="240" w:lineRule="auto"/>
              <w:jc w:val="center"/>
              <w:rPr>
                <w:rFonts w:hint="eastAsia" w:ascii="宋体" w:hAnsi="宋体" w:eastAsia="宋体" w:cs="宋体"/>
                <w:i w:val="0"/>
                <w:iCs w:val="0"/>
                <w:color w:val="auto"/>
                <w:sz w:val="21"/>
                <w:szCs w:val="21"/>
                <w:highlight w:val="none"/>
                <w:u w:val="none"/>
              </w:rPr>
            </w:pPr>
          </w:p>
        </w:tc>
      </w:tr>
      <w:tr w14:paraId="77C43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423B92A">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2A23E62">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4A6BED8">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0849F61E">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27.管子检查测厚；</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3FEB36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E53A5C7">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B268F98">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AB09552">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B638BAC">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51BF24D">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AE80815">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C5ABFD0">
            <w:pPr>
              <w:spacing w:line="240" w:lineRule="auto"/>
              <w:jc w:val="center"/>
              <w:rPr>
                <w:rFonts w:hint="eastAsia" w:ascii="宋体" w:hAnsi="宋体" w:eastAsia="宋体" w:cs="宋体"/>
                <w:i w:val="0"/>
                <w:iCs w:val="0"/>
                <w:color w:val="auto"/>
                <w:sz w:val="21"/>
                <w:szCs w:val="21"/>
                <w:highlight w:val="none"/>
                <w:u w:val="none"/>
              </w:rPr>
            </w:pPr>
          </w:p>
        </w:tc>
      </w:tr>
      <w:tr w14:paraId="0296B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70BC74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273F5260">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5C743FD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汽水系统</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D17CE56">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28.更换阀门或阀门更换垫子；（因更换阀门而更换垫片的不计垫片数）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35D32A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DF3E8AC">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B66CA1F">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497ACE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E8B4E34">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702524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5ACCECF">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C40BE36">
            <w:pPr>
              <w:spacing w:line="240" w:lineRule="auto"/>
              <w:jc w:val="center"/>
              <w:rPr>
                <w:rFonts w:hint="eastAsia" w:ascii="宋体" w:hAnsi="宋体" w:eastAsia="宋体" w:cs="宋体"/>
                <w:i w:val="0"/>
                <w:iCs w:val="0"/>
                <w:color w:val="auto"/>
                <w:sz w:val="21"/>
                <w:szCs w:val="21"/>
                <w:highlight w:val="none"/>
                <w:u w:val="none"/>
              </w:rPr>
            </w:pPr>
          </w:p>
        </w:tc>
      </w:tr>
      <w:tr w14:paraId="19B2B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95257F2">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7E3C5177">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102E4490">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27393B2">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29.消除系统中的漏点；</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F8F775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0C7ACBC">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3102590D">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9E85638">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5AF75F5">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9E0A351">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3C2607F">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85A6DE0">
            <w:pPr>
              <w:spacing w:line="240" w:lineRule="auto"/>
              <w:jc w:val="center"/>
              <w:rPr>
                <w:rFonts w:hint="eastAsia" w:ascii="宋体" w:hAnsi="宋体" w:eastAsia="宋体" w:cs="宋体"/>
                <w:i w:val="0"/>
                <w:iCs w:val="0"/>
                <w:color w:val="auto"/>
                <w:sz w:val="21"/>
                <w:szCs w:val="21"/>
                <w:highlight w:val="none"/>
                <w:u w:val="none"/>
              </w:rPr>
            </w:pPr>
          </w:p>
        </w:tc>
      </w:tr>
      <w:tr w14:paraId="772E2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B8F92B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54D86E12">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1A40998">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1298D3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30.阀门添加或更换填料；</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5F46E7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4284A24">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814E25B">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8B69CA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40A584B6">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2888AAE">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A450B39">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42D5455">
            <w:pPr>
              <w:spacing w:line="240" w:lineRule="auto"/>
              <w:jc w:val="center"/>
              <w:rPr>
                <w:rFonts w:hint="eastAsia" w:ascii="宋体" w:hAnsi="宋体" w:eastAsia="宋体" w:cs="宋体"/>
                <w:i w:val="0"/>
                <w:iCs w:val="0"/>
                <w:color w:val="auto"/>
                <w:sz w:val="21"/>
                <w:szCs w:val="21"/>
                <w:highlight w:val="none"/>
                <w:u w:val="none"/>
              </w:rPr>
            </w:pPr>
          </w:p>
        </w:tc>
      </w:tr>
      <w:tr w14:paraId="3E0E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6E3A7664">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23C0740D">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643461F6">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00F5CA6">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31.过热器省煤器蛇形管支撑架调整</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ABE214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8BB00A5">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A8A60DD">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6449122">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D66F661">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E64755C">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AE1FF47">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019D2A3">
            <w:pPr>
              <w:spacing w:line="240" w:lineRule="auto"/>
              <w:jc w:val="center"/>
              <w:rPr>
                <w:rFonts w:hint="eastAsia" w:ascii="宋体" w:hAnsi="宋体" w:eastAsia="宋体" w:cs="宋体"/>
                <w:i w:val="0"/>
                <w:iCs w:val="0"/>
                <w:color w:val="auto"/>
                <w:sz w:val="21"/>
                <w:szCs w:val="21"/>
                <w:highlight w:val="none"/>
                <w:u w:val="none"/>
              </w:rPr>
            </w:pPr>
          </w:p>
        </w:tc>
      </w:tr>
      <w:tr w14:paraId="69025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B5E2B5F">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10E297A6">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4463E50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空气预热器</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5FC59BF">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32.打开联箱手孔或割下封头，检查腐蚀结垢，清理内部；</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A9BF0E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6FC6819">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064E9CC">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9433DBB">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4637C3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9E95B35">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759A52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DF02FA5">
            <w:pPr>
              <w:spacing w:line="240" w:lineRule="auto"/>
              <w:jc w:val="center"/>
              <w:rPr>
                <w:rFonts w:hint="eastAsia" w:ascii="宋体" w:hAnsi="宋体" w:eastAsia="宋体" w:cs="宋体"/>
                <w:i w:val="0"/>
                <w:iCs w:val="0"/>
                <w:color w:val="auto"/>
                <w:sz w:val="21"/>
                <w:szCs w:val="21"/>
                <w:highlight w:val="none"/>
                <w:u w:val="none"/>
              </w:rPr>
            </w:pPr>
          </w:p>
        </w:tc>
      </w:tr>
      <w:tr w14:paraId="75384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8C193DA">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560DC51E">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66061BBB">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F06338A">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33.更换管子，每根管子长度6米以内；（每根超过6米的按比例结算）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2473CF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4976427">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32E40E04">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8557386">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BF072A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73D325C">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304D0B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49F471E">
            <w:pPr>
              <w:spacing w:line="240" w:lineRule="auto"/>
              <w:jc w:val="center"/>
              <w:rPr>
                <w:rFonts w:hint="eastAsia" w:ascii="宋体" w:hAnsi="宋体" w:eastAsia="宋体" w:cs="宋体"/>
                <w:i w:val="0"/>
                <w:iCs w:val="0"/>
                <w:color w:val="auto"/>
                <w:sz w:val="21"/>
                <w:szCs w:val="21"/>
                <w:highlight w:val="none"/>
                <w:u w:val="none"/>
              </w:rPr>
            </w:pPr>
          </w:p>
        </w:tc>
      </w:tr>
      <w:tr w14:paraId="0A37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68EDBE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13506952">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69DD278C">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3A0C250">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34.整组更换蛇形管（含拆除、包括施工需要搭设各类的架子及平台）；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03648A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5868BB7">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7D98AB1">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5B4BF01">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C4C179F">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DFFCBE6">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52C0DD5">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7AB9A74">
            <w:pPr>
              <w:spacing w:line="240" w:lineRule="auto"/>
              <w:jc w:val="center"/>
              <w:rPr>
                <w:rFonts w:hint="eastAsia" w:ascii="宋体" w:hAnsi="宋体" w:eastAsia="宋体" w:cs="宋体"/>
                <w:i w:val="0"/>
                <w:iCs w:val="0"/>
                <w:color w:val="auto"/>
                <w:sz w:val="21"/>
                <w:szCs w:val="21"/>
                <w:highlight w:val="none"/>
                <w:u w:val="none"/>
              </w:rPr>
            </w:pPr>
          </w:p>
        </w:tc>
      </w:tr>
      <w:tr w14:paraId="3108B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A2E22CD">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14F7C0F1">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3CA969A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吹灰器</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651A4F9">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.提升阀更换；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364EE4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CDE4D42">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2B460ED">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B3F3BA7">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40B0EF99">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BB7B6A8">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8854B24">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28AED36">
            <w:pPr>
              <w:spacing w:line="240" w:lineRule="auto"/>
              <w:jc w:val="center"/>
              <w:rPr>
                <w:rFonts w:hint="eastAsia" w:ascii="宋体" w:hAnsi="宋体" w:eastAsia="宋体" w:cs="宋体"/>
                <w:i w:val="0"/>
                <w:iCs w:val="0"/>
                <w:color w:val="auto"/>
                <w:sz w:val="21"/>
                <w:szCs w:val="21"/>
                <w:highlight w:val="none"/>
                <w:u w:val="none"/>
              </w:rPr>
            </w:pPr>
          </w:p>
        </w:tc>
      </w:tr>
      <w:tr w14:paraId="5FB23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D1D7BB3">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557E65EE">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5C00C1B">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11AF2A3">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.长伸缩吹灰器更换外套管；</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766470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1B84753">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7C0D7E8">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E0ED64B">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23C66A6">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93423D3">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68BCC4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104BDD2">
            <w:pPr>
              <w:spacing w:line="240" w:lineRule="auto"/>
              <w:jc w:val="center"/>
              <w:rPr>
                <w:rFonts w:hint="eastAsia" w:ascii="宋体" w:hAnsi="宋体" w:eastAsia="宋体" w:cs="宋体"/>
                <w:i w:val="0"/>
                <w:iCs w:val="0"/>
                <w:color w:val="auto"/>
                <w:sz w:val="21"/>
                <w:szCs w:val="21"/>
                <w:highlight w:val="none"/>
                <w:u w:val="none"/>
              </w:rPr>
            </w:pPr>
          </w:p>
        </w:tc>
      </w:tr>
      <w:tr w14:paraId="02063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CBFD3C8">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46A53807">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813145C">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AA5C528">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.半伸缩吹灰器更换外套管；</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63C0689">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C082C85">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7EB9282">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AD6DC7D">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1BDDF7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EED5261">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8F63E38">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1C8B4C3">
            <w:pPr>
              <w:spacing w:line="240" w:lineRule="auto"/>
              <w:jc w:val="center"/>
              <w:rPr>
                <w:rFonts w:hint="eastAsia" w:ascii="宋体" w:hAnsi="宋体" w:eastAsia="宋体" w:cs="宋体"/>
                <w:i w:val="0"/>
                <w:iCs w:val="0"/>
                <w:color w:val="auto"/>
                <w:sz w:val="21"/>
                <w:szCs w:val="21"/>
                <w:highlight w:val="none"/>
                <w:u w:val="none"/>
              </w:rPr>
            </w:pPr>
          </w:p>
        </w:tc>
      </w:tr>
      <w:tr w14:paraId="73841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1CC1AB4">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nil"/>
              <w:right w:val="single" w:color="000000" w:sz="8" w:space="0"/>
            </w:tcBorders>
            <w:shd w:val="clear" w:color="auto" w:fill="auto"/>
            <w:vAlign w:val="center"/>
          </w:tcPr>
          <w:p w14:paraId="52373854">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68B71C7B">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357C82A">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．更换吹灰器电机或密封风机减速电机；</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1F1940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元/台</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CA71ED3">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0D4DEB6">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C46F004">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7DEC30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1D151B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87871B1">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99E4F68">
            <w:pPr>
              <w:spacing w:line="240" w:lineRule="auto"/>
              <w:jc w:val="center"/>
              <w:rPr>
                <w:rFonts w:hint="eastAsia" w:ascii="宋体" w:hAnsi="宋体" w:eastAsia="宋体" w:cs="宋体"/>
                <w:i w:val="0"/>
                <w:iCs w:val="0"/>
                <w:color w:val="auto"/>
                <w:sz w:val="21"/>
                <w:szCs w:val="21"/>
                <w:highlight w:val="none"/>
                <w:u w:val="none"/>
              </w:rPr>
            </w:pPr>
          </w:p>
        </w:tc>
      </w:tr>
      <w:tr w14:paraId="5AF0D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restart"/>
            <w:tcBorders>
              <w:top w:val="nil"/>
              <w:left w:val="single" w:color="000000" w:sz="8" w:space="0"/>
              <w:bottom w:val="single" w:color="000000" w:sz="8" w:space="0"/>
              <w:right w:val="single" w:color="000000" w:sz="8" w:space="0"/>
            </w:tcBorders>
            <w:shd w:val="clear" w:color="auto" w:fill="auto"/>
            <w:vAlign w:val="center"/>
          </w:tcPr>
          <w:p w14:paraId="79C9B1C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二</w:t>
            </w:r>
          </w:p>
        </w:tc>
        <w:tc>
          <w:tcPr>
            <w:tcW w:w="724" w:type="dxa"/>
            <w:vMerge w:val="restart"/>
            <w:tcBorders>
              <w:top w:val="nil"/>
              <w:left w:val="single" w:color="000000" w:sz="8" w:space="0"/>
              <w:bottom w:val="single" w:color="000000" w:sz="8" w:space="0"/>
              <w:right w:val="single" w:color="000000" w:sz="8" w:space="0"/>
            </w:tcBorders>
            <w:shd w:val="clear" w:color="auto" w:fill="auto"/>
            <w:vAlign w:val="center"/>
          </w:tcPr>
          <w:p w14:paraId="0066B02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焚烧炉　</w:t>
            </w: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33CC109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给料系统</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243F274">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39</w:t>
            </w:r>
            <w:r>
              <w:rPr>
                <w:rFonts w:hint="eastAsia" w:ascii="宋体" w:hAnsi="宋体" w:eastAsia="宋体" w:cs="宋体"/>
                <w:i w:val="0"/>
                <w:iCs w:val="0"/>
                <w:color w:val="auto"/>
                <w:kern w:val="0"/>
                <w:sz w:val="21"/>
                <w:szCs w:val="21"/>
                <w:highlight w:val="none"/>
                <w:u w:val="none"/>
                <w:lang w:val="en-US" w:eastAsia="zh-CN" w:bidi="ar"/>
              </w:rPr>
              <w:t>.落料口防磨钢板更换（含措施费、作业平台）；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3692D0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元/块</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9448234">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8861D29">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681E16E">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432BE09B">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C62C7EE">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3BCAB6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C1321AF">
            <w:pPr>
              <w:spacing w:line="240" w:lineRule="auto"/>
              <w:jc w:val="center"/>
              <w:rPr>
                <w:rFonts w:hint="eastAsia" w:ascii="宋体" w:hAnsi="宋体" w:eastAsia="宋体" w:cs="宋体"/>
                <w:i w:val="0"/>
                <w:iCs w:val="0"/>
                <w:color w:val="auto"/>
                <w:sz w:val="21"/>
                <w:szCs w:val="21"/>
                <w:highlight w:val="none"/>
                <w:u w:val="none"/>
              </w:rPr>
            </w:pPr>
          </w:p>
        </w:tc>
      </w:tr>
      <w:tr w14:paraId="64F6F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020FFAE">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7E8F6C47">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9BAB613">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6ABBCDD">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0</w:t>
            </w:r>
            <w:r>
              <w:rPr>
                <w:rFonts w:hint="eastAsia" w:ascii="宋体" w:hAnsi="宋体" w:eastAsia="宋体" w:cs="宋体"/>
                <w:i w:val="0"/>
                <w:iCs w:val="0"/>
                <w:color w:val="auto"/>
                <w:kern w:val="0"/>
                <w:sz w:val="21"/>
                <w:szCs w:val="21"/>
                <w:highlight w:val="none"/>
                <w:u w:val="none"/>
                <w:lang w:val="en-US" w:eastAsia="zh-CN" w:bidi="ar"/>
              </w:rPr>
              <w:t>.给料小车铸件或耐磨铁更换</w:t>
            </w:r>
            <w:r>
              <w:rPr>
                <w:rFonts w:hint="eastAsia" w:ascii="宋体" w:hAnsi="宋体" w:cs="宋体"/>
                <w:i w:val="0"/>
                <w:color w:val="auto"/>
                <w:kern w:val="0"/>
                <w:sz w:val="22"/>
                <w:szCs w:val="22"/>
                <w:highlight w:val="none"/>
                <w:u w:val="none"/>
                <w:lang w:val="en-US" w:eastAsia="zh-CN" w:bidi="ar"/>
              </w:rPr>
              <w:t>（</w:t>
            </w:r>
            <w:r>
              <w:rPr>
                <w:rFonts w:hint="eastAsia" w:ascii="宋体" w:hAnsi="宋体" w:eastAsia="宋体" w:cs="宋体"/>
                <w:i w:val="0"/>
                <w:color w:val="auto"/>
                <w:kern w:val="0"/>
                <w:sz w:val="22"/>
                <w:szCs w:val="22"/>
                <w:highlight w:val="none"/>
                <w:u w:val="none"/>
                <w:lang w:val="en-US" w:eastAsia="zh-CN" w:bidi="ar"/>
              </w:rPr>
              <w:t>按需更换；若因更换需要拆除其他铸件，其他铸件不再另行计费</w:t>
            </w:r>
            <w:r>
              <w:rPr>
                <w:rFonts w:hint="eastAsia" w:ascii="宋体" w:hAnsi="宋体" w:eastAsia="宋体" w:cs="宋体"/>
                <w:i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E3E1CC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元/块</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2F1223C">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9D5ECA3">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F6F4E7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37769FB">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03D3CE1">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8A43D3D">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E0C2141">
            <w:pPr>
              <w:spacing w:line="240" w:lineRule="auto"/>
              <w:jc w:val="center"/>
              <w:rPr>
                <w:rFonts w:hint="eastAsia" w:ascii="宋体" w:hAnsi="宋体" w:eastAsia="宋体" w:cs="宋体"/>
                <w:i w:val="0"/>
                <w:iCs w:val="0"/>
                <w:color w:val="auto"/>
                <w:sz w:val="21"/>
                <w:szCs w:val="21"/>
                <w:highlight w:val="none"/>
                <w:u w:val="none"/>
              </w:rPr>
            </w:pPr>
          </w:p>
        </w:tc>
      </w:tr>
      <w:tr w14:paraId="77C1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BB8CBE0">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C59F030">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185686C7">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D3F5232">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.给料小车滑座更换；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5851FE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元/块</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07D3B6D">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3AF7D52">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12510D1">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44B1DF7">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C85F5F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0017099">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F857598">
            <w:pPr>
              <w:spacing w:line="240" w:lineRule="auto"/>
              <w:jc w:val="center"/>
              <w:rPr>
                <w:rFonts w:hint="eastAsia" w:ascii="宋体" w:hAnsi="宋体" w:eastAsia="宋体" w:cs="宋体"/>
                <w:i w:val="0"/>
                <w:iCs w:val="0"/>
                <w:color w:val="auto"/>
                <w:sz w:val="21"/>
                <w:szCs w:val="21"/>
                <w:highlight w:val="none"/>
                <w:u w:val="none"/>
              </w:rPr>
            </w:pPr>
          </w:p>
        </w:tc>
      </w:tr>
      <w:tr w14:paraId="5EB2D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E555340">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572BA0F">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DF07EF1">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710F430">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.给料小车底部铜滑板更换；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0AA942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元/块</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EA0392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138D9A0">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5F43C9E">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0499A85">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0160A3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D35AC8E">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4171762">
            <w:pPr>
              <w:spacing w:line="240" w:lineRule="auto"/>
              <w:jc w:val="center"/>
              <w:rPr>
                <w:rFonts w:hint="eastAsia" w:ascii="宋体" w:hAnsi="宋体" w:eastAsia="宋体" w:cs="宋体"/>
                <w:i w:val="0"/>
                <w:iCs w:val="0"/>
                <w:color w:val="auto"/>
                <w:sz w:val="21"/>
                <w:szCs w:val="21"/>
                <w:highlight w:val="none"/>
                <w:u w:val="none"/>
              </w:rPr>
            </w:pPr>
          </w:p>
        </w:tc>
      </w:tr>
      <w:tr w14:paraId="123D5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488CFAB">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175D35F">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4F44394">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A9308F3">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.整台炉前拱保护附件更换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988685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A895C0A">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5F9D29A">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DEE45B1">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1F45CE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DFD9E4F">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19CB316F">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CAE5BF5">
            <w:pPr>
              <w:spacing w:line="240" w:lineRule="auto"/>
              <w:jc w:val="center"/>
              <w:rPr>
                <w:rFonts w:hint="eastAsia" w:ascii="宋体" w:hAnsi="宋体" w:eastAsia="宋体" w:cs="宋体"/>
                <w:i w:val="0"/>
                <w:iCs w:val="0"/>
                <w:color w:val="auto"/>
                <w:sz w:val="21"/>
                <w:szCs w:val="21"/>
                <w:highlight w:val="none"/>
                <w:u w:val="none"/>
              </w:rPr>
            </w:pPr>
          </w:p>
        </w:tc>
      </w:tr>
      <w:tr w14:paraId="0E124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D19AAA5">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FAD0D87">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2BED776A">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驱动液压缸更换</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5C7AE16">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.液压缸本体密封油封更换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BC0B52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D78CA3F">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1AFDB48">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81F3A73">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0F491B8">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677FFF9">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0A4DD37A">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B18F845">
            <w:pPr>
              <w:spacing w:line="240" w:lineRule="auto"/>
              <w:jc w:val="center"/>
              <w:rPr>
                <w:rFonts w:hint="eastAsia" w:ascii="宋体" w:hAnsi="宋体" w:eastAsia="宋体" w:cs="宋体"/>
                <w:i w:val="0"/>
                <w:iCs w:val="0"/>
                <w:color w:val="auto"/>
                <w:sz w:val="21"/>
                <w:szCs w:val="21"/>
                <w:highlight w:val="none"/>
                <w:u w:val="none"/>
              </w:rPr>
            </w:pPr>
          </w:p>
        </w:tc>
      </w:tr>
      <w:tr w14:paraId="7D9F7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32BAD4D5">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AB461F5">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E6AC0CE">
            <w:pPr>
              <w:spacing w:line="240" w:lineRule="auto"/>
              <w:jc w:val="both"/>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66B0848">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.液压缸整体更换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6C8535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AC30944">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C0E94A1">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67901AC">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A25DABA">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8C7B02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F6629FB">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ABFB92E">
            <w:pPr>
              <w:spacing w:line="240" w:lineRule="auto"/>
              <w:jc w:val="center"/>
              <w:rPr>
                <w:rFonts w:hint="eastAsia" w:ascii="宋体" w:hAnsi="宋体" w:eastAsia="宋体" w:cs="宋体"/>
                <w:i w:val="0"/>
                <w:iCs w:val="0"/>
                <w:color w:val="auto"/>
                <w:sz w:val="21"/>
                <w:szCs w:val="21"/>
                <w:highlight w:val="none"/>
                <w:u w:val="none"/>
              </w:rPr>
            </w:pPr>
          </w:p>
        </w:tc>
      </w:tr>
      <w:tr w14:paraId="676F2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44C1489">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BF0BE52">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36FE498">
            <w:pPr>
              <w:spacing w:line="240" w:lineRule="auto"/>
              <w:jc w:val="both"/>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0A3169D">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．摇臂连接驱动梁的销轴拆除或驱动梁拉杆支撑轴承更换；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2637E6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F6C9BB1">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9351133">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4412972">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893D726">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4BA2B9E">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7D7D25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018465C">
            <w:pPr>
              <w:spacing w:line="240" w:lineRule="auto"/>
              <w:jc w:val="center"/>
              <w:rPr>
                <w:rFonts w:hint="eastAsia" w:ascii="宋体" w:hAnsi="宋体" w:eastAsia="宋体" w:cs="宋体"/>
                <w:i w:val="0"/>
                <w:iCs w:val="0"/>
                <w:color w:val="auto"/>
                <w:sz w:val="21"/>
                <w:szCs w:val="21"/>
                <w:highlight w:val="none"/>
                <w:u w:val="none"/>
              </w:rPr>
            </w:pPr>
          </w:p>
        </w:tc>
      </w:tr>
      <w:tr w14:paraId="63685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BD0C8C5">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C9522B6">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BCEFA6E">
            <w:pPr>
              <w:spacing w:line="240" w:lineRule="auto"/>
              <w:jc w:val="both"/>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F26453B">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．液压缸油管更换；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AA99D2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4E1C9BA">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F33393A">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61AC54B">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C76AFCA">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0638AF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F6FB14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CF7BAE7">
            <w:pPr>
              <w:spacing w:line="240" w:lineRule="auto"/>
              <w:jc w:val="center"/>
              <w:rPr>
                <w:rFonts w:hint="eastAsia" w:ascii="宋体" w:hAnsi="宋体" w:eastAsia="宋体" w:cs="宋体"/>
                <w:i w:val="0"/>
                <w:iCs w:val="0"/>
                <w:color w:val="auto"/>
                <w:sz w:val="21"/>
                <w:szCs w:val="21"/>
                <w:highlight w:val="none"/>
                <w:u w:val="none"/>
              </w:rPr>
            </w:pPr>
          </w:p>
        </w:tc>
      </w:tr>
      <w:tr w14:paraId="444D6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EA2F09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33E081A">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6AAA092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炉排系统</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EA77487">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48</w:t>
            </w:r>
            <w:r>
              <w:rPr>
                <w:rFonts w:hint="eastAsia" w:ascii="宋体" w:hAnsi="宋体" w:eastAsia="宋体" w:cs="宋体"/>
                <w:i w:val="0"/>
                <w:iCs w:val="0"/>
                <w:color w:val="auto"/>
                <w:kern w:val="0"/>
                <w:sz w:val="21"/>
                <w:szCs w:val="21"/>
                <w:highlight w:val="none"/>
                <w:u w:val="none"/>
                <w:lang w:val="en-US" w:eastAsia="zh-CN" w:bidi="ar"/>
              </w:rPr>
              <w:t>.拉杆导向轮更换（单个驱动轮底座为一组）；</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209429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AAA8F43">
            <w:pPr>
              <w:spacing w:line="240" w:lineRule="auto"/>
              <w:jc w:val="center"/>
              <w:rPr>
                <w:rFonts w:hint="eastAsia" w:ascii="宋体" w:hAnsi="宋体" w:eastAsia="宋体" w:cs="宋体"/>
                <w:i w:val="0"/>
                <w:iCs w:val="0"/>
                <w:strike/>
                <w:color w:val="auto"/>
                <w:sz w:val="21"/>
                <w:szCs w:val="21"/>
                <w:highlight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3106D41C">
            <w:pPr>
              <w:spacing w:line="240" w:lineRule="auto"/>
              <w:jc w:val="center"/>
              <w:rPr>
                <w:rFonts w:hint="eastAsia" w:ascii="宋体" w:hAnsi="宋体" w:eastAsia="宋体" w:cs="宋体"/>
                <w:i w:val="0"/>
                <w:iCs w:val="0"/>
                <w:strike/>
                <w:color w:val="auto"/>
                <w:sz w:val="21"/>
                <w:szCs w:val="21"/>
                <w:highlight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B78A205">
            <w:pPr>
              <w:spacing w:line="240" w:lineRule="auto"/>
              <w:jc w:val="center"/>
              <w:rPr>
                <w:rFonts w:hint="eastAsia" w:ascii="宋体" w:hAnsi="宋体" w:eastAsia="宋体" w:cs="宋体"/>
                <w:i w:val="0"/>
                <w:iCs w:val="0"/>
                <w:strike/>
                <w:color w:val="auto"/>
                <w:sz w:val="21"/>
                <w:szCs w:val="21"/>
                <w:highlight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1FD26BC">
            <w:pPr>
              <w:spacing w:line="240" w:lineRule="auto"/>
              <w:jc w:val="center"/>
              <w:rPr>
                <w:rFonts w:hint="eastAsia" w:ascii="宋体" w:hAnsi="宋体" w:eastAsia="宋体" w:cs="宋体"/>
                <w:i w:val="0"/>
                <w:iCs w:val="0"/>
                <w:strike/>
                <w:color w:val="auto"/>
                <w:sz w:val="21"/>
                <w:szCs w:val="21"/>
                <w:highlight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95EE6A7">
            <w:pPr>
              <w:spacing w:line="240" w:lineRule="auto"/>
              <w:jc w:val="center"/>
              <w:rPr>
                <w:rFonts w:hint="eastAsia" w:ascii="宋体" w:hAnsi="宋体" w:eastAsia="宋体" w:cs="宋体"/>
                <w:i w:val="0"/>
                <w:iCs w:val="0"/>
                <w:strike/>
                <w:color w:val="auto"/>
                <w:sz w:val="21"/>
                <w:szCs w:val="21"/>
                <w:highlight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07CEBF3">
            <w:pPr>
              <w:spacing w:line="240" w:lineRule="auto"/>
              <w:jc w:val="center"/>
              <w:rPr>
                <w:rFonts w:hint="eastAsia" w:ascii="宋体" w:hAnsi="宋体" w:eastAsia="宋体" w:cs="宋体"/>
                <w:i w:val="0"/>
                <w:iCs w:val="0"/>
                <w:strike/>
                <w:color w:val="auto"/>
                <w:sz w:val="21"/>
                <w:szCs w:val="21"/>
                <w:highlight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A7BB04A">
            <w:pPr>
              <w:spacing w:line="240" w:lineRule="auto"/>
              <w:jc w:val="center"/>
              <w:rPr>
                <w:rFonts w:hint="eastAsia" w:ascii="宋体" w:hAnsi="宋体" w:eastAsia="宋体" w:cs="宋体"/>
                <w:i w:val="0"/>
                <w:iCs w:val="0"/>
                <w:strike/>
                <w:color w:val="auto"/>
                <w:sz w:val="21"/>
                <w:szCs w:val="21"/>
                <w:highlight w:val="none"/>
              </w:rPr>
            </w:pPr>
          </w:p>
        </w:tc>
      </w:tr>
      <w:tr w14:paraId="59E7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6F8304C">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3D2A1B8A">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60DCC57">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0378200">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49</w:t>
            </w:r>
            <w:r>
              <w:rPr>
                <w:rFonts w:hint="eastAsia" w:ascii="宋体" w:hAnsi="宋体" w:eastAsia="宋体" w:cs="宋体"/>
                <w:i w:val="0"/>
                <w:iCs w:val="0"/>
                <w:color w:val="auto"/>
                <w:kern w:val="0"/>
                <w:sz w:val="21"/>
                <w:szCs w:val="21"/>
                <w:highlight w:val="none"/>
                <w:u w:val="none"/>
                <w:lang w:val="en-US" w:eastAsia="zh-CN" w:bidi="ar"/>
              </w:rPr>
              <w:t>.密封盒铜块更换；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9A2F92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CF9A214">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61DC14B">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CC9F260">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A529FFD">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B4D60E9">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29236F8">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DCE3F9F">
            <w:pPr>
              <w:spacing w:line="240" w:lineRule="auto"/>
              <w:jc w:val="center"/>
              <w:rPr>
                <w:rFonts w:hint="eastAsia" w:ascii="宋体" w:hAnsi="宋体" w:eastAsia="宋体" w:cs="宋体"/>
                <w:i w:val="0"/>
                <w:iCs w:val="0"/>
                <w:color w:val="auto"/>
                <w:sz w:val="21"/>
                <w:szCs w:val="21"/>
                <w:highlight w:val="none"/>
                <w:u w:val="none"/>
              </w:rPr>
            </w:pPr>
          </w:p>
        </w:tc>
      </w:tr>
      <w:tr w14:paraId="1EF3E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681BE9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F329103">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3D30221">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399FE85">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0</w:t>
            </w:r>
            <w:r>
              <w:rPr>
                <w:rFonts w:hint="eastAsia" w:ascii="宋体" w:hAnsi="宋体" w:eastAsia="宋体" w:cs="宋体"/>
                <w:i w:val="0"/>
                <w:iCs w:val="0"/>
                <w:color w:val="auto"/>
                <w:kern w:val="0"/>
                <w:sz w:val="21"/>
                <w:szCs w:val="21"/>
                <w:highlight w:val="none"/>
                <w:u w:val="none"/>
                <w:lang w:val="en-US" w:eastAsia="zh-CN" w:bidi="ar"/>
              </w:rPr>
              <w:t>.炉排片或铸件更换</w:t>
            </w:r>
            <w:r>
              <w:rPr>
                <w:rFonts w:hint="eastAsia" w:ascii="宋体" w:hAnsi="宋体" w:cs="宋体"/>
                <w:i w:val="0"/>
                <w:color w:val="auto"/>
                <w:kern w:val="0"/>
                <w:sz w:val="22"/>
                <w:szCs w:val="22"/>
                <w:highlight w:val="none"/>
                <w:u w:val="none"/>
                <w:lang w:val="en-US" w:eastAsia="zh-CN" w:bidi="ar"/>
              </w:rPr>
              <w:t>（</w:t>
            </w:r>
            <w:r>
              <w:rPr>
                <w:rFonts w:hint="eastAsia" w:ascii="宋体" w:hAnsi="宋体" w:eastAsia="宋体" w:cs="宋体"/>
                <w:i w:val="0"/>
                <w:color w:val="auto"/>
                <w:kern w:val="0"/>
                <w:sz w:val="22"/>
                <w:szCs w:val="22"/>
                <w:highlight w:val="none"/>
                <w:u w:val="none"/>
                <w:lang w:val="en-US" w:eastAsia="zh-CN" w:bidi="ar"/>
              </w:rPr>
              <w:t>按需更换；若因更换需要拆除其他铸件</w:t>
            </w:r>
            <w:r>
              <w:rPr>
                <w:rFonts w:hint="eastAsia" w:ascii="宋体" w:hAnsi="宋体" w:cs="宋体"/>
                <w:i w:val="0"/>
                <w:color w:val="auto"/>
                <w:kern w:val="0"/>
                <w:sz w:val="22"/>
                <w:szCs w:val="22"/>
                <w:highlight w:val="none"/>
                <w:u w:val="none"/>
                <w:lang w:val="en-US" w:eastAsia="zh-CN" w:bidi="ar"/>
              </w:rPr>
              <w:t>或炉排</w:t>
            </w:r>
            <w:r>
              <w:rPr>
                <w:rFonts w:hint="eastAsia" w:ascii="宋体" w:hAnsi="宋体" w:eastAsia="宋体" w:cs="宋体"/>
                <w:i w:val="0"/>
                <w:color w:val="auto"/>
                <w:kern w:val="0"/>
                <w:sz w:val="22"/>
                <w:szCs w:val="22"/>
                <w:highlight w:val="none"/>
                <w:u w:val="none"/>
                <w:lang w:val="en-US" w:eastAsia="zh-CN" w:bidi="ar"/>
              </w:rPr>
              <w:t>，</w:t>
            </w:r>
            <w:r>
              <w:rPr>
                <w:rFonts w:hint="eastAsia" w:ascii="宋体" w:hAnsi="宋体" w:cs="宋体"/>
                <w:i w:val="0"/>
                <w:color w:val="auto"/>
                <w:kern w:val="0"/>
                <w:sz w:val="22"/>
                <w:szCs w:val="22"/>
                <w:highlight w:val="none"/>
                <w:u w:val="none"/>
                <w:lang w:val="en-US" w:eastAsia="zh-CN" w:bidi="ar"/>
              </w:rPr>
              <w:t>其他</w:t>
            </w:r>
            <w:r>
              <w:rPr>
                <w:rFonts w:hint="eastAsia" w:ascii="宋体" w:hAnsi="宋体" w:eastAsia="宋体" w:cs="宋体"/>
                <w:i w:val="0"/>
                <w:color w:val="auto"/>
                <w:kern w:val="0"/>
                <w:sz w:val="22"/>
                <w:szCs w:val="22"/>
                <w:highlight w:val="none"/>
                <w:u w:val="none"/>
                <w:lang w:val="en-US" w:eastAsia="zh-CN" w:bidi="ar"/>
              </w:rPr>
              <w:t>铸件</w:t>
            </w:r>
            <w:r>
              <w:rPr>
                <w:rFonts w:hint="eastAsia" w:ascii="宋体" w:hAnsi="宋体" w:cs="宋体"/>
                <w:i w:val="0"/>
                <w:color w:val="auto"/>
                <w:kern w:val="0"/>
                <w:sz w:val="22"/>
                <w:szCs w:val="22"/>
                <w:highlight w:val="none"/>
                <w:u w:val="none"/>
                <w:lang w:val="en-US" w:eastAsia="zh-CN" w:bidi="ar"/>
              </w:rPr>
              <w:t>或炉排</w:t>
            </w:r>
            <w:r>
              <w:rPr>
                <w:rFonts w:hint="eastAsia" w:ascii="宋体" w:hAnsi="宋体" w:eastAsia="宋体" w:cs="宋体"/>
                <w:i w:val="0"/>
                <w:color w:val="auto"/>
                <w:kern w:val="0"/>
                <w:sz w:val="22"/>
                <w:szCs w:val="22"/>
                <w:highlight w:val="none"/>
                <w:u w:val="none"/>
                <w:lang w:val="en-US" w:eastAsia="zh-CN" w:bidi="ar"/>
              </w:rPr>
              <w:t>不再另行计费</w:t>
            </w:r>
            <w:r>
              <w:rPr>
                <w:rFonts w:hint="eastAsia" w:ascii="宋体" w:hAnsi="宋体" w:eastAsia="宋体" w:cs="宋体"/>
                <w:i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9FEE64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元/块</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E27CFCC">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1A7C16E">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AEE176A">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603B529">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74C8D81">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D0B22A8">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513CB73">
            <w:pPr>
              <w:spacing w:line="240" w:lineRule="auto"/>
              <w:jc w:val="center"/>
              <w:rPr>
                <w:rFonts w:hint="eastAsia" w:ascii="宋体" w:hAnsi="宋体" w:eastAsia="宋体" w:cs="宋体"/>
                <w:i w:val="0"/>
                <w:iCs w:val="0"/>
                <w:color w:val="auto"/>
                <w:sz w:val="21"/>
                <w:szCs w:val="21"/>
                <w:highlight w:val="none"/>
                <w:u w:val="none"/>
              </w:rPr>
            </w:pPr>
          </w:p>
        </w:tc>
      </w:tr>
      <w:tr w14:paraId="399C3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AADA887">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70D8CA5">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F2082C0">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FA30037">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.托辊更换；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AF0180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D79F711">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16A78D5">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507D41D">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A2B111B">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5069F6B">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57DC4BF">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6A2A4D7">
            <w:pPr>
              <w:spacing w:line="240" w:lineRule="auto"/>
              <w:jc w:val="center"/>
              <w:rPr>
                <w:rFonts w:hint="eastAsia" w:ascii="宋体" w:hAnsi="宋体" w:eastAsia="宋体" w:cs="宋体"/>
                <w:i w:val="0"/>
                <w:iCs w:val="0"/>
                <w:color w:val="auto"/>
                <w:sz w:val="21"/>
                <w:szCs w:val="21"/>
                <w:highlight w:val="none"/>
                <w:u w:val="none"/>
              </w:rPr>
            </w:pPr>
          </w:p>
        </w:tc>
      </w:tr>
      <w:tr w14:paraId="1AE8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F31A12B">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0D223AF">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5093CAA">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D51970F">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.导向轮更换；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DD4A22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7FED934">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4C0622D">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414291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742B404">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360161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1787838B">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85DF431">
            <w:pPr>
              <w:spacing w:line="240" w:lineRule="auto"/>
              <w:jc w:val="center"/>
              <w:rPr>
                <w:rFonts w:hint="eastAsia" w:ascii="宋体" w:hAnsi="宋体" w:eastAsia="宋体" w:cs="宋体"/>
                <w:i w:val="0"/>
                <w:iCs w:val="0"/>
                <w:color w:val="auto"/>
                <w:sz w:val="21"/>
                <w:szCs w:val="21"/>
                <w:highlight w:val="none"/>
                <w:u w:val="none"/>
              </w:rPr>
            </w:pPr>
          </w:p>
        </w:tc>
      </w:tr>
      <w:tr w14:paraId="276A2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6C2B037">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071D5014">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294682B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风室刮板机/水平烟道输灰刮板机</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5612363">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.刮板机链条更换；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A28BF6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BEC5BA8">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5D68BE7">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1FAC7A2">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A957EE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6A8F55D">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DE33D77">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2A68F69">
            <w:pPr>
              <w:spacing w:line="240" w:lineRule="auto"/>
              <w:jc w:val="center"/>
              <w:rPr>
                <w:rFonts w:hint="eastAsia" w:ascii="宋体" w:hAnsi="宋体" w:eastAsia="宋体" w:cs="宋体"/>
                <w:i w:val="0"/>
                <w:iCs w:val="0"/>
                <w:color w:val="auto"/>
                <w:sz w:val="21"/>
                <w:szCs w:val="21"/>
                <w:highlight w:val="none"/>
                <w:u w:val="none"/>
              </w:rPr>
            </w:pPr>
          </w:p>
        </w:tc>
      </w:tr>
      <w:tr w14:paraId="2A7E6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4710234">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07211DB4">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E434367">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2C2DB57">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.刮板机上、下耐磨条更换；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9714EB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F9B30DB">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789D0E2">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6A895C2">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D8B4177">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42694B4">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708173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A511D86">
            <w:pPr>
              <w:spacing w:line="240" w:lineRule="auto"/>
              <w:jc w:val="center"/>
              <w:rPr>
                <w:rFonts w:hint="eastAsia" w:ascii="宋体" w:hAnsi="宋体" w:eastAsia="宋体" w:cs="宋体"/>
                <w:i w:val="0"/>
                <w:iCs w:val="0"/>
                <w:color w:val="auto"/>
                <w:sz w:val="21"/>
                <w:szCs w:val="21"/>
                <w:highlight w:val="none"/>
                <w:u w:val="none"/>
              </w:rPr>
            </w:pPr>
          </w:p>
        </w:tc>
      </w:tr>
      <w:tr w14:paraId="7E5FD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31BBD279">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759183C">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9E4E99D">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516FD29">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.刮板机头轮及轴承更换</w:t>
            </w:r>
            <w:r>
              <w:rPr>
                <w:rFonts w:hint="eastAsia" w:ascii="宋体" w:hAnsi="宋体" w:eastAsia="宋体" w:cs="宋体"/>
                <w:i w:val="0"/>
                <w:color w:val="auto"/>
                <w:kern w:val="0"/>
                <w:sz w:val="21"/>
                <w:szCs w:val="21"/>
                <w:highlight w:val="none"/>
                <w:u w:val="none"/>
                <w:lang w:val="en-US" w:eastAsia="zh-CN" w:bidi="ar"/>
              </w:rPr>
              <w:t>（仅换轴承按50%计）</w:t>
            </w:r>
            <w:r>
              <w:rPr>
                <w:rFonts w:hint="eastAsia" w:ascii="宋体" w:hAnsi="宋体" w:eastAsia="宋体" w:cs="宋体"/>
                <w:i w:val="0"/>
                <w:iCs w:val="0"/>
                <w:color w:val="auto"/>
                <w:kern w:val="0"/>
                <w:sz w:val="21"/>
                <w:szCs w:val="21"/>
                <w:highlight w:val="none"/>
                <w:u w:val="none"/>
                <w:lang w:val="en-US" w:eastAsia="zh-CN" w:bidi="ar"/>
              </w:rPr>
              <w:t>；</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F96A32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C835177">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374F11B4">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BE9C20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CA89D89">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8044C45">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DE09B4E">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943DA13">
            <w:pPr>
              <w:spacing w:line="240" w:lineRule="auto"/>
              <w:jc w:val="center"/>
              <w:rPr>
                <w:rFonts w:hint="eastAsia" w:ascii="宋体" w:hAnsi="宋体" w:eastAsia="宋体" w:cs="宋体"/>
                <w:i w:val="0"/>
                <w:iCs w:val="0"/>
                <w:color w:val="auto"/>
                <w:sz w:val="21"/>
                <w:szCs w:val="21"/>
                <w:highlight w:val="none"/>
                <w:u w:val="none"/>
              </w:rPr>
            </w:pPr>
          </w:p>
        </w:tc>
      </w:tr>
      <w:tr w14:paraId="34506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57D7086">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714AE9B5">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9FC167F">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555B6FD">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.刮板机尾轮及轴承更换</w:t>
            </w:r>
            <w:r>
              <w:rPr>
                <w:rFonts w:hint="eastAsia" w:ascii="宋体" w:hAnsi="宋体" w:eastAsia="宋体" w:cs="宋体"/>
                <w:i w:val="0"/>
                <w:color w:val="auto"/>
                <w:kern w:val="0"/>
                <w:sz w:val="21"/>
                <w:szCs w:val="21"/>
                <w:highlight w:val="none"/>
                <w:u w:val="none"/>
                <w:lang w:val="en-US" w:eastAsia="zh-CN" w:bidi="ar"/>
              </w:rPr>
              <w:t>（仅换轴承按50%计）</w:t>
            </w:r>
            <w:r>
              <w:rPr>
                <w:rFonts w:hint="eastAsia" w:ascii="宋体" w:hAnsi="宋体" w:eastAsia="宋体" w:cs="宋体"/>
                <w:i w:val="0"/>
                <w:iCs w:val="0"/>
                <w:color w:val="auto"/>
                <w:kern w:val="0"/>
                <w:sz w:val="21"/>
                <w:szCs w:val="21"/>
                <w:highlight w:val="none"/>
                <w:u w:val="none"/>
                <w:lang w:val="en-US" w:eastAsia="zh-CN" w:bidi="ar"/>
              </w:rPr>
              <w:t>；</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8ECC1C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DB7FCD5">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B0AE95F">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2E8BB9A">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2721BFC">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BF7A7C5">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17EE5C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A31896C">
            <w:pPr>
              <w:spacing w:line="240" w:lineRule="auto"/>
              <w:jc w:val="center"/>
              <w:rPr>
                <w:rFonts w:hint="eastAsia" w:ascii="宋体" w:hAnsi="宋体" w:eastAsia="宋体" w:cs="宋体"/>
                <w:i w:val="0"/>
                <w:iCs w:val="0"/>
                <w:color w:val="auto"/>
                <w:sz w:val="21"/>
                <w:szCs w:val="21"/>
                <w:highlight w:val="none"/>
                <w:u w:val="none"/>
              </w:rPr>
            </w:pPr>
          </w:p>
        </w:tc>
      </w:tr>
      <w:tr w14:paraId="69F66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48AE1AD">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0B72CF75">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405751C">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C5578A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.减速机更换；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F9C0D0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F6A31EF">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5A60E20">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5C4C198">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D75F05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FE27CC6">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1AC8DB5A">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F521376">
            <w:pPr>
              <w:spacing w:line="240" w:lineRule="auto"/>
              <w:jc w:val="center"/>
              <w:rPr>
                <w:rFonts w:hint="eastAsia" w:ascii="宋体" w:hAnsi="宋体" w:eastAsia="宋体" w:cs="宋体"/>
                <w:i w:val="0"/>
                <w:iCs w:val="0"/>
                <w:color w:val="auto"/>
                <w:sz w:val="21"/>
                <w:szCs w:val="21"/>
                <w:highlight w:val="none"/>
                <w:u w:val="none"/>
              </w:rPr>
            </w:pPr>
          </w:p>
        </w:tc>
      </w:tr>
      <w:tr w14:paraId="3C77F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AB24D24">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AE0B917">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ABDD90F">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B4A731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.刮板机下料溜管更换；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72FD5C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36B3D5C">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B9B5395">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743396A">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B482DC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69D5B6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1A60BCC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C94E6CD">
            <w:pPr>
              <w:spacing w:line="240" w:lineRule="auto"/>
              <w:jc w:val="center"/>
              <w:rPr>
                <w:rFonts w:hint="eastAsia" w:ascii="宋体" w:hAnsi="宋体" w:eastAsia="宋体" w:cs="宋体"/>
                <w:i w:val="0"/>
                <w:iCs w:val="0"/>
                <w:color w:val="auto"/>
                <w:sz w:val="21"/>
                <w:szCs w:val="21"/>
                <w:highlight w:val="none"/>
                <w:u w:val="none"/>
              </w:rPr>
            </w:pPr>
          </w:p>
        </w:tc>
      </w:tr>
      <w:tr w14:paraId="4DEDE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56234AE">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CC1D5CB">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C44A54E">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E3F639B">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.气动翻板阀轴承消缺、更换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891144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92D3FFE">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AADFE0D">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55661C7">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03772B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FE21F3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395FF4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EBB3721">
            <w:pPr>
              <w:spacing w:line="240" w:lineRule="auto"/>
              <w:jc w:val="center"/>
              <w:rPr>
                <w:rFonts w:hint="eastAsia" w:ascii="宋体" w:hAnsi="宋体" w:eastAsia="宋体" w:cs="宋体"/>
                <w:i w:val="0"/>
                <w:iCs w:val="0"/>
                <w:color w:val="auto"/>
                <w:sz w:val="21"/>
                <w:szCs w:val="21"/>
                <w:highlight w:val="none"/>
                <w:u w:val="none"/>
              </w:rPr>
            </w:pPr>
          </w:p>
        </w:tc>
      </w:tr>
      <w:tr w14:paraId="1A763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396BB5F5">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9FCCB2C">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2D878DDF">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除渣机</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82F64A9">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60</w:t>
            </w:r>
            <w:r>
              <w:rPr>
                <w:rFonts w:hint="eastAsia" w:ascii="宋体" w:hAnsi="宋体" w:eastAsia="宋体" w:cs="宋体"/>
                <w:i w:val="0"/>
                <w:iCs w:val="0"/>
                <w:color w:val="auto"/>
                <w:kern w:val="0"/>
                <w:sz w:val="21"/>
                <w:szCs w:val="21"/>
                <w:highlight w:val="none"/>
                <w:u w:val="none"/>
                <w:lang w:val="en-US" w:eastAsia="zh-CN" w:bidi="ar"/>
              </w:rPr>
              <w:t>.除渣机更换耐磨侧板</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591A8B9">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元/块</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B34EEDD">
            <w:pPr>
              <w:spacing w:line="240" w:lineRule="auto"/>
              <w:jc w:val="left"/>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2D762B4">
            <w:pPr>
              <w:spacing w:line="240" w:lineRule="auto"/>
              <w:jc w:val="left"/>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FF0DEA6">
            <w:pPr>
              <w:spacing w:line="240" w:lineRule="auto"/>
              <w:jc w:val="left"/>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66E0274">
            <w:pPr>
              <w:spacing w:line="240" w:lineRule="auto"/>
              <w:jc w:val="left"/>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BBB082F">
            <w:pPr>
              <w:spacing w:line="240" w:lineRule="auto"/>
              <w:jc w:val="left"/>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FF64DF3">
            <w:pPr>
              <w:spacing w:line="240" w:lineRule="auto"/>
              <w:jc w:val="left"/>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AFCD6AA">
            <w:pPr>
              <w:spacing w:line="240" w:lineRule="auto"/>
              <w:jc w:val="left"/>
              <w:rPr>
                <w:rFonts w:hint="eastAsia" w:ascii="宋体" w:hAnsi="宋体" w:eastAsia="宋体" w:cs="宋体"/>
                <w:i w:val="0"/>
                <w:iCs w:val="0"/>
                <w:color w:val="auto"/>
                <w:sz w:val="21"/>
                <w:szCs w:val="21"/>
                <w:highlight w:val="none"/>
                <w:u w:val="none"/>
              </w:rPr>
            </w:pPr>
          </w:p>
        </w:tc>
      </w:tr>
      <w:tr w14:paraId="410DE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CE00495">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775A9F7F">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E9F8A06">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221A88C">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61</w:t>
            </w:r>
            <w:r>
              <w:rPr>
                <w:rFonts w:hint="eastAsia" w:ascii="宋体" w:hAnsi="宋体" w:eastAsia="宋体" w:cs="宋体"/>
                <w:i w:val="0"/>
                <w:iCs w:val="0"/>
                <w:color w:val="auto"/>
                <w:kern w:val="0"/>
                <w:sz w:val="21"/>
                <w:szCs w:val="21"/>
                <w:highlight w:val="none"/>
                <w:u w:val="none"/>
                <w:lang w:val="en-US" w:eastAsia="zh-CN" w:bidi="ar"/>
              </w:rPr>
              <w:t>.除渣机更换耐磨底板</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119B8B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元/块</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5672449">
            <w:pPr>
              <w:spacing w:line="240" w:lineRule="auto"/>
              <w:jc w:val="left"/>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BC3554A">
            <w:pPr>
              <w:spacing w:line="240" w:lineRule="auto"/>
              <w:jc w:val="left"/>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BCBA359">
            <w:pPr>
              <w:spacing w:line="240" w:lineRule="auto"/>
              <w:jc w:val="left"/>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454A57BB">
            <w:pPr>
              <w:spacing w:line="240" w:lineRule="auto"/>
              <w:jc w:val="left"/>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83DDA31">
            <w:pPr>
              <w:spacing w:line="240" w:lineRule="auto"/>
              <w:jc w:val="left"/>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17CA3C7">
            <w:pPr>
              <w:spacing w:line="240" w:lineRule="auto"/>
              <w:jc w:val="left"/>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4E36002">
            <w:pPr>
              <w:spacing w:line="240" w:lineRule="auto"/>
              <w:jc w:val="left"/>
              <w:rPr>
                <w:rFonts w:hint="eastAsia" w:ascii="宋体" w:hAnsi="宋体" w:eastAsia="宋体" w:cs="宋体"/>
                <w:i w:val="0"/>
                <w:iCs w:val="0"/>
                <w:color w:val="auto"/>
                <w:sz w:val="21"/>
                <w:szCs w:val="21"/>
                <w:highlight w:val="none"/>
                <w:u w:val="none"/>
              </w:rPr>
            </w:pPr>
          </w:p>
        </w:tc>
      </w:tr>
      <w:tr w14:paraId="3AB1E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CA18104">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F0D5A5F">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ECB9D3E">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EF6543C">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 除渣机更换大轴、大轴承及推头轴承更换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FEE1D2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元/轴</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838E1D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47CDB9C">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DD27FD1">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9CC327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DDE0A79">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54C998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7C2CD5E">
            <w:pPr>
              <w:spacing w:line="240" w:lineRule="auto"/>
              <w:jc w:val="center"/>
              <w:rPr>
                <w:rFonts w:hint="eastAsia" w:ascii="宋体" w:hAnsi="宋体" w:eastAsia="宋体" w:cs="宋体"/>
                <w:i w:val="0"/>
                <w:iCs w:val="0"/>
                <w:color w:val="auto"/>
                <w:sz w:val="21"/>
                <w:szCs w:val="21"/>
                <w:highlight w:val="none"/>
                <w:u w:val="none"/>
              </w:rPr>
            </w:pPr>
          </w:p>
        </w:tc>
      </w:tr>
      <w:tr w14:paraId="60AA6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650" w:type="dxa"/>
            <w:vMerge w:val="restart"/>
            <w:tcBorders>
              <w:top w:val="nil"/>
              <w:left w:val="single" w:color="000000" w:sz="8" w:space="0"/>
              <w:bottom w:val="single" w:color="000000" w:sz="8" w:space="0"/>
              <w:right w:val="single" w:color="000000" w:sz="8" w:space="0"/>
            </w:tcBorders>
            <w:shd w:val="clear" w:color="auto" w:fill="auto"/>
            <w:vAlign w:val="center"/>
          </w:tcPr>
          <w:p w14:paraId="31DD88A2">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w:t>
            </w:r>
          </w:p>
        </w:tc>
        <w:tc>
          <w:tcPr>
            <w:tcW w:w="724" w:type="dxa"/>
            <w:vMerge w:val="restart"/>
            <w:tcBorders>
              <w:top w:val="nil"/>
              <w:left w:val="single" w:color="000000" w:sz="8" w:space="0"/>
              <w:bottom w:val="single" w:color="000000" w:sz="8" w:space="0"/>
              <w:right w:val="single" w:color="000000" w:sz="8" w:space="0"/>
            </w:tcBorders>
            <w:shd w:val="clear" w:color="auto" w:fill="auto"/>
            <w:vAlign w:val="center"/>
          </w:tcPr>
          <w:p w14:paraId="6B853A15">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尾气系统</w:t>
            </w: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00152655">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反应塔</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7497A87">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.内部重做防腐（按防腐面积比例结算）；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239D36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DDE8C31">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88704B3">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C43B01E">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230DF94">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32592D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02ACBCCB">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E458A3A">
            <w:pPr>
              <w:spacing w:line="240" w:lineRule="auto"/>
              <w:jc w:val="center"/>
              <w:rPr>
                <w:rFonts w:hint="eastAsia" w:ascii="宋体" w:hAnsi="宋体" w:eastAsia="宋体" w:cs="宋体"/>
                <w:i w:val="0"/>
                <w:iCs w:val="0"/>
                <w:color w:val="auto"/>
                <w:sz w:val="21"/>
                <w:szCs w:val="21"/>
                <w:highlight w:val="none"/>
                <w:u w:val="none"/>
              </w:rPr>
            </w:pPr>
          </w:p>
        </w:tc>
      </w:tr>
      <w:tr w14:paraId="6D51A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39963F5">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4FB562D">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FD39086">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81E42F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.反应塔内筒清灰；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8911A9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208F98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E366F55">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1C1D2F9">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BD656A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1A86C03">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C0AAD92">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624842A">
            <w:pPr>
              <w:spacing w:line="240" w:lineRule="auto"/>
              <w:jc w:val="center"/>
              <w:rPr>
                <w:rFonts w:hint="eastAsia" w:ascii="宋体" w:hAnsi="宋体" w:eastAsia="宋体" w:cs="宋体"/>
                <w:i w:val="0"/>
                <w:iCs w:val="0"/>
                <w:color w:val="auto"/>
                <w:sz w:val="21"/>
                <w:szCs w:val="21"/>
                <w:highlight w:val="none"/>
                <w:u w:val="none"/>
              </w:rPr>
            </w:pPr>
          </w:p>
        </w:tc>
      </w:tr>
      <w:tr w14:paraId="5D69B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939B6AA">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733D6912">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4F4C6C6F">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2E269FB">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.反应塔内部搭钢管架；</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ED4A9F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61578D1">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89CFBA7">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132B6C1">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4218C39">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895E34C">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440CDD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4AB1735">
            <w:pPr>
              <w:spacing w:line="240" w:lineRule="auto"/>
              <w:jc w:val="center"/>
              <w:rPr>
                <w:rFonts w:hint="eastAsia" w:ascii="宋体" w:hAnsi="宋体" w:eastAsia="宋体" w:cs="宋体"/>
                <w:i w:val="0"/>
                <w:iCs w:val="0"/>
                <w:color w:val="auto"/>
                <w:sz w:val="21"/>
                <w:szCs w:val="21"/>
                <w:highlight w:val="none"/>
                <w:u w:val="none"/>
              </w:rPr>
            </w:pPr>
          </w:p>
        </w:tc>
      </w:tr>
      <w:tr w14:paraId="53454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323210A">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039054BC">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DA127B2">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145BDCC">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.雾化盘更换；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D8C718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C16197E">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CE90328">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4D11030">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00FB41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3D24DA4">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16400B67">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127C4D9">
            <w:pPr>
              <w:spacing w:line="240" w:lineRule="auto"/>
              <w:jc w:val="center"/>
              <w:rPr>
                <w:rFonts w:hint="eastAsia" w:ascii="宋体" w:hAnsi="宋体" w:eastAsia="宋体" w:cs="宋体"/>
                <w:i w:val="0"/>
                <w:iCs w:val="0"/>
                <w:color w:val="auto"/>
                <w:sz w:val="21"/>
                <w:szCs w:val="21"/>
                <w:highlight w:val="none"/>
                <w:u w:val="none"/>
              </w:rPr>
            </w:pPr>
          </w:p>
        </w:tc>
      </w:tr>
      <w:tr w14:paraId="1034D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65D9CE56">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B7FDC86">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65137678">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0EB3116">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.刮板机链条更换；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776EDB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25B6F7F">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FA70DF1">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C853796">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413B3DF7">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6817B64">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5C4EC3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8769311">
            <w:pPr>
              <w:spacing w:line="240" w:lineRule="auto"/>
              <w:jc w:val="center"/>
              <w:rPr>
                <w:rFonts w:hint="eastAsia" w:ascii="宋体" w:hAnsi="宋体" w:eastAsia="宋体" w:cs="宋体"/>
                <w:i w:val="0"/>
                <w:iCs w:val="0"/>
                <w:color w:val="auto"/>
                <w:sz w:val="21"/>
                <w:szCs w:val="21"/>
                <w:highlight w:val="none"/>
                <w:u w:val="none"/>
              </w:rPr>
            </w:pPr>
          </w:p>
        </w:tc>
      </w:tr>
      <w:tr w14:paraId="6CEA1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B642F9E">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E66F394">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98639E3">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1BA2B04">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.刮板机耐磨条更换；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127DCC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397637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EF9472C">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CF9CD3E">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B93E23F">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42CE466">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3E1FD3B">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F8124BC">
            <w:pPr>
              <w:spacing w:line="240" w:lineRule="auto"/>
              <w:jc w:val="center"/>
              <w:rPr>
                <w:rFonts w:hint="eastAsia" w:ascii="宋体" w:hAnsi="宋体" w:eastAsia="宋体" w:cs="宋体"/>
                <w:i w:val="0"/>
                <w:iCs w:val="0"/>
                <w:color w:val="auto"/>
                <w:sz w:val="21"/>
                <w:szCs w:val="21"/>
                <w:highlight w:val="none"/>
                <w:u w:val="none"/>
              </w:rPr>
            </w:pPr>
          </w:p>
        </w:tc>
      </w:tr>
      <w:tr w14:paraId="1BE46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FD0DD91">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E7C6066">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978BBDF">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DBA674B">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.刮板机头轮及轴承更换（仅换轴承按50%计）；</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38486B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AE9F881">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F85A8A2">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9348929">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8D15C0A">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4487959">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9E3AD95">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E554B21">
            <w:pPr>
              <w:spacing w:line="240" w:lineRule="auto"/>
              <w:jc w:val="center"/>
              <w:rPr>
                <w:rFonts w:hint="eastAsia" w:ascii="宋体" w:hAnsi="宋体" w:eastAsia="宋体" w:cs="宋体"/>
                <w:i w:val="0"/>
                <w:iCs w:val="0"/>
                <w:color w:val="auto"/>
                <w:sz w:val="21"/>
                <w:szCs w:val="21"/>
                <w:highlight w:val="none"/>
                <w:u w:val="none"/>
              </w:rPr>
            </w:pPr>
          </w:p>
        </w:tc>
      </w:tr>
      <w:tr w14:paraId="0090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38B4449A">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5AE8E6C0">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FE14C2B">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A454CCE">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70</w:t>
            </w:r>
            <w:r>
              <w:rPr>
                <w:rFonts w:hint="eastAsia" w:ascii="宋体" w:hAnsi="宋体" w:eastAsia="宋体" w:cs="宋体"/>
                <w:i w:val="0"/>
                <w:iCs w:val="0"/>
                <w:color w:val="auto"/>
                <w:kern w:val="0"/>
                <w:sz w:val="21"/>
                <w:szCs w:val="21"/>
                <w:highlight w:val="none"/>
                <w:u w:val="none"/>
                <w:lang w:val="en-US" w:eastAsia="zh-CN" w:bidi="ar"/>
              </w:rPr>
              <w:t>.刮板机尾轮及轴承更换（仅换轴承按50%计）；</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5FBDE9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F42A137">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A84CC98">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D9FA098">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738AB6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850233B">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46F3442">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4715247">
            <w:pPr>
              <w:spacing w:line="240" w:lineRule="auto"/>
              <w:jc w:val="center"/>
              <w:rPr>
                <w:rFonts w:hint="eastAsia" w:ascii="宋体" w:hAnsi="宋体" w:eastAsia="宋体" w:cs="宋体"/>
                <w:i w:val="0"/>
                <w:iCs w:val="0"/>
                <w:color w:val="auto"/>
                <w:sz w:val="21"/>
                <w:szCs w:val="21"/>
                <w:highlight w:val="none"/>
                <w:u w:val="none"/>
              </w:rPr>
            </w:pPr>
          </w:p>
        </w:tc>
      </w:tr>
      <w:tr w14:paraId="5A849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36BFE02">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752BAF3">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C7E82C3">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71E4E88">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71</w:t>
            </w:r>
            <w:r>
              <w:rPr>
                <w:rFonts w:hint="eastAsia" w:ascii="宋体" w:hAnsi="宋体" w:eastAsia="宋体" w:cs="宋体"/>
                <w:i w:val="0"/>
                <w:iCs w:val="0"/>
                <w:color w:val="auto"/>
                <w:kern w:val="0"/>
                <w:sz w:val="21"/>
                <w:szCs w:val="21"/>
                <w:highlight w:val="none"/>
                <w:u w:val="none"/>
                <w:lang w:val="en-US" w:eastAsia="zh-CN" w:bidi="ar"/>
              </w:rPr>
              <w:t>.卸灰阀整体更换；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012FB8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5F65D7E">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70C4A10">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1A0EE8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C2CA5E6">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BA547F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BF54937">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179F4B1">
            <w:pPr>
              <w:spacing w:line="240" w:lineRule="auto"/>
              <w:jc w:val="center"/>
              <w:rPr>
                <w:rFonts w:hint="eastAsia" w:ascii="宋体" w:hAnsi="宋体" w:eastAsia="宋体" w:cs="宋体"/>
                <w:i w:val="0"/>
                <w:iCs w:val="0"/>
                <w:color w:val="auto"/>
                <w:sz w:val="21"/>
                <w:szCs w:val="21"/>
                <w:highlight w:val="none"/>
                <w:u w:val="none"/>
              </w:rPr>
            </w:pPr>
          </w:p>
        </w:tc>
      </w:tr>
      <w:tr w14:paraId="56EE8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365100D9">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D3359B8">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3BDF8D7">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7568FCA">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.破碎机整体更换；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B85042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1486CD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FA76C34">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7F5CA2F">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60AE6A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5EA8E6C">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A83F1BB">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A68AC3F">
            <w:pPr>
              <w:spacing w:line="240" w:lineRule="auto"/>
              <w:jc w:val="center"/>
              <w:rPr>
                <w:rFonts w:hint="eastAsia" w:ascii="宋体" w:hAnsi="宋体" w:eastAsia="宋体" w:cs="宋体"/>
                <w:i w:val="0"/>
                <w:iCs w:val="0"/>
                <w:color w:val="auto"/>
                <w:sz w:val="21"/>
                <w:szCs w:val="21"/>
                <w:highlight w:val="none"/>
                <w:u w:val="none"/>
              </w:rPr>
            </w:pPr>
          </w:p>
        </w:tc>
      </w:tr>
      <w:tr w14:paraId="12FFB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4495D64">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D54481F">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66B01DA0">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398146A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.破碎机轴承更换；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3AABE9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E0FD6C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9C565C6">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D39C4E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C073991">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AA5966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F0D4879">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19F4638">
            <w:pPr>
              <w:spacing w:line="240" w:lineRule="auto"/>
              <w:jc w:val="center"/>
              <w:rPr>
                <w:rFonts w:hint="eastAsia" w:ascii="宋体" w:hAnsi="宋体" w:eastAsia="宋体" w:cs="宋体"/>
                <w:i w:val="0"/>
                <w:iCs w:val="0"/>
                <w:color w:val="auto"/>
                <w:sz w:val="21"/>
                <w:szCs w:val="21"/>
                <w:highlight w:val="none"/>
                <w:u w:val="none"/>
              </w:rPr>
            </w:pPr>
          </w:p>
        </w:tc>
      </w:tr>
      <w:tr w14:paraId="533A9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E4F19EB">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075C0B7">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F04D54F">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7D87E9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.减速机更换；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879D37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CB92DF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207FAC4">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F6CDD73">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EF72593">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5B9B0D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9FC034B">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D6C06E0">
            <w:pPr>
              <w:spacing w:line="240" w:lineRule="auto"/>
              <w:jc w:val="center"/>
              <w:rPr>
                <w:rFonts w:hint="eastAsia" w:ascii="宋体" w:hAnsi="宋体" w:eastAsia="宋体" w:cs="宋体"/>
                <w:i w:val="0"/>
                <w:iCs w:val="0"/>
                <w:color w:val="auto"/>
                <w:sz w:val="21"/>
                <w:szCs w:val="21"/>
                <w:highlight w:val="none"/>
                <w:u w:val="none"/>
              </w:rPr>
            </w:pPr>
          </w:p>
        </w:tc>
      </w:tr>
      <w:tr w14:paraId="21209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4B80E37">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AE28731">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006342F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布袋除尘器</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081F1C4">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.更换布袋笼骨（含布袋间距调整）；</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F98606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元/套</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084967D">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33C8E85">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2FB2363">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E4FFD2D">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0C68AA6">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BA5F323">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FF13E24">
            <w:pPr>
              <w:spacing w:line="240" w:lineRule="auto"/>
              <w:jc w:val="center"/>
              <w:rPr>
                <w:rFonts w:hint="eastAsia" w:ascii="宋体" w:hAnsi="宋体" w:eastAsia="宋体" w:cs="宋体"/>
                <w:i w:val="0"/>
                <w:iCs w:val="0"/>
                <w:color w:val="auto"/>
                <w:sz w:val="21"/>
                <w:szCs w:val="21"/>
                <w:highlight w:val="none"/>
                <w:u w:val="none"/>
              </w:rPr>
            </w:pPr>
          </w:p>
        </w:tc>
      </w:tr>
      <w:tr w14:paraId="494EA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CC807C5">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4810A40D">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6D912C0">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F6E4C1A">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.清洁室重做防腐；（按防腐面积比例结算）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9AD537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0A2A06D">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51DC813">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8C80F9E">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A9D36FD">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BA3672E">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364CA77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A35ACF4">
            <w:pPr>
              <w:spacing w:line="240" w:lineRule="auto"/>
              <w:jc w:val="center"/>
              <w:rPr>
                <w:rFonts w:hint="eastAsia" w:ascii="宋体" w:hAnsi="宋体" w:eastAsia="宋体" w:cs="宋体"/>
                <w:i w:val="0"/>
                <w:iCs w:val="0"/>
                <w:color w:val="auto"/>
                <w:sz w:val="21"/>
                <w:szCs w:val="21"/>
                <w:highlight w:val="none"/>
                <w:u w:val="none"/>
              </w:rPr>
            </w:pPr>
          </w:p>
        </w:tc>
      </w:tr>
      <w:tr w14:paraId="74266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8DF638A">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512D44EC">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638E5DA">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1BD688B8">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.烟道内部重做防腐；（按防腐面积比例结算）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AD2360C">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EE25D8C">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3E5E665">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3B6BF13">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973F2FD">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1994277">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0786BFF8">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07F3FAA8">
            <w:pPr>
              <w:spacing w:line="240" w:lineRule="auto"/>
              <w:jc w:val="center"/>
              <w:rPr>
                <w:rFonts w:hint="eastAsia" w:ascii="宋体" w:hAnsi="宋体" w:eastAsia="宋体" w:cs="宋体"/>
                <w:i w:val="0"/>
                <w:iCs w:val="0"/>
                <w:color w:val="auto"/>
                <w:sz w:val="21"/>
                <w:szCs w:val="21"/>
                <w:highlight w:val="none"/>
                <w:u w:val="none"/>
              </w:rPr>
            </w:pPr>
          </w:p>
        </w:tc>
      </w:tr>
      <w:tr w14:paraId="0BA87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F6FD115">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02FE4E4">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8227BF2">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8352D23">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.脉冲阀膜片更换；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799194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AAA58FC">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29BFB36">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102EB3C">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3ED803F">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232EA9E">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A738864">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3C0E282">
            <w:pPr>
              <w:spacing w:line="240" w:lineRule="auto"/>
              <w:jc w:val="center"/>
              <w:rPr>
                <w:rFonts w:hint="eastAsia" w:ascii="宋体" w:hAnsi="宋体" w:eastAsia="宋体" w:cs="宋体"/>
                <w:i w:val="0"/>
                <w:iCs w:val="0"/>
                <w:color w:val="auto"/>
                <w:sz w:val="21"/>
                <w:szCs w:val="21"/>
                <w:highlight w:val="none"/>
                <w:u w:val="none"/>
              </w:rPr>
            </w:pPr>
          </w:p>
        </w:tc>
      </w:tr>
      <w:tr w14:paraId="3022A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3623F0FF">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56CFB73D">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1D8125B5">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6E62077">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、密封板下保温棉更换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84A3325">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元/仓</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8873DF1">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2320A3C">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48833A2A">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C0DFE48">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7150D33">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EE440DE">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6E087FA">
            <w:pPr>
              <w:spacing w:line="240" w:lineRule="auto"/>
              <w:jc w:val="center"/>
              <w:rPr>
                <w:rFonts w:hint="eastAsia" w:ascii="宋体" w:hAnsi="宋体" w:eastAsia="宋体" w:cs="宋体"/>
                <w:i w:val="0"/>
                <w:iCs w:val="0"/>
                <w:color w:val="auto"/>
                <w:sz w:val="21"/>
                <w:szCs w:val="21"/>
                <w:highlight w:val="none"/>
                <w:u w:val="none"/>
              </w:rPr>
            </w:pPr>
          </w:p>
        </w:tc>
      </w:tr>
      <w:tr w14:paraId="746BD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E4E3EDF">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0A03DA0A">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8A864D6">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7C65ED7">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80</w:t>
            </w:r>
            <w:r>
              <w:rPr>
                <w:rFonts w:hint="eastAsia" w:ascii="宋体" w:hAnsi="宋体" w:eastAsia="宋体" w:cs="宋体"/>
                <w:i w:val="0"/>
                <w:iCs w:val="0"/>
                <w:color w:val="auto"/>
                <w:kern w:val="0"/>
                <w:sz w:val="21"/>
                <w:szCs w:val="21"/>
                <w:highlight w:val="none"/>
                <w:u w:val="none"/>
                <w:lang w:val="en-US" w:eastAsia="zh-CN" w:bidi="ar"/>
              </w:rPr>
              <w:t>.气动阀更换；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EC8035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525EDD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835431E">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DEAAB3A">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BD70191">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62A8573">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1F20528">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73BEDA2">
            <w:pPr>
              <w:spacing w:line="240" w:lineRule="auto"/>
              <w:jc w:val="center"/>
              <w:rPr>
                <w:rFonts w:hint="eastAsia" w:ascii="宋体" w:hAnsi="宋体" w:eastAsia="宋体" w:cs="宋体"/>
                <w:i w:val="0"/>
                <w:iCs w:val="0"/>
                <w:color w:val="auto"/>
                <w:sz w:val="21"/>
                <w:szCs w:val="21"/>
                <w:highlight w:val="none"/>
                <w:u w:val="none"/>
              </w:rPr>
            </w:pPr>
          </w:p>
        </w:tc>
      </w:tr>
      <w:tr w14:paraId="5AEE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E62F30B">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5E4B5AAD">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F1C2E06">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956F6A6">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81</w:t>
            </w:r>
            <w:r>
              <w:rPr>
                <w:rFonts w:hint="eastAsia" w:ascii="宋体" w:hAnsi="宋体" w:eastAsia="宋体" w:cs="宋体"/>
                <w:i w:val="0"/>
                <w:iCs w:val="0"/>
                <w:color w:val="auto"/>
                <w:kern w:val="0"/>
                <w:sz w:val="21"/>
                <w:szCs w:val="21"/>
                <w:highlight w:val="none"/>
                <w:u w:val="none"/>
                <w:lang w:val="en-US" w:eastAsia="zh-CN" w:bidi="ar"/>
              </w:rPr>
              <w:t>.卸灰阀整体更换；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6B8598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54B54F9">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2F87445">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D1D59AD">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E3172F7">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5949691">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26EDD4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73F62D29">
            <w:pPr>
              <w:spacing w:line="240" w:lineRule="auto"/>
              <w:jc w:val="center"/>
              <w:rPr>
                <w:rFonts w:hint="eastAsia" w:ascii="宋体" w:hAnsi="宋体" w:eastAsia="宋体" w:cs="宋体"/>
                <w:i w:val="0"/>
                <w:iCs w:val="0"/>
                <w:color w:val="auto"/>
                <w:sz w:val="21"/>
                <w:szCs w:val="21"/>
                <w:highlight w:val="none"/>
                <w:u w:val="none"/>
              </w:rPr>
            </w:pPr>
          </w:p>
        </w:tc>
      </w:tr>
      <w:tr w14:paraId="3D415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74449DEE">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4015153C">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B11711C">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61BAFD9">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.提升阀及清洁仓盖板密封垫更换；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3B582D7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元/个</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CEEA0C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C4591F3">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5C91ADD">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EB2C1E5">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6FF95CD">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012D967C">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86C9CB8">
            <w:pPr>
              <w:spacing w:line="240" w:lineRule="auto"/>
              <w:jc w:val="center"/>
              <w:rPr>
                <w:rFonts w:hint="eastAsia" w:ascii="宋体" w:hAnsi="宋体" w:eastAsia="宋体" w:cs="宋体"/>
                <w:i w:val="0"/>
                <w:iCs w:val="0"/>
                <w:color w:val="auto"/>
                <w:sz w:val="21"/>
                <w:szCs w:val="21"/>
                <w:highlight w:val="none"/>
                <w:u w:val="none"/>
              </w:rPr>
            </w:pPr>
          </w:p>
        </w:tc>
      </w:tr>
      <w:tr w14:paraId="7FC2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1C006EE">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460663F1">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D3FA0D3">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4B2AA27">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.刮板机链条更换；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38C212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71FAB1B">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D2FD8FD">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EDEB500">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21B90A6">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6543693">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2A80962">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04E09A5">
            <w:pPr>
              <w:spacing w:line="240" w:lineRule="auto"/>
              <w:jc w:val="center"/>
              <w:rPr>
                <w:rFonts w:hint="eastAsia" w:ascii="宋体" w:hAnsi="宋体" w:eastAsia="宋体" w:cs="宋体"/>
                <w:i w:val="0"/>
                <w:iCs w:val="0"/>
                <w:color w:val="auto"/>
                <w:sz w:val="21"/>
                <w:szCs w:val="21"/>
                <w:highlight w:val="none"/>
                <w:u w:val="none"/>
              </w:rPr>
            </w:pPr>
          </w:p>
        </w:tc>
      </w:tr>
      <w:tr w14:paraId="3F8BF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52F4669">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5C2C63A">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33249BC">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6C69E1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.刮板机耐磨条更换；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B259EA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A1F6FC0">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2875340">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F59954F">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9AB57CB">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089C6FF">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68BF93B9">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263971C">
            <w:pPr>
              <w:spacing w:line="240" w:lineRule="auto"/>
              <w:jc w:val="center"/>
              <w:rPr>
                <w:rFonts w:hint="eastAsia" w:ascii="宋体" w:hAnsi="宋体" w:eastAsia="宋体" w:cs="宋体"/>
                <w:i w:val="0"/>
                <w:iCs w:val="0"/>
                <w:color w:val="auto"/>
                <w:sz w:val="21"/>
                <w:szCs w:val="21"/>
                <w:highlight w:val="none"/>
                <w:u w:val="none"/>
              </w:rPr>
            </w:pPr>
          </w:p>
        </w:tc>
      </w:tr>
      <w:tr w14:paraId="07B6D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669231AD">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536DA80E">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269CBA2D">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21B6948">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.刮板机头轮及轴承更换</w:t>
            </w:r>
            <w:r>
              <w:rPr>
                <w:rFonts w:hint="eastAsia" w:ascii="宋体" w:hAnsi="宋体" w:eastAsia="宋体" w:cs="宋体"/>
                <w:i w:val="0"/>
                <w:color w:val="auto"/>
                <w:kern w:val="0"/>
                <w:sz w:val="21"/>
                <w:szCs w:val="21"/>
                <w:highlight w:val="none"/>
                <w:u w:val="none"/>
                <w:lang w:val="en-US" w:eastAsia="zh-CN" w:bidi="ar"/>
              </w:rPr>
              <w:t>（仅换轴承按50%计）</w:t>
            </w:r>
            <w:r>
              <w:rPr>
                <w:rFonts w:hint="eastAsia" w:ascii="宋体" w:hAnsi="宋体" w:eastAsia="宋体" w:cs="宋体"/>
                <w:i w:val="0"/>
                <w:iCs w:val="0"/>
                <w:color w:val="auto"/>
                <w:kern w:val="0"/>
                <w:sz w:val="21"/>
                <w:szCs w:val="21"/>
                <w:highlight w:val="none"/>
                <w:u w:val="none"/>
                <w:lang w:val="en-US" w:eastAsia="zh-CN" w:bidi="ar"/>
              </w:rPr>
              <w:t>；</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8FAE50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5A45677">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83D0FED">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B701AD7">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D839B7A">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56CF19D">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4B9C5CF">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1DD034F">
            <w:pPr>
              <w:spacing w:line="240" w:lineRule="auto"/>
              <w:jc w:val="center"/>
              <w:rPr>
                <w:rFonts w:hint="eastAsia" w:ascii="宋体" w:hAnsi="宋体" w:eastAsia="宋体" w:cs="宋体"/>
                <w:i w:val="0"/>
                <w:iCs w:val="0"/>
                <w:color w:val="auto"/>
                <w:sz w:val="21"/>
                <w:szCs w:val="21"/>
                <w:highlight w:val="none"/>
                <w:u w:val="none"/>
              </w:rPr>
            </w:pPr>
          </w:p>
        </w:tc>
      </w:tr>
      <w:tr w14:paraId="1B983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4090B4D">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D5AC98E">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3D29DA94">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6E22E60D">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.刮板机尾轮及轴承更换</w:t>
            </w:r>
            <w:r>
              <w:rPr>
                <w:rFonts w:hint="eastAsia" w:ascii="宋体" w:hAnsi="宋体" w:eastAsia="宋体" w:cs="宋体"/>
                <w:i w:val="0"/>
                <w:color w:val="auto"/>
                <w:kern w:val="0"/>
                <w:sz w:val="21"/>
                <w:szCs w:val="21"/>
                <w:highlight w:val="none"/>
                <w:u w:val="none"/>
                <w:lang w:val="en-US" w:eastAsia="zh-CN" w:bidi="ar"/>
              </w:rPr>
              <w:t>（仅换轴承按50%计）</w:t>
            </w:r>
            <w:r>
              <w:rPr>
                <w:rFonts w:hint="eastAsia" w:ascii="宋体" w:hAnsi="宋体" w:eastAsia="宋体" w:cs="宋体"/>
                <w:i w:val="0"/>
                <w:iCs w:val="0"/>
                <w:color w:val="auto"/>
                <w:kern w:val="0"/>
                <w:sz w:val="21"/>
                <w:szCs w:val="21"/>
                <w:highlight w:val="none"/>
                <w:u w:val="none"/>
                <w:lang w:val="en-US" w:eastAsia="zh-CN" w:bidi="ar"/>
              </w:rPr>
              <w:t>；</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0D48FE4">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B80DC56">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D3206F9">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660B2DF">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1657153">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0C5C4386">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C077BD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A0E21D2">
            <w:pPr>
              <w:spacing w:line="240" w:lineRule="auto"/>
              <w:jc w:val="center"/>
              <w:rPr>
                <w:rFonts w:hint="eastAsia" w:ascii="宋体" w:hAnsi="宋体" w:eastAsia="宋体" w:cs="宋体"/>
                <w:i w:val="0"/>
                <w:iCs w:val="0"/>
                <w:color w:val="auto"/>
                <w:sz w:val="21"/>
                <w:szCs w:val="21"/>
                <w:highlight w:val="none"/>
                <w:u w:val="none"/>
              </w:rPr>
            </w:pPr>
          </w:p>
        </w:tc>
      </w:tr>
      <w:tr w14:paraId="01759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6C085E53">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5B70922B">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75B7E421">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32B8A29">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.减速机更换；</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E23D85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元/组</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57821CBE">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48D452CB">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F46B4D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1F9E8A05">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6FA83FD">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B804EE6">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70B2800">
            <w:pPr>
              <w:spacing w:line="240" w:lineRule="auto"/>
              <w:jc w:val="center"/>
              <w:rPr>
                <w:rFonts w:hint="eastAsia" w:ascii="宋体" w:hAnsi="宋体" w:eastAsia="宋体" w:cs="宋体"/>
                <w:i w:val="0"/>
                <w:iCs w:val="0"/>
                <w:color w:val="auto"/>
                <w:sz w:val="21"/>
                <w:szCs w:val="21"/>
                <w:highlight w:val="none"/>
                <w:u w:val="none"/>
              </w:rPr>
            </w:pPr>
          </w:p>
        </w:tc>
      </w:tr>
      <w:tr w14:paraId="2642D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72ACA9C">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2F1F6158">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76EB86C0">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湿法系统</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083573B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.开内部检查、管道检查、喷嘴装复；</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3FC676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AD3BDF1">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9DD9490">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6DC2A57">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9E9647A">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1CA5950">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FE603CF">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E86D51F">
            <w:pPr>
              <w:spacing w:line="240" w:lineRule="auto"/>
              <w:jc w:val="center"/>
              <w:rPr>
                <w:rFonts w:hint="eastAsia" w:ascii="宋体" w:hAnsi="宋体" w:eastAsia="宋体" w:cs="宋体"/>
                <w:i w:val="0"/>
                <w:iCs w:val="0"/>
                <w:color w:val="auto"/>
                <w:sz w:val="21"/>
                <w:szCs w:val="21"/>
                <w:highlight w:val="none"/>
                <w:u w:val="none"/>
              </w:rPr>
            </w:pPr>
          </w:p>
        </w:tc>
      </w:tr>
      <w:tr w14:paraId="3EB5F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152A14E7">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72180EC0">
            <w:pPr>
              <w:spacing w:line="240" w:lineRule="auto"/>
              <w:jc w:val="both"/>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192D0165">
            <w:pPr>
              <w:spacing w:line="240" w:lineRule="auto"/>
              <w:jc w:val="left"/>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6B621E2">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r>
              <w:rPr>
                <w:rFonts w:hint="eastAsia" w:ascii="宋体" w:hAnsi="宋体" w:cs="宋体"/>
                <w:i w:val="0"/>
                <w:iCs w:val="0"/>
                <w:color w:val="auto"/>
                <w:kern w:val="0"/>
                <w:sz w:val="21"/>
                <w:szCs w:val="21"/>
                <w:highlight w:val="none"/>
                <w:u w:val="none"/>
                <w:lang w:val="en-US" w:eastAsia="zh-CN" w:bidi="ar"/>
              </w:rPr>
              <w:t>9</w:t>
            </w:r>
            <w:r>
              <w:rPr>
                <w:rFonts w:hint="eastAsia" w:ascii="宋体" w:hAnsi="宋体" w:eastAsia="宋体" w:cs="宋体"/>
                <w:i w:val="0"/>
                <w:iCs w:val="0"/>
                <w:color w:val="auto"/>
                <w:kern w:val="0"/>
                <w:sz w:val="21"/>
                <w:szCs w:val="21"/>
                <w:highlight w:val="none"/>
                <w:u w:val="none"/>
                <w:lang w:val="en-US" w:eastAsia="zh-CN" w:bidi="ar"/>
              </w:rPr>
              <w:t>.板式换热器清洗；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702A0E7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元/台</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61D1ADC">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56B2A14B">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6F0220AD">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EAEF3E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77B3DBA">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7A0A45F">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2780A4B6">
            <w:pPr>
              <w:spacing w:line="240" w:lineRule="auto"/>
              <w:jc w:val="center"/>
              <w:rPr>
                <w:rFonts w:hint="eastAsia" w:ascii="宋体" w:hAnsi="宋体" w:eastAsia="宋体" w:cs="宋体"/>
                <w:i w:val="0"/>
                <w:iCs w:val="0"/>
                <w:color w:val="auto"/>
                <w:sz w:val="21"/>
                <w:szCs w:val="21"/>
                <w:highlight w:val="none"/>
                <w:u w:val="none"/>
              </w:rPr>
            </w:pPr>
          </w:p>
        </w:tc>
      </w:tr>
      <w:tr w14:paraId="40E74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F8CE72D">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3C644EF4">
            <w:pPr>
              <w:spacing w:line="240" w:lineRule="auto"/>
              <w:jc w:val="both"/>
              <w:rPr>
                <w:rFonts w:hint="eastAsia" w:ascii="宋体" w:hAnsi="宋体" w:eastAsia="宋体" w:cs="宋体"/>
                <w:i w:val="0"/>
                <w:iCs w:val="0"/>
                <w:color w:val="auto"/>
                <w:sz w:val="21"/>
                <w:szCs w:val="21"/>
                <w:highlight w:val="none"/>
                <w:u w:val="none"/>
              </w:rPr>
            </w:pPr>
          </w:p>
        </w:tc>
        <w:tc>
          <w:tcPr>
            <w:tcW w:w="760" w:type="dxa"/>
            <w:tcBorders>
              <w:top w:val="nil"/>
              <w:left w:val="single" w:color="000000" w:sz="8" w:space="0"/>
              <w:bottom w:val="single" w:color="000000" w:sz="8" w:space="0"/>
              <w:right w:val="single" w:color="000000" w:sz="8" w:space="0"/>
            </w:tcBorders>
            <w:shd w:val="clear" w:color="auto" w:fill="auto"/>
            <w:vAlign w:val="center"/>
          </w:tcPr>
          <w:p w14:paraId="725D68EE">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GGH1/GGH2</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A28C4E3">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90</w:t>
            </w:r>
            <w:r>
              <w:rPr>
                <w:rFonts w:hint="eastAsia" w:ascii="宋体" w:hAnsi="宋体" w:eastAsia="宋体" w:cs="宋体"/>
                <w:i w:val="0"/>
                <w:iCs w:val="0"/>
                <w:color w:val="auto"/>
                <w:kern w:val="0"/>
                <w:sz w:val="21"/>
                <w:szCs w:val="21"/>
                <w:highlight w:val="none"/>
                <w:u w:val="none"/>
                <w:lang w:val="en-US" w:eastAsia="zh-CN" w:bidi="ar"/>
              </w:rPr>
              <w:t>.开人孔内部检查、清理积灰；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0BD5CC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4268AADB">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EB08BCE">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5B12679">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FDC18EE">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7B1043FB">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C02EE11">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031799D">
            <w:pPr>
              <w:spacing w:line="240" w:lineRule="auto"/>
              <w:jc w:val="center"/>
              <w:rPr>
                <w:rFonts w:hint="eastAsia" w:ascii="宋体" w:hAnsi="宋体" w:eastAsia="宋体" w:cs="宋体"/>
                <w:i w:val="0"/>
                <w:iCs w:val="0"/>
                <w:color w:val="auto"/>
                <w:sz w:val="21"/>
                <w:szCs w:val="21"/>
                <w:highlight w:val="none"/>
                <w:u w:val="none"/>
              </w:rPr>
            </w:pPr>
          </w:p>
        </w:tc>
      </w:tr>
      <w:tr w14:paraId="763AC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3EF8A25C">
            <w:pPr>
              <w:spacing w:line="240" w:lineRule="auto"/>
              <w:jc w:val="both"/>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969228D">
            <w:pPr>
              <w:spacing w:line="240" w:lineRule="auto"/>
              <w:jc w:val="both"/>
              <w:rPr>
                <w:rFonts w:hint="eastAsia" w:ascii="宋体" w:hAnsi="宋体" w:eastAsia="宋体" w:cs="宋体"/>
                <w:i w:val="0"/>
                <w:iCs w:val="0"/>
                <w:color w:val="auto"/>
                <w:sz w:val="21"/>
                <w:szCs w:val="21"/>
                <w:highlight w:val="none"/>
                <w:u w:val="none"/>
              </w:rPr>
            </w:pPr>
          </w:p>
        </w:tc>
        <w:tc>
          <w:tcPr>
            <w:tcW w:w="760" w:type="dxa"/>
            <w:tcBorders>
              <w:top w:val="nil"/>
              <w:left w:val="single" w:color="000000" w:sz="8" w:space="0"/>
              <w:bottom w:val="single" w:color="000000" w:sz="8" w:space="0"/>
              <w:right w:val="single" w:color="000000" w:sz="8" w:space="0"/>
            </w:tcBorders>
            <w:shd w:val="clear" w:color="auto" w:fill="auto"/>
            <w:vAlign w:val="center"/>
          </w:tcPr>
          <w:p w14:paraId="57298A39">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SCR系统</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0A2DC18">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91</w:t>
            </w:r>
            <w:r>
              <w:rPr>
                <w:rFonts w:hint="eastAsia" w:ascii="宋体" w:hAnsi="宋体" w:eastAsia="宋体" w:cs="宋体"/>
                <w:i w:val="0"/>
                <w:iCs w:val="0"/>
                <w:color w:val="auto"/>
                <w:kern w:val="0"/>
                <w:sz w:val="21"/>
                <w:szCs w:val="21"/>
                <w:highlight w:val="none"/>
                <w:u w:val="none"/>
                <w:lang w:val="en-US" w:eastAsia="zh-CN" w:bidi="ar"/>
              </w:rPr>
              <w:t>.SCR设备系统开人孔检查、清理积灰检查。密封风机加热器检查维护、保养。</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A0108D1">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17B8832E">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72F42002">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5DBA3892">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BC90EA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1FBFE454">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2B6C38B">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F5AA658">
            <w:pPr>
              <w:spacing w:line="240" w:lineRule="auto"/>
              <w:jc w:val="center"/>
              <w:rPr>
                <w:rFonts w:hint="eastAsia" w:ascii="宋体" w:hAnsi="宋体" w:eastAsia="宋体" w:cs="宋体"/>
                <w:i w:val="0"/>
                <w:iCs w:val="0"/>
                <w:color w:val="auto"/>
                <w:sz w:val="21"/>
                <w:szCs w:val="21"/>
                <w:highlight w:val="none"/>
                <w:u w:val="none"/>
              </w:rPr>
            </w:pPr>
          </w:p>
        </w:tc>
      </w:tr>
      <w:tr w14:paraId="1D864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restart"/>
            <w:tcBorders>
              <w:top w:val="nil"/>
              <w:left w:val="single" w:color="000000" w:sz="8" w:space="0"/>
              <w:bottom w:val="single" w:color="000000" w:sz="8" w:space="0"/>
              <w:right w:val="single" w:color="000000" w:sz="8" w:space="0"/>
            </w:tcBorders>
            <w:shd w:val="clear" w:color="auto" w:fill="auto"/>
            <w:vAlign w:val="center"/>
          </w:tcPr>
          <w:p w14:paraId="7549013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四</w:t>
            </w:r>
          </w:p>
        </w:tc>
        <w:tc>
          <w:tcPr>
            <w:tcW w:w="724" w:type="dxa"/>
            <w:vMerge w:val="restart"/>
            <w:tcBorders>
              <w:top w:val="nil"/>
              <w:left w:val="single" w:color="000000" w:sz="8" w:space="0"/>
              <w:bottom w:val="single" w:color="000000" w:sz="8" w:space="0"/>
              <w:right w:val="single" w:color="000000" w:sz="8" w:space="0"/>
            </w:tcBorders>
            <w:shd w:val="clear" w:color="auto" w:fill="auto"/>
            <w:vAlign w:val="center"/>
          </w:tcPr>
          <w:p w14:paraId="7AEE882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烟风系统</w:t>
            </w:r>
          </w:p>
        </w:tc>
        <w:tc>
          <w:tcPr>
            <w:tcW w:w="760" w:type="dxa"/>
            <w:tcBorders>
              <w:top w:val="nil"/>
              <w:left w:val="single" w:color="000000" w:sz="8" w:space="0"/>
              <w:bottom w:val="single" w:color="000000" w:sz="8" w:space="0"/>
              <w:right w:val="single" w:color="000000" w:sz="8" w:space="0"/>
            </w:tcBorders>
            <w:shd w:val="clear" w:color="auto" w:fill="auto"/>
            <w:vAlign w:val="center"/>
          </w:tcPr>
          <w:p w14:paraId="1199BBEA">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其它</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5D4AA043">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.烟风系统中所有跑冒滴漏处理；</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0C60FFA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208CF59A">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E5D6D9F">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376BAD44">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2170750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AE4B85B">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0DC1135">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181A8DC1">
            <w:pPr>
              <w:spacing w:line="240" w:lineRule="auto"/>
              <w:jc w:val="center"/>
              <w:rPr>
                <w:rFonts w:hint="eastAsia" w:ascii="宋体" w:hAnsi="宋体" w:eastAsia="宋体" w:cs="宋体"/>
                <w:i w:val="0"/>
                <w:iCs w:val="0"/>
                <w:color w:val="auto"/>
                <w:sz w:val="21"/>
                <w:szCs w:val="21"/>
                <w:highlight w:val="none"/>
                <w:u w:val="none"/>
              </w:rPr>
            </w:pPr>
          </w:p>
        </w:tc>
      </w:tr>
      <w:tr w14:paraId="5D69D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FDA3600">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322F082C">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restart"/>
            <w:tcBorders>
              <w:top w:val="nil"/>
              <w:left w:val="single" w:color="000000" w:sz="8" w:space="0"/>
              <w:bottom w:val="single" w:color="000000" w:sz="8" w:space="0"/>
              <w:right w:val="single" w:color="000000" w:sz="8" w:space="0"/>
            </w:tcBorders>
            <w:shd w:val="clear" w:color="auto" w:fill="auto"/>
            <w:vAlign w:val="center"/>
          </w:tcPr>
          <w:p w14:paraId="7AAB26FB">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各类风机</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D4DC11D">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.靠背轮中心复查并重新调整；</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0D4A1A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元/台</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3D75C5F">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2C16B2D3">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520CDE4">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7980FC1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3927C48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2AD9D54">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336E96B5">
            <w:pPr>
              <w:spacing w:line="240" w:lineRule="auto"/>
              <w:jc w:val="center"/>
              <w:rPr>
                <w:rFonts w:hint="eastAsia" w:ascii="宋体" w:hAnsi="宋体" w:eastAsia="宋体" w:cs="宋体"/>
                <w:i w:val="0"/>
                <w:iCs w:val="0"/>
                <w:color w:val="auto"/>
                <w:sz w:val="21"/>
                <w:szCs w:val="21"/>
                <w:highlight w:val="none"/>
                <w:u w:val="none"/>
              </w:rPr>
            </w:pPr>
          </w:p>
        </w:tc>
      </w:tr>
      <w:tr w14:paraId="0A74D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0305C882">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1DD48106">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58E91201">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970E161">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.各类风机更换主轴承（引风机除外）；</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DC99FDD">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元/台</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6A25D48A">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0626C505">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3C9A05B">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86A7510">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22B3089">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1DF9B1E">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8666392">
            <w:pPr>
              <w:spacing w:line="240" w:lineRule="auto"/>
              <w:jc w:val="center"/>
              <w:rPr>
                <w:rFonts w:hint="eastAsia" w:ascii="宋体" w:hAnsi="宋体" w:eastAsia="宋体" w:cs="宋体"/>
                <w:i w:val="0"/>
                <w:iCs w:val="0"/>
                <w:color w:val="auto"/>
                <w:sz w:val="21"/>
                <w:szCs w:val="21"/>
                <w:highlight w:val="none"/>
                <w:u w:val="none"/>
              </w:rPr>
            </w:pPr>
          </w:p>
        </w:tc>
      </w:tr>
      <w:tr w14:paraId="4D45B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51A4BE10">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0FBEC0EC">
            <w:pPr>
              <w:spacing w:line="240" w:lineRule="auto"/>
              <w:jc w:val="center"/>
              <w:rPr>
                <w:rFonts w:hint="eastAsia" w:ascii="宋体" w:hAnsi="宋体" w:eastAsia="宋体" w:cs="宋体"/>
                <w:i w:val="0"/>
                <w:iCs w:val="0"/>
                <w:color w:val="auto"/>
                <w:sz w:val="21"/>
                <w:szCs w:val="21"/>
                <w:highlight w:val="none"/>
                <w:u w:val="none"/>
              </w:rPr>
            </w:pPr>
          </w:p>
        </w:tc>
        <w:tc>
          <w:tcPr>
            <w:tcW w:w="760" w:type="dxa"/>
            <w:vMerge w:val="continue"/>
            <w:tcBorders>
              <w:top w:val="nil"/>
              <w:left w:val="single" w:color="000000" w:sz="8" w:space="0"/>
              <w:bottom w:val="single" w:color="000000" w:sz="8" w:space="0"/>
              <w:right w:val="single" w:color="000000" w:sz="8" w:space="0"/>
            </w:tcBorders>
            <w:shd w:val="clear" w:color="auto" w:fill="auto"/>
            <w:vAlign w:val="center"/>
          </w:tcPr>
          <w:p w14:paraId="0A9E9820">
            <w:pPr>
              <w:spacing w:line="240" w:lineRule="auto"/>
              <w:jc w:val="center"/>
              <w:rPr>
                <w:rFonts w:hint="eastAsia" w:ascii="宋体" w:hAnsi="宋体" w:eastAsia="宋体" w:cs="宋体"/>
                <w:i w:val="0"/>
                <w:iCs w:val="0"/>
                <w:color w:val="auto"/>
                <w:sz w:val="21"/>
                <w:szCs w:val="21"/>
                <w:highlight w:val="none"/>
                <w:u w:val="none"/>
              </w:rPr>
            </w:pP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7429CE4">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r>
              <w:rPr>
                <w:rFonts w:hint="eastAsia" w:ascii="宋体" w:hAnsi="宋体" w:cs="宋体"/>
                <w:i w:val="0"/>
                <w:iCs w:val="0"/>
                <w:color w:val="auto"/>
                <w:kern w:val="0"/>
                <w:sz w:val="21"/>
                <w:szCs w:val="21"/>
                <w:highlight w:val="none"/>
                <w:u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.引风机更换主轴承；</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44B5D0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元/台</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1056FDF">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0B5F70B">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75DCFF6E">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6C4F773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42E59EF5">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10BB1E0A">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562980A">
            <w:pPr>
              <w:spacing w:line="240" w:lineRule="auto"/>
              <w:jc w:val="center"/>
              <w:rPr>
                <w:rFonts w:hint="eastAsia" w:ascii="宋体" w:hAnsi="宋体" w:eastAsia="宋体" w:cs="宋体"/>
                <w:i w:val="0"/>
                <w:iCs w:val="0"/>
                <w:color w:val="auto"/>
                <w:sz w:val="21"/>
                <w:szCs w:val="21"/>
                <w:highlight w:val="none"/>
                <w:u w:val="none"/>
              </w:rPr>
            </w:pPr>
          </w:p>
        </w:tc>
      </w:tr>
      <w:tr w14:paraId="731C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 w:hRule="atLeast"/>
        </w:trPr>
        <w:tc>
          <w:tcPr>
            <w:tcW w:w="650" w:type="dxa"/>
            <w:vMerge w:val="restart"/>
            <w:tcBorders>
              <w:top w:val="nil"/>
              <w:left w:val="single" w:color="000000" w:sz="8" w:space="0"/>
              <w:bottom w:val="single" w:color="000000" w:sz="8" w:space="0"/>
              <w:right w:val="single" w:color="000000" w:sz="8" w:space="0"/>
            </w:tcBorders>
            <w:shd w:val="clear" w:color="auto" w:fill="auto"/>
            <w:vAlign w:val="center"/>
          </w:tcPr>
          <w:p w14:paraId="4F5B6A62">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五</w:t>
            </w:r>
          </w:p>
        </w:tc>
        <w:tc>
          <w:tcPr>
            <w:tcW w:w="724" w:type="dxa"/>
            <w:vMerge w:val="restart"/>
            <w:tcBorders>
              <w:top w:val="nil"/>
              <w:left w:val="single" w:color="000000" w:sz="8" w:space="0"/>
              <w:bottom w:val="single" w:color="000000" w:sz="8" w:space="0"/>
              <w:right w:val="single" w:color="000000" w:sz="8" w:space="0"/>
            </w:tcBorders>
            <w:shd w:val="clear" w:color="auto" w:fill="auto"/>
            <w:vAlign w:val="center"/>
          </w:tcPr>
          <w:p w14:paraId="6CC9B82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保温防腐</w:t>
            </w:r>
          </w:p>
        </w:tc>
        <w:tc>
          <w:tcPr>
            <w:tcW w:w="760" w:type="dxa"/>
            <w:tcBorders>
              <w:top w:val="nil"/>
              <w:left w:val="single" w:color="000000" w:sz="8" w:space="0"/>
              <w:bottom w:val="single" w:color="000000" w:sz="8" w:space="0"/>
              <w:right w:val="single" w:color="000000" w:sz="8" w:space="0"/>
            </w:tcBorders>
            <w:shd w:val="clear" w:color="auto" w:fill="auto"/>
            <w:vAlign w:val="center"/>
          </w:tcPr>
          <w:p w14:paraId="38F78B6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修补保温</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2A5EC39C">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r>
              <w:rPr>
                <w:rFonts w:hint="eastAsia" w:ascii="宋体" w:hAnsi="宋体" w:cs="宋体"/>
                <w:i w:val="0"/>
                <w:iCs w:val="0"/>
                <w:color w:val="auto"/>
                <w:kern w:val="0"/>
                <w:sz w:val="21"/>
                <w:szCs w:val="21"/>
                <w:highlight w:val="none"/>
                <w:u w:val="none"/>
                <w:lang w:val="en-US" w:eastAsia="zh-CN" w:bidi="ar"/>
              </w:rPr>
              <w:t>6</w:t>
            </w:r>
            <w:r>
              <w:rPr>
                <w:rFonts w:hint="eastAsia" w:ascii="宋体" w:hAnsi="宋体" w:eastAsia="宋体" w:cs="宋体"/>
                <w:i w:val="0"/>
                <w:iCs w:val="0"/>
                <w:color w:val="auto"/>
                <w:kern w:val="0"/>
                <w:sz w:val="21"/>
                <w:szCs w:val="21"/>
                <w:highlight w:val="none"/>
                <w:u w:val="none"/>
                <w:lang w:val="en-US" w:eastAsia="zh-CN" w:bidi="ar"/>
              </w:rPr>
              <w:t>.修补保温；</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65C00E3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0AF5EC45">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155FAB8B">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2260827C">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66F4349">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D1FF2E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251F3E8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7BB1973">
            <w:pPr>
              <w:spacing w:line="240" w:lineRule="auto"/>
              <w:jc w:val="center"/>
              <w:rPr>
                <w:rFonts w:hint="eastAsia" w:ascii="宋体" w:hAnsi="宋体" w:eastAsia="宋体" w:cs="宋体"/>
                <w:i w:val="0"/>
                <w:iCs w:val="0"/>
                <w:color w:val="auto"/>
                <w:sz w:val="21"/>
                <w:szCs w:val="21"/>
                <w:highlight w:val="none"/>
                <w:u w:val="none"/>
              </w:rPr>
            </w:pPr>
          </w:p>
        </w:tc>
      </w:tr>
      <w:tr w14:paraId="4B3C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23A4DF6A">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4ABED27A">
            <w:pPr>
              <w:spacing w:line="240" w:lineRule="auto"/>
              <w:jc w:val="center"/>
              <w:rPr>
                <w:rFonts w:hint="eastAsia" w:ascii="宋体" w:hAnsi="宋体" w:eastAsia="宋体" w:cs="宋体"/>
                <w:i w:val="0"/>
                <w:iCs w:val="0"/>
                <w:color w:val="auto"/>
                <w:sz w:val="21"/>
                <w:szCs w:val="21"/>
                <w:highlight w:val="none"/>
                <w:u w:val="none"/>
              </w:rPr>
            </w:pPr>
          </w:p>
        </w:tc>
        <w:tc>
          <w:tcPr>
            <w:tcW w:w="760" w:type="dxa"/>
            <w:tcBorders>
              <w:top w:val="nil"/>
              <w:left w:val="single" w:color="000000" w:sz="8" w:space="0"/>
              <w:bottom w:val="single" w:color="000000" w:sz="8" w:space="0"/>
              <w:right w:val="single" w:color="000000" w:sz="8" w:space="0"/>
            </w:tcBorders>
            <w:shd w:val="clear" w:color="auto" w:fill="auto"/>
            <w:vAlign w:val="center"/>
          </w:tcPr>
          <w:p w14:paraId="5ECA6618">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补刷残缺油漆</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0CD133BF">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r>
              <w:rPr>
                <w:rFonts w:hint="eastAsia" w:ascii="宋体" w:hAnsi="宋体" w:cs="宋体"/>
                <w:i w:val="0"/>
                <w:iCs w:val="0"/>
                <w:color w:val="auto"/>
                <w:kern w:val="0"/>
                <w:sz w:val="21"/>
                <w:szCs w:val="21"/>
                <w:highlight w:val="none"/>
                <w:u w:val="none"/>
                <w:lang w:val="en-US" w:eastAsia="zh-CN" w:bidi="ar"/>
              </w:rPr>
              <w:t>7</w:t>
            </w:r>
            <w:r>
              <w:rPr>
                <w:rFonts w:hint="eastAsia" w:ascii="宋体" w:hAnsi="宋体" w:eastAsia="宋体" w:cs="宋体"/>
                <w:i w:val="0"/>
                <w:iCs w:val="0"/>
                <w:color w:val="auto"/>
                <w:kern w:val="0"/>
                <w:sz w:val="21"/>
                <w:szCs w:val="21"/>
                <w:highlight w:val="none"/>
                <w:u w:val="none"/>
                <w:lang w:val="en-US" w:eastAsia="zh-CN" w:bidi="ar"/>
              </w:rPr>
              <w:t>.补刷残缺油漆；</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24BCBA0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286F9B8">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259E654">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E438DE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054CBDB6">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2AB7C0E2">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758683C0">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5864040C">
            <w:pPr>
              <w:spacing w:line="240" w:lineRule="auto"/>
              <w:jc w:val="center"/>
              <w:rPr>
                <w:rFonts w:hint="eastAsia" w:ascii="宋体" w:hAnsi="宋体" w:eastAsia="宋体" w:cs="宋体"/>
                <w:i w:val="0"/>
                <w:iCs w:val="0"/>
                <w:color w:val="auto"/>
                <w:sz w:val="21"/>
                <w:szCs w:val="21"/>
                <w:highlight w:val="none"/>
                <w:u w:val="none"/>
              </w:rPr>
            </w:pPr>
          </w:p>
        </w:tc>
      </w:tr>
      <w:tr w14:paraId="47909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4" w:hRule="atLeast"/>
        </w:trPr>
        <w:tc>
          <w:tcPr>
            <w:tcW w:w="650" w:type="dxa"/>
            <w:vMerge w:val="restart"/>
            <w:tcBorders>
              <w:top w:val="nil"/>
              <w:left w:val="single" w:color="000000" w:sz="8" w:space="0"/>
              <w:bottom w:val="single" w:color="000000" w:sz="8" w:space="0"/>
              <w:right w:val="single" w:color="000000" w:sz="8" w:space="0"/>
            </w:tcBorders>
            <w:shd w:val="clear" w:color="auto" w:fill="auto"/>
            <w:vAlign w:val="center"/>
          </w:tcPr>
          <w:p w14:paraId="71DA888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六</w:t>
            </w:r>
          </w:p>
        </w:tc>
        <w:tc>
          <w:tcPr>
            <w:tcW w:w="724" w:type="dxa"/>
            <w:vMerge w:val="restart"/>
            <w:tcBorders>
              <w:top w:val="nil"/>
              <w:left w:val="single" w:color="000000" w:sz="8" w:space="0"/>
              <w:bottom w:val="single" w:color="000000" w:sz="8" w:space="0"/>
              <w:right w:val="single" w:color="000000" w:sz="8" w:space="0"/>
            </w:tcBorders>
            <w:shd w:val="clear" w:color="auto" w:fill="auto"/>
            <w:vAlign w:val="center"/>
          </w:tcPr>
          <w:p w14:paraId="47D7D2D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检查门</w:t>
            </w:r>
          </w:p>
        </w:tc>
        <w:tc>
          <w:tcPr>
            <w:tcW w:w="760" w:type="dxa"/>
            <w:tcBorders>
              <w:top w:val="nil"/>
              <w:left w:val="single" w:color="000000" w:sz="8" w:space="0"/>
              <w:bottom w:val="single" w:color="000000" w:sz="8" w:space="0"/>
              <w:right w:val="single" w:color="000000" w:sz="8" w:space="0"/>
            </w:tcBorders>
            <w:shd w:val="clear" w:color="auto" w:fill="auto"/>
            <w:vAlign w:val="center"/>
          </w:tcPr>
          <w:p w14:paraId="260DCF3D">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腐蚀严重的门类更换或修复，按实际发生结算</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0D43DB58">
            <w:pPr>
              <w:keepNext w:val="0"/>
              <w:keepLines w:val="0"/>
              <w:widowControl/>
              <w:suppressLineNumbers w:val="0"/>
              <w:spacing w:line="240" w:lineRule="auto"/>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r>
              <w:rPr>
                <w:rFonts w:hint="eastAsia" w:ascii="宋体" w:hAnsi="宋体" w:cs="宋体"/>
                <w:i w:val="0"/>
                <w:iCs w:val="0"/>
                <w:color w:val="auto"/>
                <w:kern w:val="0"/>
                <w:sz w:val="21"/>
                <w:szCs w:val="21"/>
                <w:highlight w:val="none"/>
                <w:u w:val="none"/>
                <w:lang w:val="en-US" w:eastAsia="zh-CN" w:bidi="ar"/>
              </w:rPr>
              <w:t>8</w:t>
            </w:r>
            <w:r>
              <w:rPr>
                <w:rFonts w:hint="eastAsia" w:ascii="宋体" w:hAnsi="宋体" w:eastAsia="宋体" w:cs="宋体"/>
                <w:i w:val="0"/>
                <w:iCs w:val="0"/>
                <w:color w:val="auto"/>
                <w:kern w:val="0"/>
                <w:sz w:val="21"/>
                <w:szCs w:val="21"/>
                <w:highlight w:val="none"/>
                <w:u w:val="none"/>
                <w:lang w:val="en-US" w:eastAsia="zh-CN" w:bidi="ar"/>
              </w:rPr>
              <w:t>.腐蚀严重的门类更换或修复，按实际发生结算；</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1B30654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元/扇门</w:t>
            </w:r>
          </w:p>
        </w:tc>
        <w:tc>
          <w:tcPr>
            <w:tcW w:w="673" w:type="dxa"/>
            <w:tcBorders>
              <w:top w:val="nil"/>
              <w:left w:val="single" w:color="000000" w:sz="8" w:space="0"/>
              <w:bottom w:val="single" w:color="auto" w:sz="4" w:space="0"/>
              <w:right w:val="single" w:color="000000" w:sz="8" w:space="0"/>
            </w:tcBorders>
            <w:shd w:val="clear" w:color="auto" w:fill="auto"/>
            <w:vAlign w:val="center"/>
          </w:tcPr>
          <w:p w14:paraId="2D8B30B9">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auto" w:sz="4" w:space="0"/>
              <w:right w:val="single" w:color="000000" w:sz="8" w:space="0"/>
            </w:tcBorders>
            <w:shd w:val="clear" w:color="auto" w:fill="auto"/>
            <w:vAlign w:val="center"/>
          </w:tcPr>
          <w:p w14:paraId="7076220C">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auto" w:sz="4" w:space="0"/>
              <w:right w:val="single" w:color="000000" w:sz="8" w:space="0"/>
            </w:tcBorders>
            <w:shd w:val="clear" w:color="auto" w:fill="auto"/>
            <w:vAlign w:val="center"/>
          </w:tcPr>
          <w:p w14:paraId="4824610E">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auto" w:sz="4" w:space="0"/>
              <w:right w:val="single" w:color="000000" w:sz="8" w:space="0"/>
            </w:tcBorders>
            <w:shd w:val="clear" w:color="auto" w:fill="auto"/>
            <w:vAlign w:val="center"/>
          </w:tcPr>
          <w:p w14:paraId="345EEA0F">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auto" w:sz="4" w:space="0"/>
              <w:right w:val="single" w:color="000000" w:sz="8" w:space="0"/>
            </w:tcBorders>
            <w:shd w:val="clear" w:color="auto" w:fill="auto"/>
            <w:vAlign w:val="center"/>
          </w:tcPr>
          <w:p w14:paraId="47352CB3">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auto" w:sz="4" w:space="0"/>
              <w:right w:val="single" w:color="000000" w:sz="8" w:space="0"/>
            </w:tcBorders>
            <w:shd w:val="clear" w:color="auto" w:fill="auto"/>
            <w:vAlign w:val="center"/>
          </w:tcPr>
          <w:p w14:paraId="7CA16B0A">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auto" w:sz="4" w:space="0"/>
              <w:right w:val="single" w:color="000000" w:sz="8" w:space="0"/>
            </w:tcBorders>
            <w:shd w:val="clear" w:color="auto" w:fill="auto"/>
            <w:vAlign w:val="center"/>
          </w:tcPr>
          <w:p w14:paraId="754A8F8C">
            <w:pPr>
              <w:spacing w:line="240" w:lineRule="auto"/>
              <w:jc w:val="center"/>
              <w:rPr>
                <w:rFonts w:hint="eastAsia" w:ascii="宋体" w:hAnsi="宋体" w:eastAsia="宋体" w:cs="宋体"/>
                <w:i w:val="0"/>
                <w:iCs w:val="0"/>
                <w:color w:val="auto"/>
                <w:sz w:val="21"/>
                <w:szCs w:val="21"/>
                <w:highlight w:val="none"/>
                <w:u w:val="none"/>
              </w:rPr>
            </w:pPr>
          </w:p>
        </w:tc>
      </w:tr>
      <w:tr w14:paraId="6EAEF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 w:hRule="atLeast"/>
        </w:trPr>
        <w:tc>
          <w:tcPr>
            <w:tcW w:w="650" w:type="dxa"/>
            <w:vMerge w:val="restart"/>
            <w:tcBorders>
              <w:top w:val="nil"/>
              <w:left w:val="single" w:color="000000" w:sz="8" w:space="0"/>
              <w:bottom w:val="single" w:color="000000" w:sz="8" w:space="0"/>
              <w:right w:val="single" w:color="000000" w:sz="8" w:space="0"/>
            </w:tcBorders>
            <w:shd w:val="clear" w:color="auto" w:fill="auto"/>
            <w:vAlign w:val="center"/>
          </w:tcPr>
          <w:p w14:paraId="63D4F525">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w:t>
            </w:r>
          </w:p>
        </w:tc>
        <w:tc>
          <w:tcPr>
            <w:tcW w:w="724" w:type="dxa"/>
            <w:vMerge w:val="restart"/>
            <w:tcBorders>
              <w:top w:val="nil"/>
              <w:left w:val="single" w:color="000000" w:sz="8" w:space="0"/>
              <w:bottom w:val="single" w:color="000000" w:sz="8" w:space="0"/>
              <w:right w:val="single" w:color="000000" w:sz="8" w:space="0"/>
            </w:tcBorders>
            <w:shd w:val="clear" w:color="auto" w:fill="auto"/>
            <w:vAlign w:val="center"/>
          </w:tcPr>
          <w:p w14:paraId="1BC44CAA">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清灰及放灰</w:t>
            </w:r>
          </w:p>
        </w:tc>
        <w:tc>
          <w:tcPr>
            <w:tcW w:w="760" w:type="dxa"/>
            <w:tcBorders>
              <w:top w:val="nil"/>
              <w:left w:val="single" w:color="000000" w:sz="8" w:space="0"/>
              <w:bottom w:val="single" w:color="000000" w:sz="8" w:space="0"/>
              <w:right w:val="single" w:color="000000" w:sz="8" w:space="0"/>
            </w:tcBorders>
            <w:shd w:val="clear" w:color="auto" w:fill="auto"/>
            <w:vAlign w:val="center"/>
          </w:tcPr>
          <w:p w14:paraId="6B0360E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受热面清灰</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3894654">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9</w:t>
            </w:r>
            <w:r>
              <w:rPr>
                <w:rFonts w:hint="eastAsia" w:ascii="宋体" w:hAnsi="宋体" w:cs="宋体"/>
                <w:i w:val="0"/>
                <w:iCs w:val="0"/>
                <w:color w:val="auto"/>
                <w:sz w:val="21"/>
                <w:szCs w:val="21"/>
                <w:highlight w:val="none"/>
                <w:u w:val="none"/>
                <w:lang w:val="en-US" w:eastAsia="zh-CN"/>
              </w:rPr>
              <w:t>9</w:t>
            </w:r>
            <w:r>
              <w:rPr>
                <w:rFonts w:hint="eastAsia" w:ascii="宋体" w:hAnsi="宋体" w:eastAsia="宋体" w:cs="宋体"/>
                <w:i w:val="0"/>
                <w:iCs w:val="0"/>
                <w:color w:val="auto"/>
                <w:sz w:val="21"/>
                <w:szCs w:val="21"/>
                <w:highlight w:val="none"/>
                <w:u w:val="none"/>
              </w:rPr>
              <w:t>.受热面（1、2、3烟道，水平烟道、空预器）清灰及放灰；一通道</w:t>
            </w:r>
            <w:r>
              <w:rPr>
                <w:rFonts w:hint="eastAsia" w:ascii="宋体" w:hAnsi="宋体" w:cs="宋体"/>
                <w:i w:val="0"/>
                <w:iCs w:val="0"/>
                <w:color w:val="auto"/>
                <w:sz w:val="21"/>
                <w:szCs w:val="21"/>
                <w:highlight w:val="none"/>
                <w:u w:val="none"/>
                <w:lang w:eastAsia="zh-CN"/>
              </w:rPr>
              <w:t>具备机械清焦作业设备及能力</w:t>
            </w:r>
            <w:r>
              <w:rPr>
                <w:rFonts w:hint="eastAsia" w:ascii="宋体" w:hAnsi="宋体" w:cs="宋体"/>
                <w:i w:val="0"/>
                <w:color w:val="auto"/>
                <w:kern w:val="0"/>
                <w:sz w:val="21"/>
                <w:szCs w:val="21"/>
                <w:highlight w:val="none"/>
                <w:u w:val="none"/>
                <w:lang w:val="en-US" w:eastAsia="zh-CN" w:bidi="ar"/>
              </w:rPr>
              <w:t>（按甲方指令选择清焦方式）</w:t>
            </w:r>
            <w:r>
              <w:rPr>
                <w:rFonts w:hint="eastAsia" w:ascii="宋体" w:hAnsi="宋体" w:eastAsia="宋体" w:cs="宋体"/>
                <w:i w:val="0"/>
                <w:iCs w:val="0"/>
                <w:color w:val="auto"/>
                <w:sz w:val="21"/>
                <w:szCs w:val="21"/>
                <w:highlight w:val="none"/>
                <w:u w:val="none"/>
              </w:rPr>
              <w:t>。</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B4D4B8F">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元/烟道</w:t>
            </w:r>
          </w:p>
        </w:tc>
        <w:tc>
          <w:tcPr>
            <w:tcW w:w="673" w:type="dxa"/>
            <w:tcBorders>
              <w:top w:val="single" w:color="auto" w:sz="4" w:space="0"/>
              <w:left w:val="single" w:color="000000" w:sz="8" w:space="0"/>
              <w:bottom w:val="single" w:color="000000" w:sz="8" w:space="0"/>
              <w:right w:val="single" w:color="000000" w:sz="8" w:space="0"/>
            </w:tcBorders>
            <w:shd w:val="clear" w:color="auto" w:fill="auto"/>
            <w:vAlign w:val="center"/>
          </w:tcPr>
          <w:p w14:paraId="3A201FAA">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single" w:color="auto" w:sz="4" w:space="0"/>
              <w:left w:val="single" w:color="000000" w:sz="8" w:space="0"/>
              <w:bottom w:val="single" w:color="000000" w:sz="8" w:space="0"/>
              <w:right w:val="single" w:color="000000" w:sz="8" w:space="0"/>
            </w:tcBorders>
            <w:shd w:val="clear" w:color="auto" w:fill="auto"/>
            <w:vAlign w:val="center"/>
          </w:tcPr>
          <w:p w14:paraId="7A14DBBF">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single" w:color="auto" w:sz="4" w:space="0"/>
              <w:left w:val="single" w:color="000000" w:sz="8" w:space="0"/>
              <w:bottom w:val="single" w:color="000000" w:sz="8" w:space="0"/>
              <w:right w:val="single" w:color="000000" w:sz="8" w:space="0"/>
            </w:tcBorders>
            <w:shd w:val="clear" w:color="auto" w:fill="auto"/>
            <w:vAlign w:val="center"/>
          </w:tcPr>
          <w:p w14:paraId="03306394">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single" w:color="auto" w:sz="4" w:space="0"/>
              <w:left w:val="single" w:color="000000" w:sz="8" w:space="0"/>
              <w:bottom w:val="single" w:color="000000" w:sz="8" w:space="0"/>
              <w:right w:val="single" w:color="000000" w:sz="8" w:space="0"/>
            </w:tcBorders>
            <w:shd w:val="clear" w:color="auto" w:fill="auto"/>
            <w:vAlign w:val="center"/>
          </w:tcPr>
          <w:p w14:paraId="749BEF2F">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single" w:color="auto" w:sz="4" w:space="0"/>
              <w:left w:val="single" w:color="000000" w:sz="8" w:space="0"/>
              <w:bottom w:val="single" w:color="000000" w:sz="8" w:space="0"/>
              <w:right w:val="single" w:color="000000" w:sz="8" w:space="0"/>
            </w:tcBorders>
            <w:shd w:val="clear" w:color="auto" w:fill="auto"/>
            <w:vAlign w:val="center"/>
          </w:tcPr>
          <w:p w14:paraId="58D8965C">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single" w:color="auto" w:sz="4" w:space="0"/>
              <w:left w:val="single" w:color="000000" w:sz="8" w:space="0"/>
              <w:bottom w:val="single" w:color="000000" w:sz="8" w:space="0"/>
              <w:right w:val="single" w:color="000000" w:sz="8" w:space="0"/>
            </w:tcBorders>
            <w:shd w:val="clear" w:color="auto" w:fill="auto"/>
            <w:vAlign w:val="center"/>
          </w:tcPr>
          <w:p w14:paraId="47327467">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single" w:color="auto" w:sz="4" w:space="0"/>
              <w:left w:val="single" w:color="000000" w:sz="8" w:space="0"/>
              <w:bottom w:val="single" w:color="000000" w:sz="8" w:space="0"/>
              <w:right w:val="single" w:color="000000" w:sz="8" w:space="0"/>
            </w:tcBorders>
            <w:shd w:val="clear" w:color="auto" w:fill="auto"/>
            <w:vAlign w:val="center"/>
          </w:tcPr>
          <w:p w14:paraId="3E79C218">
            <w:pPr>
              <w:spacing w:line="240" w:lineRule="auto"/>
              <w:jc w:val="center"/>
              <w:rPr>
                <w:rFonts w:hint="eastAsia" w:ascii="宋体" w:hAnsi="宋体" w:eastAsia="宋体" w:cs="宋体"/>
                <w:i w:val="0"/>
                <w:iCs w:val="0"/>
                <w:color w:val="auto"/>
                <w:sz w:val="21"/>
                <w:szCs w:val="21"/>
                <w:highlight w:val="none"/>
                <w:u w:val="none"/>
              </w:rPr>
            </w:pPr>
          </w:p>
        </w:tc>
      </w:tr>
      <w:tr w14:paraId="60C72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1"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49DDB188">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6516166C">
            <w:pPr>
              <w:spacing w:line="240" w:lineRule="auto"/>
              <w:jc w:val="center"/>
              <w:rPr>
                <w:rFonts w:hint="eastAsia" w:ascii="宋体" w:hAnsi="宋体" w:eastAsia="宋体" w:cs="宋体"/>
                <w:i w:val="0"/>
                <w:iCs w:val="0"/>
                <w:color w:val="auto"/>
                <w:sz w:val="21"/>
                <w:szCs w:val="21"/>
                <w:highlight w:val="none"/>
                <w:u w:val="none"/>
              </w:rPr>
            </w:pPr>
          </w:p>
        </w:tc>
        <w:tc>
          <w:tcPr>
            <w:tcW w:w="760" w:type="dxa"/>
            <w:tcBorders>
              <w:top w:val="nil"/>
              <w:left w:val="single" w:color="000000" w:sz="8" w:space="0"/>
              <w:bottom w:val="single" w:color="000000" w:sz="8" w:space="0"/>
              <w:right w:val="single" w:color="000000" w:sz="8" w:space="0"/>
            </w:tcBorders>
            <w:shd w:val="clear" w:color="auto" w:fill="auto"/>
            <w:vAlign w:val="center"/>
          </w:tcPr>
          <w:p w14:paraId="692FD52E">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受热面喷砂</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4547A582">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100</w:t>
            </w:r>
            <w:r>
              <w:rPr>
                <w:rFonts w:hint="eastAsia" w:ascii="宋体" w:hAnsi="宋体" w:eastAsia="宋体" w:cs="宋体"/>
                <w:i w:val="0"/>
                <w:iCs w:val="0"/>
                <w:color w:val="auto"/>
                <w:kern w:val="0"/>
                <w:sz w:val="21"/>
                <w:szCs w:val="21"/>
                <w:highlight w:val="none"/>
                <w:u w:val="none"/>
                <w:lang w:val="en-US" w:eastAsia="zh-CN" w:bidi="ar"/>
              </w:rPr>
              <w:t>.受热面（1、2、3烟道，水平烟道、空预器）喷砂；</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439C7150">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元/烟道</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3006F1D8">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3F677172">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1C54DF5F">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3CB9F4B2">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69CA5D9D">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5A8CC5A4">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633DB1C5">
            <w:pPr>
              <w:spacing w:line="240" w:lineRule="auto"/>
              <w:jc w:val="center"/>
              <w:rPr>
                <w:rFonts w:hint="eastAsia" w:ascii="宋体" w:hAnsi="宋体" w:eastAsia="宋体" w:cs="宋体"/>
                <w:i w:val="0"/>
                <w:iCs w:val="0"/>
                <w:color w:val="auto"/>
                <w:sz w:val="21"/>
                <w:szCs w:val="21"/>
                <w:highlight w:val="none"/>
                <w:u w:val="none"/>
              </w:rPr>
            </w:pPr>
          </w:p>
        </w:tc>
      </w:tr>
      <w:tr w14:paraId="0A3C8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650" w:type="dxa"/>
            <w:vMerge w:val="continue"/>
            <w:tcBorders>
              <w:top w:val="nil"/>
              <w:left w:val="single" w:color="000000" w:sz="8" w:space="0"/>
              <w:bottom w:val="single" w:color="000000" w:sz="8" w:space="0"/>
              <w:right w:val="single" w:color="000000" w:sz="8" w:space="0"/>
            </w:tcBorders>
            <w:shd w:val="clear" w:color="auto" w:fill="auto"/>
            <w:vAlign w:val="center"/>
          </w:tcPr>
          <w:p w14:paraId="6F06ED51">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000000" w:sz="8" w:space="0"/>
              <w:right w:val="single" w:color="000000" w:sz="8" w:space="0"/>
            </w:tcBorders>
            <w:shd w:val="clear" w:color="auto" w:fill="auto"/>
            <w:vAlign w:val="center"/>
          </w:tcPr>
          <w:p w14:paraId="7CF4F7F1">
            <w:pPr>
              <w:spacing w:line="240" w:lineRule="auto"/>
              <w:jc w:val="center"/>
              <w:rPr>
                <w:rFonts w:hint="eastAsia" w:ascii="宋体" w:hAnsi="宋体" w:eastAsia="宋体" w:cs="宋体"/>
                <w:i w:val="0"/>
                <w:iCs w:val="0"/>
                <w:color w:val="auto"/>
                <w:sz w:val="21"/>
                <w:szCs w:val="21"/>
                <w:highlight w:val="none"/>
                <w:u w:val="none"/>
              </w:rPr>
            </w:pPr>
          </w:p>
        </w:tc>
        <w:tc>
          <w:tcPr>
            <w:tcW w:w="760" w:type="dxa"/>
            <w:tcBorders>
              <w:top w:val="nil"/>
              <w:left w:val="single" w:color="000000" w:sz="8" w:space="0"/>
              <w:bottom w:val="single" w:color="000000" w:sz="8" w:space="0"/>
              <w:right w:val="single" w:color="000000" w:sz="8" w:space="0"/>
            </w:tcBorders>
            <w:shd w:val="clear" w:color="auto" w:fill="auto"/>
            <w:vAlign w:val="center"/>
          </w:tcPr>
          <w:p w14:paraId="4ED2DD17">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反应塔锥斗、破碎机清灰及放灰</w:t>
            </w:r>
          </w:p>
        </w:tc>
        <w:tc>
          <w:tcPr>
            <w:tcW w:w="1785" w:type="dxa"/>
            <w:tcBorders>
              <w:top w:val="nil"/>
              <w:left w:val="single" w:color="000000" w:sz="8" w:space="0"/>
              <w:bottom w:val="single" w:color="000000" w:sz="8" w:space="0"/>
              <w:right w:val="single" w:color="000000" w:sz="8" w:space="0"/>
            </w:tcBorders>
            <w:shd w:val="clear" w:color="auto" w:fill="auto"/>
            <w:vAlign w:val="center"/>
          </w:tcPr>
          <w:p w14:paraId="7E10A9D5">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101</w:t>
            </w:r>
            <w:r>
              <w:rPr>
                <w:rFonts w:hint="eastAsia" w:ascii="宋体" w:hAnsi="宋体" w:eastAsia="宋体" w:cs="宋体"/>
                <w:i w:val="0"/>
                <w:iCs w:val="0"/>
                <w:color w:val="auto"/>
                <w:kern w:val="0"/>
                <w:sz w:val="21"/>
                <w:szCs w:val="21"/>
                <w:highlight w:val="none"/>
                <w:u w:val="none"/>
                <w:lang w:val="en-US" w:eastAsia="zh-CN" w:bidi="ar"/>
              </w:rPr>
              <w:t>.反应塔锥斗、破碎机清灰及放灰；</w:t>
            </w:r>
          </w:p>
        </w:tc>
        <w:tc>
          <w:tcPr>
            <w:tcW w:w="619" w:type="dxa"/>
            <w:tcBorders>
              <w:top w:val="nil"/>
              <w:left w:val="single" w:color="000000" w:sz="8" w:space="0"/>
              <w:bottom w:val="single" w:color="000000" w:sz="8" w:space="0"/>
              <w:right w:val="single" w:color="000000" w:sz="8" w:space="0"/>
            </w:tcBorders>
            <w:shd w:val="clear" w:color="auto" w:fill="auto"/>
            <w:vAlign w:val="center"/>
          </w:tcPr>
          <w:p w14:paraId="54499CF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000000" w:sz="8" w:space="0"/>
              <w:right w:val="single" w:color="000000" w:sz="8" w:space="0"/>
            </w:tcBorders>
            <w:shd w:val="clear" w:color="auto" w:fill="auto"/>
            <w:vAlign w:val="center"/>
          </w:tcPr>
          <w:p w14:paraId="75755B2F">
            <w:pPr>
              <w:spacing w:line="240" w:lineRule="auto"/>
              <w:jc w:val="center"/>
              <w:rPr>
                <w:rFonts w:hint="eastAsia" w:ascii="宋体" w:hAnsi="宋体" w:eastAsia="宋体" w:cs="宋体"/>
                <w:i w:val="0"/>
                <w:iCs w:val="0"/>
                <w:color w:val="auto"/>
                <w:sz w:val="21"/>
                <w:szCs w:val="21"/>
                <w:highlight w:val="none"/>
                <w:u w:val="none"/>
              </w:rPr>
            </w:pPr>
          </w:p>
        </w:tc>
        <w:tc>
          <w:tcPr>
            <w:tcW w:w="650" w:type="dxa"/>
            <w:tcBorders>
              <w:top w:val="nil"/>
              <w:left w:val="single" w:color="000000" w:sz="8" w:space="0"/>
              <w:bottom w:val="single" w:color="000000" w:sz="8" w:space="0"/>
              <w:right w:val="single" w:color="000000" w:sz="8" w:space="0"/>
            </w:tcBorders>
            <w:shd w:val="clear" w:color="auto" w:fill="auto"/>
            <w:vAlign w:val="center"/>
          </w:tcPr>
          <w:p w14:paraId="67728366">
            <w:pPr>
              <w:spacing w:line="240" w:lineRule="auto"/>
              <w:jc w:val="center"/>
              <w:rPr>
                <w:rFonts w:hint="eastAsia" w:ascii="宋体" w:hAnsi="宋体" w:eastAsia="宋体" w:cs="宋体"/>
                <w:i w:val="0"/>
                <w:iCs w:val="0"/>
                <w:color w:val="auto"/>
                <w:sz w:val="21"/>
                <w:szCs w:val="21"/>
                <w:highlight w:val="none"/>
                <w:u w:val="none"/>
              </w:rPr>
            </w:pPr>
          </w:p>
        </w:tc>
        <w:tc>
          <w:tcPr>
            <w:tcW w:w="596" w:type="dxa"/>
            <w:tcBorders>
              <w:top w:val="nil"/>
              <w:left w:val="single" w:color="000000" w:sz="8" w:space="0"/>
              <w:bottom w:val="single" w:color="000000" w:sz="8" w:space="0"/>
              <w:right w:val="single" w:color="000000" w:sz="8" w:space="0"/>
            </w:tcBorders>
            <w:shd w:val="clear" w:color="auto" w:fill="auto"/>
            <w:vAlign w:val="center"/>
          </w:tcPr>
          <w:p w14:paraId="08491015">
            <w:pPr>
              <w:spacing w:line="240" w:lineRule="auto"/>
              <w:jc w:val="center"/>
              <w:rPr>
                <w:rFonts w:hint="eastAsia" w:ascii="宋体" w:hAnsi="宋体" w:eastAsia="宋体" w:cs="宋体"/>
                <w:i w:val="0"/>
                <w:iCs w:val="0"/>
                <w:color w:val="auto"/>
                <w:sz w:val="21"/>
                <w:szCs w:val="21"/>
                <w:highlight w:val="none"/>
                <w:u w:val="none"/>
              </w:rPr>
            </w:pPr>
          </w:p>
        </w:tc>
        <w:tc>
          <w:tcPr>
            <w:tcW w:w="505" w:type="dxa"/>
            <w:tcBorders>
              <w:top w:val="nil"/>
              <w:left w:val="single" w:color="000000" w:sz="8" w:space="0"/>
              <w:bottom w:val="single" w:color="000000" w:sz="8" w:space="0"/>
              <w:right w:val="single" w:color="000000" w:sz="8" w:space="0"/>
            </w:tcBorders>
            <w:shd w:val="clear" w:color="auto" w:fill="auto"/>
            <w:vAlign w:val="center"/>
          </w:tcPr>
          <w:p w14:paraId="562A940D">
            <w:pPr>
              <w:spacing w:line="240" w:lineRule="auto"/>
              <w:jc w:val="center"/>
              <w:rPr>
                <w:rFonts w:hint="eastAsia" w:ascii="宋体" w:hAnsi="宋体" w:eastAsia="宋体" w:cs="宋体"/>
                <w:i w:val="0"/>
                <w:iCs w:val="0"/>
                <w:color w:val="auto"/>
                <w:sz w:val="21"/>
                <w:szCs w:val="21"/>
                <w:highlight w:val="none"/>
                <w:u w:val="none"/>
              </w:rPr>
            </w:pPr>
          </w:p>
        </w:tc>
        <w:tc>
          <w:tcPr>
            <w:tcW w:w="635" w:type="dxa"/>
            <w:tcBorders>
              <w:top w:val="nil"/>
              <w:left w:val="single" w:color="000000" w:sz="8" w:space="0"/>
              <w:bottom w:val="single" w:color="000000" w:sz="8" w:space="0"/>
              <w:right w:val="single" w:color="000000" w:sz="8" w:space="0"/>
            </w:tcBorders>
            <w:shd w:val="clear" w:color="auto" w:fill="auto"/>
            <w:vAlign w:val="center"/>
          </w:tcPr>
          <w:p w14:paraId="5F568F66">
            <w:pPr>
              <w:spacing w:line="240" w:lineRule="auto"/>
              <w:jc w:val="center"/>
              <w:rPr>
                <w:rFonts w:hint="eastAsia" w:ascii="宋体" w:hAnsi="宋体" w:eastAsia="宋体" w:cs="宋体"/>
                <w:i w:val="0"/>
                <w:iCs w:val="0"/>
                <w:color w:val="auto"/>
                <w:sz w:val="21"/>
                <w:szCs w:val="21"/>
                <w:highlight w:val="none"/>
                <w:u w:val="none"/>
              </w:rPr>
            </w:pPr>
          </w:p>
        </w:tc>
        <w:tc>
          <w:tcPr>
            <w:tcW w:w="475" w:type="dxa"/>
            <w:tcBorders>
              <w:top w:val="nil"/>
              <w:left w:val="single" w:color="000000" w:sz="8" w:space="0"/>
              <w:bottom w:val="single" w:color="000000" w:sz="8" w:space="0"/>
              <w:right w:val="single" w:color="000000" w:sz="8" w:space="0"/>
            </w:tcBorders>
            <w:shd w:val="clear" w:color="auto" w:fill="auto"/>
            <w:vAlign w:val="center"/>
          </w:tcPr>
          <w:p w14:paraId="4306864D">
            <w:pPr>
              <w:spacing w:line="240" w:lineRule="auto"/>
              <w:jc w:val="center"/>
              <w:rPr>
                <w:rFonts w:hint="eastAsia" w:ascii="宋体" w:hAnsi="宋体" w:eastAsia="宋体" w:cs="宋体"/>
                <w:i w:val="0"/>
                <w:iCs w:val="0"/>
                <w:color w:val="auto"/>
                <w:sz w:val="21"/>
                <w:szCs w:val="21"/>
                <w:highlight w:val="none"/>
                <w:u w:val="none"/>
              </w:rPr>
            </w:pPr>
          </w:p>
        </w:tc>
        <w:tc>
          <w:tcPr>
            <w:tcW w:w="521" w:type="dxa"/>
            <w:tcBorders>
              <w:top w:val="nil"/>
              <w:left w:val="single" w:color="000000" w:sz="8" w:space="0"/>
              <w:bottom w:val="single" w:color="000000" w:sz="8" w:space="0"/>
              <w:right w:val="single" w:color="000000" w:sz="8" w:space="0"/>
            </w:tcBorders>
            <w:shd w:val="clear" w:color="auto" w:fill="auto"/>
            <w:vAlign w:val="center"/>
          </w:tcPr>
          <w:p w14:paraId="4B9693C5">
            <w:pPr>
              <w:spacing w:line="240" w:lineRule="auto"/>
              <w:jc w:val="center"/>
              <w:rPr>
                <w:rFonts w:hint="eastAsia" w:ascii="宋体" w:hAnsi="宋体" w:eastAsia="宋体" w:cs="宋体"/>
                <w:i w:val="0"/>
                <w:iCs w:val="0"/>
                <w:color w:val="auto"/>
                <w:sz w:val="21"/>
                <w:szCs w:val="21"/>
                <w:highlight w:val="none"/>
                <w:u w:val="none"/>
              </w:rPr>
            </w:pPr>
          </w:p>
        </w:tc>
      </w:tr>
      <w:tr w14:paraId="33EF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650" w:type="dxa"/>
            <w:vMerge w:val="continue"/>
            <w:tcBorders>
              <w:top w:val="nil"/>
              <w:left w:val="single" w:color="000000" w:sz="8" w:space="0"/>
              <w:bottom w:val="single" w:color="auto" w:sz="4" w:space="0"/>
              <w:right w:val="single" w:color="000000" w:sz="8" w:space="0"/>
            </w:tcBorders>
            <w:shd w:val="clear" w:color="auto" w:fill="auto"/>
            <w:vAlign w:val="center"/>
          </w:tcPr>
          <w:p w14:paraId="03670583">
            <w:pPr>
              <w:spacing w:line="240" w:lineRule="auto"/>
              <w:jc w:val="center"/>
              <w:rPr>
                <w:rFonts w:hint="eastAsia" w:ascii="宋体" w:hAnsi="宋体" w:eastAsia="宋体" w:cs="宋体"/>
                <w:i w:val="0"/>
                <w:iCs w:val="0"/>
                <w:color w:val="auto"/>
                <w:sz w:val="21"/>
                <w:szCs w:val="21"/>
                <w:highlight w:val="none"/>
                <w:u w:val="none"/>
              </w:rPr>
            </w:pPr>
          </w:p>
        </w:tc>
        <w:tc>
          <w:tcPr>
            <w:tcW w:w="724" w:type="dxa"/>
            <w:vMerge w:val="continue"/>
            <w:tcBorders>
              <w:top w:val="nil"/>
              <w:left w:val="single" w:color="000000" w:sz="8" w:space="0"/>
              <w:bottom w:val="single" w:color="auto" w:sz="4" w:space="0"/>
              <w:right w:val="single" w:color="000000" w:sz="8" w:space="0"/>
            </w:tcBorders>
            <w:shd w:val="clear" w:color="auto" w:fill="auto"/>
            <w:vAlign w:val="center"/>
          </w:tcPr>
          <w:p w14:paraId="2BBDB5F5">
            <w:pPr>
              <w:spacing w:line="240" w:lineRule="auto"/>
              <w:jc w:val="center"/>
              <w:rPr>
                <w:rFonts w:hint="eastAsia" w:ascii="宋体" w:hAnsi="宋体" w:eastAsia="宋体" w:cs="宋体"/>
                <w:i w:val="0"/>
                <w:iCs w:val="0"/>
                <w:color w:val="auto"/>
                <w:sz w:val="21"/>
                <w:szCs w:val="21"/>
                <w:highlight w:val="none"/>
                <w:u w:val="none"/>
              </w:rPr>
            </w:pPr>
          </w:p>
        </w:tc>
        <w:tc>
          <w:tcPr>
            <w:tcW w:w="760" w:type="dxa"/>
            <w:tcBorders>
              <w:top w:val="nil"/>
              <w:left w:val="single" w:color="000000" w:sz="8" w:space="0"/>
              <w:bottom w:val="single" w:color="auto" w:sz="4" w:space="0"/>
              <w:right w:val="single" w:color="000000" w:sz="8" w:space="0"/>
            </w:tcBorders>
            <w:shd w:val="clear" w:color="auto" w:fill="auto"/>
            <w:vAlign w:val="center"/>
          </w:tcPr>
          <w:p w14:paraId="1E905AC3">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布袋除尘器主路进口及灰斗清灰放灰</w:t>
            </w:r>
          </w:p>
        </w:tc>
        <w:tc>
          <w:tcPr>
            <w:tcW w:w="1785" w:type="dxa"/>
            <w:tcBorders>
              <w:top w:val="nil"/>
              <w:left w:val="single" w:color="000000" w:sz="8" w:space="0"/>
              <w:bottom w:val="single" w:color="auto" w:sz="4" w:space="0"/>
              <w:right w:val="single" w:color="000000" w:sz="8" w:space="0"/>
            </w:tcBorders>
            <w:shd w:val="clear" w:color="auto" w:fill="auto"/>
            <w:vAlign w:val="center"/>
          </w:tcPr>
          <w:p w14:paraId="3F2531E7">
            <w:pPr>
              <w:keepNext w:val="0"/>
              <w:keepLines w:val="0"/>
              <w:widowControl/>
              <w:suppressLineNumbers w:val="0"/>
              <w:spacing w:line="240" w:lineRule="auto"/>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r>
              <w:rPr>
                <w:rFonts w:hint="eastAsia" w:ascii="宋体" w:hAnsi="宋体" w:cs="宋体"/>
                <w:i w:val="0"/>
                <w:iCs w:val="0"/>
                <w:color w:val="auto"/>
                <w:kern w:val="0"/>
                <w:sz w:val="21"/>
                <w:szCs w:val="21"/>
                <w:highlight w:val="none"/>
                <w:u w:val="none"/>
                <w:lang w:val="en-US" w:eastAsia="zh-CN" w:bidi="ar"/>
              </w:rPr>
              <w:t>2</w:t>
            </w:r>
            <w:r>
              <w:rPr>
                <w:rFonts w:hint="eastAsia" w:ascii="宋体" w:hAnsi="宋体" w:eastAsia="宋体" w:cs="宋体"/>
                <w:i w:val="0"/>
                <w:iCs w:val="0"/>
                <w:color w:val="auto"/>
                <w:kern w:val="0"/>
                <w:sz w:val="21"/>
                <w:szCs w:val="21"/>
                <w:highlight w:val="none"/>
                <w:u w:val="none"/>
                <w:lang w:val="en-US" w:eastAsia="zh-CN" w:bidi="ar"/>
              </w:rPr>
              <w:t>.布袋除尘器主路进口及灰斗清灰放灰。</w:t>
            </w:r>
          </w:p>
        </w:tc>
        <w:tc>
          <w:tcPr>
            <w:tcW w:w="619" w:type="dxa"/>
            <w:tcBorders>
              <w:top w:val="nil"/>
              <w:left w:val="single" w:color="000000" w:sz="8" w:space="0"/>
              <w:bottom w:val="single" w:color="auto" w:sz="4" w:space="0"/>
              <w:right w:val="single" w:color="000000" w:sz="8" w:space="0"/>
            </w:tcBorders>
            <w:shd w:val="clear" w:color="auto" w:fill="auto"/>
            <w:vAlign w:val="center"/>
          </w:tcPr>
          <w:p w14:paraId="63C69506">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元/项</w:t>
            </w:r>
          </w:p>
        </w:tc>
        <w:tc>
          <w:tcPr>
            <w:tcW w:w="673" w:type="dxa"/>
            <w:tcBorders>
              <w:top w:val="nil"/>
              <w:left w:val="single" w:color="000000" w:sz="8" w:space="0"/>
              <w:bottom w:val="single" w:color="auto" w:sz="4" w:space="0"/>
              <w:right w:val="single" w:color="000000" w:sz="8" w:space="0"/>
            </w:tcBorders>
            <w:shd w:val="clear" w:color="auto" w:fill="auto"/>
            <w:vAlign w:val="center"/>
          </w:tcPr>
          <w:p w14:paraId="20A2A05E">
            <w:pPr>
              <w:spacing w:line="240" w:lineRule="auto"/>
              <w:jc w:val="center"/>
              <w:rPr>
                <w:rFonts w:hint="eastAsia" w:ascii="宋体" w:hAnsi="宋体" w:eastAsia="宋体" w:cs="宋体"/>
                <w:i w:val="0"/>
                <w:iCs w:val="0"/>
                <w:color w:val="auto"/>
                <w:sz w:val="21"/>
                <w:szCs w:val="21"/>
                <w:highlight w:val="none"/>
                <w:u w:val="single"/>
              </w:rPr>
            </w:pPr>
          </w:p>
        </w:tc>
        <w:tc>
          <w:tcPr>
            <w:tcW w:w="650" w:type="dxa"/>
            <w:tcBorders>
              <w:top w:val="nil"/>
              <w:left w:val="single" w:color="000000" w:sz="8" w:space="0"/>
              <w:bottom w:val="single" w:color="auto" w:sz="4" w:space="0"/>
              <w:right w:val="single" w:color="000000" w:sz="8" w:space="0"/>
            </w:tcBorders>
            <w:shd w:val="clear" w:color="auto" w:fill="auto"/>
            <w:vAlign w:val="center"/>
          </w:tcPr>
          <w:p w14:paraId="40B377FD">
            <w:pPr>
              <w:spacing w:line="240" w:lineRule="auto"/>
              <w:jc w:val="center"/>
              <w:rPr>
                <w:rFonts w:hint="eastAsia" w:ascii="宋体" w:hAnsi="宋体" w:eastAsia="宋体" w:cs="宋体"/>
                <w:i w:val="0"/>
                <w:iCs w:val="0"/>
                <w:color w:val="auto"/>
                <w:sz w:val="21"/>
                <w:szCs w:val="21"/>
                <w:highlight w:val="none"/>
                <w:u w:val="single"/>
              </w:rPr>
            </w:pPr>
          </w:p>
        </w:tc>
        <w:tc>
          <w:tcPr>
            <w:tcW w:w="596" w:type="dxa"/>
            <w:tcBorders>
              <w:top w:val="nil"/>
              <w:left w:val="single" w:color="000000" w:sz="8" w:space="0"/>
              <w:bottom w:val="single" w:color="auto" w:sz="4" w:space="0"/>
              <w:right w:val="single" w:color="000000" w:sz="8" w:space="0"/>
            </w:tcBorders>
            <w:shd w:val="clear" w:color="auto" w:fill="auto"/>
            <w:vAlign w:val="center"/>
          </w:tcPr>
          <w:p w14:paraId="48170E11">
            <w:pPr>
              <w:spacing w:line="240" w:lineRule="auto"/>
              <w:jc w:val="center"/>
              <w:rPr>
                <w:rFonts w:hint="eastAsia" w:ascii="宋体" w:hAnsi="宋体" w:eastAsia="宋体" w:cs="宋体"/>
                <w:i w:val="0"/>
                <w:iCs w:val="0"/>
                <w:color w:val="auto"/>
                <w:sz w:val="21"/>
                <w:szCs w:val="21"/>
                <w:highlight w:val="none"/>
                <w:u w:val="single"/>
              </w:rPr>
            </w:pPr>
          </w:p>
        </w:tc>
        <w:tc>
          <w:tcPr>
            <w:tcW w:w="505" w:type="dxa"/>
            <w:tcBorders>
              <w:top w:val="nil"/>
              <w:left w:val="single" w:color="000000" w:sz="8" w:space="0"/>
              <w:bottom w:val="single" w:color="auto" w:sz="4" w:space="0"/>
              <w:right w:val="single" w:color="000000" w:sz="8" w:space="0"/>
            </w:tcBorders>
            <w:shd w:val="clear" w:color="auto" w:fill="auto"/>
            <w:vAlign w:val="center"/>
          </w:tcPr>
          <w:p w14:paraId="40385873">
            <w:pPr>
              <w:spacing w:line="240" w:lineRule="auto"/>
              <w:jc w:val="center"/>
              <w:rPr>
                <w:rFonts w:hint="eastAsia" w:ascii="宋体" w:hAnsi="宋体" w:eastAsia="宋体" w:cs="宋体"/>
                <w:i w:val="0"/>
                <w:iCs w:val="0"/>
                <w:color w:val="auto"/>
                <w:sz w:val="21"/>
                <w:szCs w:val="21"/>
                <w:highlight w:val="none"/>
                <w:u w:val="single"/>
              </w:rPr>
            </w:pPr>
          </w:p>
        </w:tc>
        <w:tc>
          <w:tcPr>
            <w:tcW w:w="635" w:type="dxa"/>
            <w:tcBorders>
              <w:top w:val="nil"/>
              <w:left w:val="single" w:color="000000" w:sz="8" w:space="0"/>
              <w:bottom w:val="single" w:color="auto" w:sz="4" w:space="0"/>
              <w:right w:val="single" w:color="000000" w:sz="8" w:space="0"/>
            </w:tcBorders>
            <w:shd w:val="clear" w:color="auto" w:fill="auto"/>
            <w:vAlign w:val="center"/>
          </w:tcPr>
          <w:p w14:paraId="19E2F94F">
            <w:pPr>
              <w:spacing w:line="240" w:lineRule="auto"/>
              <w:jc w:val="center"/>
              <w:rPr>
                <w:rFonts w:hint="eastAsia" w:ascii="宋体" w:hAnsi="宋体" w:eastAsia="宋体" w:cs="宋体"/>
                <w:i w:val="0"/>
                <w:iCs w:val="0"/>
                <w:color w:val="auto"/>
                <w:sz w:val="21"/>
                <w:szCs w:val="21"/>
                <w:highlight w:val="none"/>
                <w:u w:val="single"/>
              </w:rPr>
            </w:pPr>
          </w:p>
        </w:tc>
        <w:tc>
          <w:tcPr>
            <w:tcW w:w="475" w:type="dxa"/>
            <w:tcBorders>
              <w:top w:val="nil"/>
              <w:left w:val="single" w:color="000000" w:sz="8" w:space="0"/>
              <w:bottom w:val="single" w:color="auto" w:sz="4" w:space="0"/>
              <w:right w:val="single" w:color="000000" w:sz="8" w:space="0"/>
            </w:tcBorders>
            <w:shd w:val="clear" w:color="auto" w:fill="auto"/>
            <w:vAlign w:val="center"/>
          </w:tcPr>
          <w:p w14:paraId="39CEB681">
            <w:pPr>
              <w:spacing w:line="240" w:lineRule="auto"/>
              <w:jc w:val="center"/>
              <w:rPr>
                <w:rFonts w:hint="eastAsia" w:ascii="宋体" w:hAnsi="宋体" w:eastAsia="宋体" w:cs="宋体"/>
                <w:i w:val="0"/>
                <w:iCs w:val="0"/>
                <w:color w:val="auto"/>
                <w:sz w:val="21"/>
                <w:szCs w:val="21"/>
                <w:highlight w:val="none"/>
                <w:u w:val="single"/>
              </w:rPr>
            </w:pPr>
          </w:p>
        </w:tc>
        <w:tc>
          <w:tcPr>
            <w:tcW w:w="521" w:type="dxa"/>
            <w:tcBorders>
              <w:top w:val="nil"/>
              <w:left w:val="single" w:color="000000" w:sz="8" w:space="0"/>
              <w:bottom w:val="single" w:color="auto" w:sz="4" w:space="0"/>
              <w:right w:val="single" w:color="000000" w:sz="8" w:space="0"/>
            </w:tcBorders>
            <w:shd w:val="clear" w:color="auto" w:fill="auto"/>
            <w:vAlign w:val="center"/>
          </w:tcPr>
          <w:p w14:paraId="2BB07389">
            <w:pPr>
              <w:spacing w:line="240" w:lineRule="auto"/>
              <w:jc w:val="center"/>
              <w:rPr>
                <w:rFonts w:hint="eastAsia" w:ascii="宋体" w:hAnsi="宋体" w:eastAsia="宋体" w:cs="宋体"/>
                <w:i w:val="0"/>
                <w:iCs w:val="0"/>
                <w:color w:val="auto"/>
                <w:sz w:val="21"/>
                <w:szCs w:val="21"/>
                <w:highlight w:val="none"/>
                <w:u w:val="single"/>
              </w:rPr>
            </w:pPr>
          </w:p>
        </w:tc>
      </w:tr>
      <w:tr w14:paraId="773FD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0D39EE7B">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八、</w:t>
            </w: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638117D7">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炉外脚手架</w:t>
            </w:r>
          </w:p>
        </w:tc>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54FB499A">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炉外脚手架搭设（含溜槽竖井及灰斗）</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668DB44A">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w:t>
            </w:r>
            <w:r>
              <w:rPr>
                <w:rFonts w:hint="eastAsia" w:ascii="宋体" w:hAnsi="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 卡扣采用金属卡扣牢固可靠，严禁用铁丝、塑料带捆绑代替。</w:t>
            </w:r>
          </w:p>
          <w:p w14:paraId="1287CEEB">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 符合《电业安全工作规程》（热力和机械部分）的脚手架安装和使用要求。</w:t>
            </w:r>
          </w:p>
        </w:tc>
        <w:tc>
          <w:tcPr>
            <w:tcW w:w="619" w:type="dxa"/>
            <w:tcBorders>
              <w:top w:val="single" w:color="auto" w:sz="4" w:space="0"/>
              <w:left w:val="single" w:color="auto" w:sz="4" w:space="0"/>
              <w:bottom w:val="single" w:color="auto" w:sz="4" w:space="0"/>
              <w:right w:val="single" w:color="auto" w:sz="4" w:space="0"/>
            </w:tcBorders>
            <w:shd w:val="clear" w:color="auto" w:fill="auto"/>
            <w:vAlign w:val="center"/>
          </w:tcPr>
          <w:p w14:paraId="44D6D049">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元/立方</w:t>
            </w:r>
          </w:p>
        </w:tc>
        <w:tc>
          <w:tcPr>
            <w:tcW w:w="673" w:type="dxa"/>
            <w:tcBorders>
              <w:top w:val="single" w:color="auto" w:sz="4" w:space="0"/>
              <w:left w:val="single" w:color="auto" w:sz="4" w:space="0"/>
              <w:bottom w:val="single" w:color="auto" w:sz="4" w:space="0"/>
              <w:right w:val="single" w:color="auto" w:sz="4" w:space="0"/>
            </w:tcBorders>
            <w:shd w:val="clear" w:color="auto" w:fill="auto"/>
            <w:vAlign w:val="center"/>
          </w:tcPr>
          <w:p w14:paraId="398F807D">
            <w:pPr>
              <w:spacing w:line="240" w:lineRule="auto"/>
              <w:jc w:val="center"/>
              <w:rPr>
                <w:rFonts w:hint="eastAsia" w:ascii="宋体" w:hAnsi="宋体" w:eastAsia="宋体" w:cs="宋体"/>
                <w:i w:val="0"/>
                <w:iCs w:val="0"/>
                <w:color w:val="auto"/>
                <w:sz w:val="21"/>
                <w:szCs w:val="21"/>
                <w:highlight w:val="none"/>
                <w:u w:val="single"/>
              </w:rPr>
            </w:pP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2609B21C">
            <w:pPr>
              <w:spacing w:line="240" w:lineRule="auto"/>
              <w:jc w:val="center"/>
              <w:rPr>
                <w:rFonts w:hint="eastAsia" w:ascii="宋体" w:hAnsi="宋体" w:eastAsia="宋体" w:cs="宋体"/>
                <w:i w:val="0"/>
                <w:iCs w:val="0"/>
                <w:color w:val="auto"/>
                <w:sz w:val="21"/>
                <w:szCs w:val="21"/>
                <w:highlight w:val="none"/>
                <w:u w:val="single"/>
              </w:rPr>
            </w:pPr>
          </w:p>
        </w:tc>
        <w:tc>
          <w:tcPr>
            <w:tcW w:w="596" w:type="dxa"/>
            <w:tcBorders>
              <w:top w:val="single" w:color="auto" w:sz="4" w:space="0"/>
              <w:left w:val="single" w:color="auto" w:sz="4" w:space="0"/>
              <w:bottom w:val="single" w:color="auto" w:sz="4" w:space="0"/>
              <w:right w:val="single" w:color="auto" w:sz="4" w:space="0"/>
            </w:tcBorders>
            <w:shd w:val="clear" w:color="auto" w:fill="auto"/>
            <w:vAlign w:val="center"/>
          </w:tcPr>
          <w:p w14:paraId="1F8974D6">
            <w:pPr>
              <w:spacing w:line="240" w:lineRule="auto"/>
              <w:jc w:val="center"/>
              <w:rPr>
                <w:rFonts w:hint="eastAsia" w:ascii="宋体" w:hAnsi="宋体" w:eastAsia="宋体" w:cs="宋体"/>
                <w:i w:val="0"/>
                <w:iCs w:val="0"/>
                <w:color w:val="auto"/>
                <w:sz w:val="21"/>
                <w:szCs w:val="21"/>
                <w:highlight w:val="none"/>
                <w:u w:val="single"/>
              </w:rPr>
            </w:pPr>
          </w:p>
        </w:tc>
        <w:tc>
          <w:tcPr>
            <w:tcW w:w="505" w:type="dxa"/>
            <w:tcBorders>
              <w:top w:val="single" w:color="auto" w:sz="4" w:space="0"/>
              <w:left w:val="single" w:color="auto" w:sz="4" w:space="0"/>
              <w:bottom w:val="single" w:color="auto" w:sz="4" w:space="0"/>
              <w:right w:val="single" w:color="auto" w:sz="4" w:space="0"/>
            </w:tcBorders>
            <w:shd w:val="clear" w:color="auto" w:fill="auto"/>
            <w:vAlign w:val="center"/>
          </w:tcPr>
          <w:p w14:paraId="0B3B163C">
            <w:pPr>
              <w:spacing w:line="240" w:lineRule="auto"/>
              <w:jc w:val="center"/>
              <w:rPr>
                <w:rFonts w:hint="eastAsia" w:ascii="宋体" w:hAnsi="宋体" w:eastAsia="宋体" w:cs="宋体"/>
                <w:i w:val="0"/>
                <w:iCs w:val="0"/>
                <w:color w:val="auto"/>
                <w:sz w:val="21"/>
                <w:szCs w:val="21"/>
                <w:highlight w:val="none"/>
                <w:u w:val="single"/>
              </w:rPr>
            </w:pPr>
          </w:p>
        </w:tc>
        <w:tc>
          <w:tcPr>
            <w:tcW w:w="635" w:type="dxa"/>
            <w:tcBorders>
              <w:top w:val="single" w:color="auto" w:sz="4" w:space="0"/>
              <w:left w:val="single" w:color="auto" w:sz="4" w:space="0"/>
              <w:bottom w:val="single" w:color="auto" w:sz="4" w:space="0"/>
              <w:right w:val="single" w:color="auto" w:sz="4" w:space="0"/>
            </w:tcBorders>
            <w:shd w:val="clear" w:color="auto" w:fill="auto"/>
            <w:vAlign w:val="center"/>
          </w:tcPr>
          <w:p w14:paraId="12B50367">
            <w:pPr>
              <w:spacing w:line="240" w:lineRule="auto"/>
              <w:jc w:val="center"/>
              <w:rPr>
                <w:rFonts w:hint="eastAsia" w:ascii="宋体" w:hAnsi="宋体" w:eastAsia="宋体" w:cs="宋体"/>
                <w:i w:val="0"/>
                <w:iCs w:val="0"/>
                <w:color w:val="auto"/>
                <w:sz w:val="21"/>
                <w:szCs w:val="21"/>
                <w:highlight w:val="none"/>
                <w:u w:val="single"/>
              </w:rPr>
            </w:pPr>
          </w:p>
        </w:tc>
        <w:tc>
          <w:tcPr>
            <w:tcW w:w="475" w:type="dxa"/>
            <w:tcBorders>
              <w:top w:val="single" w:color="auto" w:sz="4" w:space="0"/>
              <w:left w:val="single" w:color="auto" w:sz="4" w:space="0"/>
              <w:bottom w:val="single" w:color="auto" w:sz="4" w:space="0"/>
              <w:right w:val="single" w:color="auto" w:sz="4" w:space="0"/>
            </w:tcBorders>
            <w:shd w:val="clear" w:color="auto" w:fill="auto"/>
            <w:vAlign w:val="center"/>
          </w:tcPr>
          <w:p w14:paraId="7C872376">
            <w:pPr>
              <w:spacing w:line="240" w:lineRule="auto"/>
              <w:jc w:val="center"/>
              <w:rPr>
                <w:rFonts w:hint="eastAsia" w:ascii="宋体" w:hAnsi="宋体" w:eastAsia="宋体" w:cs="宋体"/>
                <w:i w:val="0"/>
                <w:iCs w:val="0"/>
                <w:color w:val="auto"/>
                <w:sz w:val="21"/>
                <w:szCs w:val="21"/>
                <w:highlight w:val="none"/>
                <w:u w:val="single"/>
              </w:rPr>
            </w:pP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0AB74DA7">
            <w:pPr>
              <w:spacing w:line="240" w:lineRule="auto"/>
              <w:jc w:val="center"/>
              <w:rPr>
                <w:rFonts w:hint="eastAsia" w:ascii="宋体" w:hAnsi="宋体" w:eastAsia="宋体" w:cs="宋体"/>
                <w:i w:val="0"/>
                <w:iCs w:val="0"/>
                <w:color w:val="auto"/>
                <w:sz w:val="21"/>
                <w:szCs w:val="21"/>
                <w:highlight w:val="none"/>
                <w:u w:val="single"/>
              </w:rPr>
            </w:pPr>
          </w:p>
        </w:tc>
      </w:tr>
      <w:tr w14:paraId="6A301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5895916F">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九、</w:t>
            </w:r>
          </w:p>
        </w:tc>
        <w:tc>
          <w:tcPr>
            <w:tcW w:w="724" w:type="dxa"/>
            <w:tcBorders>
              <w:top w:val="single" w:color="auto" w:sz="4" w:space="0"/>
              <w:left w:val="single" w:color="auto" w:sz="4" w:space="0"/>
              <w:bottom w:val="single" w:color="auto" w:sz="4" w:space="0"/>
              <w:right w:val="single" w:color="auto" w:sz="4" w:space="0"/>
            </w:tcBorders>
            <w:shd w:val="clear" w:color="auto" w:fill="auto"/>
            <w:vAlign w:val="center"/>
          </w:tcPr>
          <w:p w14:paraId="53B73B48">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大修安全文明施工措施费</w:t>
            </w:r>
          </w:p>
        </w:tc>
        <w:tc>
          <w:tcPr>
            <w:tcW w:w="760" w:type="dxa"/>
            <w:tcBorders>
              <w:top w:val="single" w:color="auto" w:sz="4" w:space="0"/>
              <w:left w:val="single" w:color="auto" w:sz="4" w:space="0"/>
              <w:bottom w:val="single" w:color="auto" w:sz="4" w:space="0"/>
              <w:right w:val="single" w:color="auto" w:sz="4" w:space="0"/>
            </w:tcBorders>
            <w:shd w:val="clear" w:color="auto" w:fill="auto"/>
            <w:vAlign w:val="center"/>
          </w:tcPr>
          <w:p w14:paraId="6E8371D9">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大修安全文明施工措施费</w:t>
            </w:r>
          </w:p>
        </w:tc>
        <w:tc>
          <w:tcPr>
            <w:tcW w:w="1785" w:type="dxa"/>
            <w:tcBorders>
              <w:top w:val="single" w:color="auto" w:sz="4" w:space="0"/>
              <w:left w:val="single" w:color="auto" w:sz="4" w:space="0"/>
              <w:bottom w:val="single" w:color="auto" w:sz="4" w:space="0"/>
              <w:right w:val="single" w:color="auto" w:sz="4" w:space="0"/>
            </w:tcBorders>
            <w:shd w:val="clear" w:color="auto" w:fill="auto"/>
            <w:vAlign w:val="center"/>
          </w:tcPr>
          <w:p w14:paraId="37B20128">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w:t>
            </w:r>
            <w:r>
              <w:rPr>
                <w:rFonts w:hint="eastAsia" w:ascii="宋体" w:hAnsi="宋体" w:cs="宋体"/>
                <w:i w:val="0"/>
                <w:iCs w:val="0"/>
                <w:color w:val="auto"/>
                <w:kern w:val="0"/>
                <w:sz w:val="21"/>
                <w:szCs w:val="21"/>
                <w:highlight w:val="none"/>
                <w:u w:val="none"/>
                <w:lang w:val="en-US" w:eastAsia="zh-CN" w:bidi="ar"/>
              </w:rPr>
              <w:t>4</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color w:val="auto"/>
                <w:kern w:val="0"/>
                <w:sz w:val="22"/>
                <w:szCs w:val="22"/>
                <w:highlight w:val="none"/>
                <w:u w:val="none"/>
                <w:lang w:val="en-US" w:eastAsia="zh-CN" w:bidi="ar"/>
              </w:rPr>
              <w:t>包括但不限于设置施工围挡及警示标识，材料定置堆放，废料及时清运，采取降尘降噪措施，炉间防护及防尘措施要求使用防火毯，每日工完场清（不符合要求按比例扣除或进行考核）</w:t>
            </w:r>
          </w:p>
        </w:tc>
        <w:tc>
          <w:tcPr>
            <w:tcW w:w="619" w:type="dxa"/>
            <w:tcBorders>
              <w:top w:val="single" w:color="auto" w:sz="4" w:space="0"/>
              <w:left w:val="single" w:color="auto" w:sz="4" w:space="0"/>
              <w:bottom w:val="single" w:color="auto" w:sz="4" w:space="0"/>
              <w:right w:val="single" w:color="auto" w:sz="4" w:space="0"/>
            </w:tcBorders>
            <w:shd w:val="clear" w:color="auto" w:fill="auto"/>
            <w:vAlign w:val="center"/>
          </w:tcPr>
          <w:p w14:paraId="08EA23D7">
            <w:pPr>
              <w:keepNext w:val="0"/>
              <w:keepLines w:val="0"/>
              <w:widowControl/>
              <w:suppressLineNumbers w:val="0"/>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元/台</w:t>
            </w:r>
          </w:p>
        </w:tc>
        <w:tc>
          <w:tcPr>
            <w:tcW w:w="673" w:type="dxa"/>
            <w:tcBorders>
              <w:top w:val="single" w:color="auto" w:sz="4" w:space="0"/>
              <w:left w:val="single" w:color="auto" w:sz="4" w:space="0"/>
              <w:bottom w:val="single" w:color="auto" w:sz="4" w:space="0"/>
              <w:right w:val="single" w:color="auto" w:sz="4" w:space="0"/>
            </w:tcBorders>
            <w:shd w:val="clear" w:color="auto" w:fill="auto"/>
            <w:vAlign w:val="center"/>
          </w:tcPr>
          <w:p w14:paraId="012CD25E">
            <w:pPr>
              <w:spacing w:line="240" w:lineRule="auto"/>
              <w:jc w:val="center"/>
              <w:rPr>
                <w:rFonts w:hint="eastAsia" w:ascii="宋体" w:hAnsi="宋体" w:eastAsia="宋体" w:cs="宋体"/>
                <w:i w:val="0"/>
                <w:iCs w:val="0"/>
                <w:color w:val="auto"/>
                <w:sz w:val="21"/>
                <w:szCs w:val="21"/>
                <w:highlight w:val="none"/>
                <w:u w:val="single"/>
              </w:rPr>
            </w:pPr>
          </w:p>
        </w:tc>
        <w:tc>
          <w:tcPr>
            <w:tcW w:w="650" w:type="dxa"/>
            <w:tcBorders>
              <w:top w:val="single" w:color="auto" w:sz="4" w:space="0"/>
              <w:left w:val="single" w:color="auto" w:sz="4" w:space="0"/>
              <w:bottom w:val="single" w:color="auto" w:sz="4" w:space="0"/>
              <w:right w:val="single" w:color="auto" w:sz="4" w:space="0"/>
            </w:tcBorders>
            <w:shd w:val="clear" w:color="auto" w:fill="auto"/>
            <w:vAlign w:val="center"/>
          </w:tcPr>
          <w:p w14:paraId="588DC638">
            <w:pPr>
              <w:spacing w:line="240" w:lineRule="auto"/>
              <w:jc w:val="center"/>
              <w:rPr>
                <w:rFonts w:hint="eastAsia" w:ascii="宋体" w:hAnsi="宋体" w:eastAsia="宋体" w:cs="宋体"/>
                <w:i w:val="0"/>
                <w:iCs w:val="0"/>
                <w:color w:val="auto"/>
                <w:sz w:val="21"/>
                <w:szCs w:val="21"/>
                <w:highlight w:val="none"/>
                <w:u w:val="single"/>
              </w:rPr>
            </w:pPr>
          </w:p>
        </w:tc>
        <w:tc>
          <w:tcPr>
            <w:tcW w:w="596" w:type="dxa"/>
            <w:tcBorders>
              <w:top w:val="single" w:color="auto" w:sz="4" w:space="0"/>
              <w:left w:val="single" w:color="auto" w:sz="4" w:space="0"/>
              <w:bottom w:val="single" w:color="auto" w:sz="4" w:space="0"/>
              <w:right w:val="single" w:color="auto" w:sz="4" w:space="0"/>
            </w:tcBorders>
            <w:shd w:val="clear" w:color="auto" w:fill="auto"/>
            <w:vAlign w:val="center"/>
          </w:tcPr>
          <w:p w14:paraId="479C33F1">
            <w:pPr>
              <w:spacing w:line="240" w:lineRule="auto"/>
              <w:jc w:val="center"/>
              <w:rPr>
                <w:rFonts w:hint="eastAsia" w:ascii="宋体" w:hAnsi="宋体" w:eastAsia="宋体" w:cs="宋体"/>
                <w:i w:val="0"/>
                <w:iCs w:val="0"/>
                <w:color w:val="auto"/>
                <w:sz w:val="21"/>
                <w:szCs w:val="21"/>
                <w:highlight w:val="none"/>
                <w:u w:val="single"/>
              </w:rPr>
            </w:pPr>
          </w:p>
        </w:tc>
        <w:tc>
          <w:tcPr>
            <w:tcW w:w="505" w:type="dxa"/>
            <w:tcBorders>
              <w:top w:val="single" w:color="auto" w:sz="4" w:space="0"/>
              <w:left w:val="single" w:color="auto" w:sz="4" w:space="0"/>
              <w:bottom w:val="single" w:color="auto" w:sz="4" w:space="0"/>
              <w:right w:val="single" w:color="auto" w:sz="4" w:space="0"/>
            </w:tcBorders>
            <w:shd w:val="clear" w:color="auto" w:fill="auto"/>
            <w:vAlign w:val="center"/>
          </w:tcPr>
          <w:p w14:paraId="3DCC95E6">
            <w:pPr>
              <w:spacing w:line="240" w:lineRule="auto"/>
              <w:jc w:val="center"/>
              <w:rPr>
                <w:rFonts w:hint="eastAsia" w:ascii="宋体" w:hAnsi="宋体" w:eastAsia="宋体" w:cs="宋体"/>
                <w:i w:val="0"/>
                <w:iCs w:val="0"/>
                <w:color w:val="auto"/>
                <w:sz w:val="21"/>
                <w:szCs w:val="21"/>
                <w:highlight w:val="none"/>
                <w:u w:val="single"/>
              </w:rPr>
            </w:pPr>
          </w:p>
        </w:tc>
        <w:tc>
          <w:tcPr>
            <w:tcW w:w="635" w:type="dxa"/>
            <w:tcBorders>
              <w:top w:val="single" w:color="auto" w:sz="4" w:space="0"/>
              <w:left w:val="single" w:color="auto" w:sz="4" w:space="0"/>
              <w:bottom w:val="single" w:color="auto" w:sz="4" w:space="0"/>
              <w:right w:val="single" w:color="auto" w:sz="4" w:space="0"/>
            </w:tcBorders>
            <w:shd w:val="clear" w:color="auto" w:fill="auto"/>
            <w:vAlign w:val="center"/>
          </w:tcPr>
          <w:p w14:paraId="65AE731C">
            <w:pPr>
              <w:spacing w:line="240" w:lineRule="auto"/>
              <w:jc w:val="center"/>
              <w:rPr>
                <w:rFonts w:hint="eastAsia" w:ascii="宋体" w:hAnsi="宋体" w:eastAsia="宋体" w:cs="宋体"/>
                <w:i w:val="0"/>
                <w:iCs w:val="0"/>
                <w:color w:val="auto"/>
                <w:sz w:val="21"/>
                <w:szCs w:val="21"/>
                <w:highlight w:val="none"/>
                <w:u w:val="single"/>
              </w:rPr>
            </w:pPr>
          </w:p>
        </w:tc>
        <w:tc>
          <w:tcPr>
            <w:tcW w:w="475" w:type="dxa"/>
            <w:tcBorders>
              <w:top w:val="single" w:color="auto" w:sz="4" w:space="0"/>
              <w:left w:val="single" w:color="auto" w:sz="4" w:space="0"/>
              <w:bottom w:val="single" w:color="auto" w:sz="4" w:space="0"/>
              <w:right w:val="single" w:color="auto" w:sz="4" w:space="0"/>
            </w:tcBorders>
            <w:shd w:val="clear" w:color="auto" w:fill="auto"/>
            <w:vAlign w:val="center"/>
          </w:tcPr>
          <w:p w14:paraId="0D5CDA6A">
            <w:pPr>
              <w:spacing w:line="240" w:lineRule="auto"/>
              <w:jc w:val="center"/>
              <w:rPr>
                <w:rFonts w:hint="eastAsia" w:ascii="宋体" w:hAnsi="宋体" w:eastAsia="宋体" w:cs="宋体"/>
                <w:i w:val="0"/>
                <w:iCs w:val="0"/>
                <w:color w:val="auto"/>
                <w:sz w:val="21"/>
                <w:szCs w:val="21"/>
                <w:highlight w:val="none"/>
                <w:u w:val="single"/>
              </w:rPr>
            </w:pPr>
          </w:p>
        </w:tc>
        <w:tc>
          <w:tcPr>
            <w:tcW w:w="521" w:type="dxa"/>
            <w:tcBorders>
              <w:top w:val="single" w:color="auto" w:sz="4" w:space="0"/>
              <w:left w:val="single" w:color="auto" w:sz="4" w:space="0"/>
              <w:bottom w:val="single" w:color="auto" w:sz="4" w:space="0"/>
              <w:right w:val="single" w:color="auto" w:sz="4" w:space="0"/>
            </w:tcBorders>
            <w:shd w:val="clear" w:color="auto" w:fill="auto"/>
            <w:vAlign w:val="center"/>
          </w:tcPr>
          <w:p w14:paraId="233DB100">
            <w:pPr>
              <w:spacing w:line="240" w:lineRule="auto"/>
              <w:jc w:val="center"/>
              <w:rPr>
                <w:rFonts w:hint="eastAsia" w:ascii="宋体" w:hAnsi="宋体" w:eastAsia="宋体" w:cs="宋体"/>
                <w:i w:val="0"/>
                <w:iCs w:val="0"/>
                <w:color w:val="auto"/>
                <w:sz w:val="21"/>
                <w:szCs w:val="21"/>
                <w:highlight w:val="none"/>
                <w:u w:val="single"/>
              </w:rPr>
            </w:pPr>
          </w:p>
        </w:tc>
      </w:tr>
    </w:tbl>
    <w:p w14:paraId="41C50D1B">
      <w:pPr>
        <w:widowControl w:val="0"/>
        <w:adjustRightInd/>
        <w:snapToGrid/>
        <w:spacing w:line="360" w:lineRule="auto"/>
        <w:jc w:val="both"/>
        <w:rPr>
          <w:rFonts w:hint="eastAsia" w:ascii="宋体" w:hAnsi="宋体" w:eastAsia="宋体" w:cs="宋体"/>
          <w:color w:val="auto"/>
          <w:kern w:val="2"/>
          <w:szCs w:val="21"/>
          <w:highlight w:val="none"/>
        </w:rPr>
      </w:pPr>
    </w:p>
    <w:tbl>
      <w:tblPr>
        <w:tblStyle w:val="31"/>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09"/>
        <w:gridCol w:w="4653"/>
        <w:gridCol w:w="3074"/>
      </w:tblGrid>
      <w:tr w14:paraId="3136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0" w:hRule="atLeast"/>
        </w:trPr>
        <w:tc>
          <w:tcPr>
            <w:tcW w:w="5262" w:type="dxa"/>
            <w:gridSpan w:val="2"/>
            <w:tcBorders>
              <w:top w:val="single" w:color="auto" w:sz="4" w:space="0"/>
              <w:left w:val="single" w:color="auto" w:sz="4" w:space="0"/>
              <w:bottom w:val="single" w:color="auto" w:sz="4" w:space="0"/>
              <w:right w:val="single" w:color="auto" w:sz="4" w:space="0"/>
            </w:tcBorders>
            <w:vAlign w:val="center"/>
          </w:tcPr>
          <w:p w14:paraId="59BFB730">
            <w:pPr>
              <w:widowControl/>
              <w:adjustRightInd/>
              <w:snapToGrid/>
              <w:spacing w:line="360" w:lineRule="auto"/>
              <w:jc w:val="center"/>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常规+特殊所有项目合计总价</w:t>
            </w:r>
          </w:p>
        </w:tc>
        <w:tc>
          <w:tcPr>
            <w:tcW w:w="3074" w:type="dxa"/>
            <w:tcBorders>
              <w:top w:val="single" w:color="auto" w:sz="4" w:space="0"/>
              <w:left w:val="single" w:color="auto" w:sz="4" w:space="0"/>
              <w:bottom w:val="single" w:color="auto" w:sz="4" w:space="0"/>
              <w:right w:val="single" w:color="auto" w:sz="4" w:space="0"/>
            </w:tcBorders>
            <w:vAlign w:val="center"/>
          </w:tcPr>
          <w:p w14:paraId="1FE4692C">
            <w:pPr>
              <w:widowControl w:val="0"/>
              <w:adjustRightInd/>
              <w:snapToGrid/>
              <w:spacing w:line="360" w:lineRule="auto"/>
              <w:jc w:val="center"/>
              <w:rPr>
                <w:rFonts w:hint="eastAsia" w:ascii="宋体" w:hAnsi="宋体" w:eastAsia="宋体" w:cs="宋体"/>
                <w:color w:val="auto"/>
                <w:kern w:val="2"/>
                <w:szCs w:val="21"/>
                <w:highlight w:val="none"/>
              </w:rPr>
            </w:pPr>
          </w:p>
        </w:tc>
      </w:tr>
      <w:tr w14:paraId="52AE6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8336" w:type="dxa"/>
            <w:gridSpan w:val="3"/>
            <w:tcBorders>
              <w:top w:val="single" w:color="auto" w:sz="4" w:space="0"/>
              <w:left w:val="single" w:color="auto" w:sz="4" w:space="0"/>
              <w:bottom w:val="single" w:color="auto" w:sz="4" w:space="0"/>
              <w:right w:val="single" w:color="auto" w:sz="4" w:space="0"/>
            </w:tcBorders>
            <w:vAlign w:val="center"/>
          </w:tcPr>
          <w:p w14:paraId="0FF0ED87">
            <w:pPr>
              <w:widowControl/>
              <w:adjustRightInd/>
              <w:snapToGrid/>
              <w:spacing w:line="360" w:lineRule="auto"/>
              <w:jc w:val="center"/>
              <w:textAlignment w:val="center"/>
              <w:rPr>
                <w:rFonts w:hint="eastAsia" w:ascii="宋体" w:hAnsi="宋体" w:eastAsia="宋体" w:cs="宋体"/>
                <w:b/>
                <w:color w:val="auto"/>
                <w:kern w:val="2"/>
                <w:szCs w:val="21"/>
                <w:highlight w:val="none"/>
              </w:rPr>
            </w:pPr>
            <w:r>
              <w:rPr>
                <w:rFonts w:hint="eastAsia" w:ascii="宋体" w:hAnsi="宋体" w:eastAsia="宋体" w:cs="宋体"/>
                <w:b/>
                <w:color w:val="auto"/>
                <w:kern w:val="0"/>
                <w:szCs w:val="21"/>
                <w:highlight w:val="none"/>
              </w:rPr>
              <w:t>验收、</w:t>
            </w:r>
            <w:r>
              <w:rPr>
                <w:rFonts w:hint="eastAsia" w:ascii="宋体" w:hAnsi="宋体" w:cs="宋体"/>
                <w:b/>
                <w:color w:val="auto"/>
                <w:kern w:val="0"/>
                <w:szCs w:val="21"/>
                <w:highlight w:val="none"/>
                <w:lang w:val="en-US" w:eastAsia="zh-CN"/>
              </w:rPr>
              <w:t>核价</w:t>
            </w:r>
            <w:r>
              <w:rPr>
                <w:rFonts w:hint="eastAsia" w:ascii="宋体" w:hAnsi="宋体" w:eastAsia="宋体" w:cs="宋体"/>
                <w:b/>
                <w:color w:val="auto"/>
                <w:kern w:val="0"/>
                <w:szCs w:val="21"/>
                <w:highlight w:val="none"/>
              </w:rPr>
              <w:t>意见</w:t>
            </w:r>
          </w:p>
        </w:tc>
      </w:tr>
      <w:tr w14:paraId="42E07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8336" w:type="dxa"/>
            <w:gridSpan w:val="3"/>
            <w:tcBorders>
              <w:top w:val="single" w:color="auto" w:sz="4" w:space="0"/>
              <w:left w:val="single" w:color="auto" w:sz="4" w:space="0"/>
              <w:bottom w:val="single" w:color="auto" w:sz="4" w:space="0"/>
              <w:right w:val="single" w:color="auto" w:sz="4" w:space="0"/>
            </w:tcBorders>
            <w:vAlign w:val="center"/>
          </w:tcPr>
          <w:p w14:paraId="60D2A8FF">
            <w:pPr>
              <w:widowControl/>
              <w:adjustRightInd/>
              <w:snapToGrid/>
              <w:spacing w:line="360" w:lineRule="auto"/>
              <w:jc w:val="center"/>
              <w:textAlignment w:val="center"/>
              <w:rPr>
                <w:rFonts w:hint="eastAsia" w:ascii="宋体" w:hAnsi="宋体" w:eastAsia="宋体" w:cs="宋体"/>
                <w:b/>
                <w:color w:val="auto"/>
                <w:kern w:val="2"/>
                <w:szCs w:val="21"/>
                <w:highlight w:val="none"/>
              </w:rPr>
            </w:pPr>
            <w:r>
              <w:rPr>
                <w:rFonts w:hint="eastAsia" w:ascii="宋体" w:hAnsi="宋体" w:cs="宋体"/>
                <w:b/>
                <w:bCs/>
                <w:i w:val="0"/>
                <w:iCs w:val="0"/>
                <w:color w:val="auto"/>
                <w:kern w:val="0"/>
                <w:sz w:val="21"/>
                <w:szCs w:val="21"/>
                <w:highlight w:val="none"/>
                <w:u w:val="none"/>
                <w:lang w:val="en-US" w:eastAsia="zh-CN" w:bidi="ar"/>
              </w:rPr>
              <w:t>鉴于</w:t>
            </w:r>
            <w:r>
              <w:rPr>
                <w:rFonts w:hint="eastAsia" w:ascii="宋体" w:hAnsi="宋体" w:eastAsia="宋体" w:cs="宋体"/>
                <w:b/>
                <w:color w:val="auto"/>
                <w:kern w:val="0"/>
                <w:szCs w:val="21"/>
                <w:highlight w:val="none"/>
              </w:rPr>
              <w:t>上述工程承包方已全部完成，经发、承包双方现场验收，全部工程质量标准符合发包方要求，验收合格</w:t>
            </w:r>
            <w:r>
              <w:rPr>
                <w:rFonts w:hint="eastAsia" w:ascii="宋体" w:hAnsi="宋体" w:cs="宋体"/>
                <w:b/>
                <w:color w:val="auto"/>
                <w:kern w:val="0"/>
                <w:szCs w:val="21"/>
                <w:highlight w:val="none"/>
                <w:lang w:eastAsia="zh-CN"/>
              </w:rPr>
              <w:t>，</w:t>
            </w:r>
            <w:r>
              <w:rPr>
                <w:rFonts w:hint="eastAsia" w:ascii="宋体" w:hAnsi="宋体" w:eastAsia="宋体" w:cs="宋体"/>
                <w:b/>
                <w:color w:val="auto"/>
                <w:kern w:val="0"/>
                <w:szCs w:val="21"/>
                <w:highlight w:val="none"/>
              </w:rPr>
              <w:t>同意</w:t>
            </w:r>
            <w:r>
              <w:rPr>
                <w:rFonts w:hint="eastAsia" w:ascii="宋体" w:hAnsi="宋体" w:cs="宋体"/>
                <w:b/>
                <w:color w:val="auto"/>
                <w:kern w:val="0"/>
                <w:szCs w:val="21"/>
                <w:highlight w:val="none"/>
                <w:lang w:val="en-US" w:eastAsia="zh-CN"/>
              </w:rPr>
              <w:t>核算进度款</w:t>
            </w:r>
            <w:r>
              <w:rPr>
                <w:rFonts w:hint="eastAsia" w:ascii="宋体" w:hAnsi="宋体" w:eastAsia="宋体" w:cs="宋体"/>
                <w:b/>
                <w:color w:val="auto"/>
                <w:kern w:val="0"/>
                <w:szCs w:val="21"/>
                <w:highlight w:val="none"/>
              </w:rPr>
              <w:t>。</w:t>
            </w:r>
          </w:p>
        </w:tc>
      </w:tr>
      <w:tr w14:paraId="6DE97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609" w:type="dxa"/>
            <w:vMerge w:val="restart"/>
            <w:tcBorders>
              <w:top w:val="single" w:color="auto" w:sz="4" w:space="0"/>
              <w:left w:val="single" w:color="auto" w:sz="4" w:space="0"/>
              <w:bottom w:val="single" w:color="auto" w:sz="4" w:space="0"/>
              <w:right w:val="single" w:color="auto" w:sz="4" w:space="0"/>
            </w:tcBorders>
            <w:vAlign w:val="center"/>
          </w:tcPr>
          <w:p w14:paraId="3ED95442">
            <w:pPr>
              <w:widowControl/>
              <w:adjustRightInd/>
              <w:snapToGrid/>
              <w:spacing w:line="360" w:lineRule="auto"/>
              <w:jc w:val="center"/>
              <w:textAlignment w:val="center"/>
              <w:rPr>
                <w:rFonts w:hint="eastAsia" w:ascii="宋体" w:hAnsi="宋体" w:eastAsia="宋体" w:cs="宋体"/>
                <w:color w:val="auto"/>
                <w:kern w:val="2"/>
                <w:szCs w:val="21"/>
                <w:highlight w:val="none"/>
              </w:rPr>
            </w:pPr>
          </w:p>
        </w:tc>
        <w:tc>
          <w:tcPr>
            <w:tcW w:w="7727" w:type="dxa"/>
            <w:gridSpan w:val="2"/>
            <w:tcBorders>
              <w:top w:val="single" w:color="auto" w:sz="4" w:space="0"/>
              <w:left w:val="single" w:color="auto" w:sz="4" w:space="0"/>
              <w:bottom w:val="single" w:color="auto" w:sz="4" w:space="0"/>
              <w:right w:val="single" w:color="auto" w:sz="4" w:space="0"/>
            </w:tcBorders>
            <w:vAlign w:val="center"/>
          </w:tcPr>
          <w:p w14:paraId="74BFEAB7">
            <w:pPr>
              <w:widowControl/>
              <w:adjustRightInd/>
              <w:snapToGrid/>
              <w:spacing w:line="360" w:lineRule="auto"/>
              <w:jc w:val="lef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 xml:space="preserve">  承包方 ：（签章）</w:t>
            </w:r>
          </w:p>
        </w:tc>
      </w:tr>
      <w:tr w14:paraId="5853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609" w:type="dxa"/>
            <w:vMerge w:val="continue"/>
            <w:tcBorders>
              <w:top w:val="single" w:color="auto" w:sz="4" w:space="0"/>
              <w:left w:val="single" w:color="auto" w:sz="4" w:space="0"/>
              <w:bottom w:val="single" w:color="auto" w:sz="4" w:space="0"/>
              <w:right w:val="single" w:color="auto" w:sz="4" w:space="0"/>
            </w:tcBorders>
            <w:vAlign w:val="center"/>
          </w:tcPr>
          <w:p w14:paraId="1626E545">
            <w:pPr>
              <w:widowControl w:val="0"/>
              <w:adjustRightInd/>
              <w:snapToGrid/>
              <w:spacing w:line="360" w:lineRule="auto"/>
              <w:jc w:val="center"/>
              <w:rPr>
                <w:rFonts w:hint="eastAsia" w:ascii="宋体" w:hAnsi="宋体" w:eastAsia="宋体" w:cs="宋体"/>
                <w:color w:val="auto"/>
                <w:kern w:val="2"/>
                <w:szCs w:val="21"/>
                <w:highlight w:val="none"/>
              </w:rPr>
            </w:pPr>
          </w:p>
        </w:tc>
        <w:tc>
          <w:tcPr>
            <w:tcW w:w="7727" w:type="dxa"/>
            <w:gridSpan w:val="2"/>
            <w:tcBorders>
              <w:top w:val="single" w:color="auto" w:sz="4" w:space="0"/>
              <w:left w:val="single" w:color="auto" w:sz="4" w:space="0"/>
              <w:bottom w:val="single" w:color="auto" w:sz="4" w:space="0"/>
              <w:right w:val="single" w:color="auto" w:sz="4" w:space="0"/>
            </w:tcBorders>
            <w:vAlign w:val="center"/>
          </w:tcPr>
          <w:p w14:paraId="53512CA1">
            <w:pPr>
              <w:widowControl/>
              <w:adjustRightInd/>
              <w:snapToGrid/>
              <w:spacing w:line="360" w:lineRule="auto"/>
              <w:jc w:val="righ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年    月    日</w:t>
            </w:r>
          </w:p>
        </w:tc>
      </w:tr>
      <w:tr w14:paraId="3F1A6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85" w:hRule="atLeast"/>
        </w:trPr>
        <w:tc>
          <w:tcPr>
            <w:tcW w:w="609" w:type="dxa"/>
            <w:vMerge w:val="continue"/>
            <w:tcBorders>
              <w:top w:val="single" w:color="auto" w:sz="4" w:space="0"/>
              <w:left w:val="single" w:color="auto" w:sz="4" w:space="0"/>
              <w:bottom w:val="single" w:color="auto" w:sz="4" w:space="0"/>
              <w:right w:val="single" w:color="auto" w:sz="4" w:space="0"/>
            </w:tcBorders>
            <w:vAlign w:val="center"/>
          </w:tcPr>
          <w:p w14:paraId="75900C47">
            <w:pPr>
              <w:widowControl w:val="0"/>
              <w:adjustRightInd/>
              <w:snapToGrid/>
              <w:spacing w:line="360" w:lineRule="auto"/>
              <w:jc w:val="center"/>
              <w:rPr>
                <w:rFonts w:hint="eastAsia" w:ascii="宋体" w:hAnsi="宋体" w:eastAsia="宋体" w:cs="宋体"/>
                <w:color w:val="auto"/>
                <w:kern w:val="2"/>
                <w:szCs w:val="21"/>
                <w:highlight w:val="none"/>
              </w:rPr>
            </w:pPr>
          </w:p>
        </w:tc>
        <w:tc>
          <w:tcPr>
            <w:tcW w:w="7727" w:type="dxa"/>
            <w:gridSpan w:val="2"/>
            <w:tcBorders>
              <w:top w:val="single" w:color="auto" w:sz="4" w:space="0"/>
              <w:left w:val="single" w:color="auto" w:sz="4" w:space="0"/>
              <w:bottom w:val="single" w:color="auto" w:sz="4" w:space="0"/>
              <w:right w:val="single" w:color="auto" w:sz="4" w:space="0"/>
            </w:tcBorders>
            <w:vAlign w:val="center"/>
          </w:tcPr>
          <w:p w14:paraId="152EC280">
            <w:pPr>
              <w:widowControl/>
              <w:adjustRightInd/>
              <w:snapToGrid/>
              <w:spacing w:line="360" w:lineRule="auto"/>
              <w:jc w:val="lef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商务部：</w:t>
            </w:r>
          </w:p>
        </w:tc>
      </w:tr>
      <w:tr w14:paraId="2FEF4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70" w:hRule="atLeast"/>
        </w:trPr>
        <w:tc>
          <w:tcPr>
            <w:tcW w:w="609" w:type="dxa"/>
            <w:vMerge w:val="continue"/>
            <w:tcBorders>
              <w:top w:val="single" w:color="auto" w:sz="4" w:space="0"/>
              <w:left w:val="single" w:color="auto" w:sz="4" w:space="0"/>
              <w:bottom w:val="single" w:color="auto" w:sz="4" w:space="0"/>
              <w:right w:val="single" w:color="auto" w:sz="4" w:space="0"/>
            </w:tcBorders>
            <w:vAlign w:val="center"/>
          </w:tcPr>
          <w:p w14:paraId="535462F4">
            <w:pPr>
              <w:widowControl w:val="0"/>
              <w:adjustRightInd/>
              <w:snapToGrid/>
              <w:spacing w:line="360" w:lineRule="auto"/>
              <w:jc w:val="center"/>
              <w:rPr>
                <w:rFonts w:hint="eastAsia" w:ascii="宋体" w:hAnsi="宋体" w:eastAsia="宋体" w:cs="宋体"/>
                <w:color w:val="auto"/>
                <w:kern w:val="2"/>
                <w:szCs w:val="21"/>
                <w:highlight w:val="none"/>
              </w:rPr>
            </w:pPr>
          </w:p>
        </w:tc>
        <w:tc>
          <w:tcPr>
            <w:tcW w:w="7727" w:type="dxa"/>
            <w:gridSpan w:val="2"/>
            <w:tcBorders>
              <w:top w:val="single" w:color="auto" w:sz="4" w:space="0"/>
              <w:left w:val="single" w:color="auto" w:sz="4" w:space="0"/>
              <w:bottom w:val="single" w:color="auto" w:sz="4" w:space="0"/>
              <w:right w:val="single" w:color="auto" w:sz="4" w:space="0"/>
            </w:tcBorders>
            <w:vAlign w:val="center"/>
          </w:tcPr>
          <w:p w14:paraId="749A8D32">
            <w:pPr>
              <w:widowControl/>
              <w:adjustRightInd/>
              <w:snapToGrid/>
              <w:spacing w:line="360" w:lineRule="auto"/>
              <w:jc w:val="righ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年    月    日</w:t>
            </w:r>
          </w:p>
        </w:tc>
      </w:tr>
      <w:tr w14:paraId="20A37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609" w:type="dxa"/>
            <w:vMerge w:val="continue"/>
            <w:tcBorders>
              <w:top w:val="single" w:color="auto" w:sz="4" w:space="0"/>
              <w:left w:val="single" w:color="auto" w:sz="4" w:space="0"/>
              <w:bottom w:val="single" w:color="auto" w:sz="4" w:space="0"/>
              <w:right w:val="single" w:color="auto" w:sz="4" w:space="0"/>
            </w:tcBorders>
            <w:vAlign w:val="center"/>
          </w:tcPr>
          <w:p w14:paraId="1F0C807A">
            <w:pPr>
              <w:widowControl w:val="0"/>
              <w:adjustRightInd/>
              <w:snapToGrid/>
              <w:spacing w:line="360" w:lineRule="auto"/>
              <w:jc w:val="center"/>
              <w:rPr>
                <w:rFonts w:hint="eastAsia" w:ascii="宋体" w:hAnsi="宋体" w:eastAsia="宋体" w:cs="宋体"/>
                <w:color w:val="auto"/>
                <w:kern w:val="2"/>
                <w:szCs w:val="21"/>
                <w:highlight w:val="none"/>
              </w:rPr>
            </w:pPr>
          </w:p>
        </w:tc>
        <w:tc>
          <w:tcPr>
            <w:tcW w:w="7727" w:type="dxa"/>
            <w:gridSpan w:val="2"/>
            <w:tcBorders>
              <w:top w:val="single" w:color="auto" w:sz="4" w:space="0"/>
              <w:left w:val="single" w:color="auto" w:sz="4" w:space="0"/>
              <w:bottom w:val="single" w:color="auto" w:sz="4" w:space="0"/>
              <w:right w:val="single" w:color="auto" w:sz="4" w:space="0"/>
            </w:tcBorders>
            <w:vAlign w:val="center"/>
          </w:tcPr>
          <w:p w14:paraId="6B03896A">
            <w:pPr>
              <w:widowControl/>
              <w:adjustRightInd/>
              <w:snapToGrid/>
              <w:spacing w:line="360" w:lineRule="auto"/>
              <w:jc w:val="lef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商务负责人：</w:t>
            </w:r>
          </w:p>
        </w:tc>
      </w:tr>
      <w:tr w14:paraId="501E9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609" w:type="dxa"/>
            <w:vMerge w:val="continue"/>
            <w:tcBorders>
              <w:top w:val="single" w:color="auto" w:sz="4" w:space="0"/>
              <w:left w:val="single" w:color="auto" w:sz="4" w:space="0"/>
              <w:bottom w:val="single" w:color="auto" w:sz="4" w:space="0"/>
              <w:right w:val="single" w:color="auto" w:sz="4" w:space="0"/>
            </w:tcBorders>
            <w:vAlign w:val="center"/>
          </w:tcPr>
          <w:p w14:paraId="7AE0D276">
            <w:pPr>
              <w:widowControl w:val="0"/>
              <w:adjustRightInd/>
              <w:snapToGrid/>
              <w:spacing w:line="360" w:lineRule="auto"/>
              <w:jc w:val="center"/>
              <w:rPr>
                <w:rFonts w:hint="eastAsia" w:ascii="宋体" w:hAnsi="宋体" w:eastAsia="宋体" w:cs="宋体"/>
                <w:color w:val="auto"/>
                <w:kern w:val="2"/>
                <w:szCs w:val="21"/>
                <w:highlight w:val="none"/>
              </w:rPr>
            </w:pPr>
          </w:p>
        </w:tc>
        <w:tc>
          <w:tcPr>
            <w:tcW w:w="7727" w:type="dxa"/>
            <w:gridSpan w:val="2"/>
            <w:tcBorders>
              <w:top w:val="single" w:color="auto" w:sz="4" w:space="0"/>
              <w:left w:val="single" w:color="auto" w:sz="4" w:space="0"/>
              <w:bottom w:val="single" w:color="auto" w:sz="4" w:space="0"/>
              <w:right w:val="single" w:color="auto" w:sz="4" w:space="0"/>
            </w:tcBorders>
            <w:vAlign w:val="center"/>
          </w:tcPr>
          <w:p w14:paraId="3A3DB3D2">
            <w:pPr>
              <w:widowControl/>
              <w:adjustRightInd/>
              <w:snapToGrid/>
              <w:spacing w:line="360" w:lineRule="auto"/>
              <w:jc w:val="righ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年    月    日</w:t>
            </w:r>
          </w:p>
        </w:tc>
      </w:tr>
      <w:tr w14:paraId="0C058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609" w:type="dxa"/>
            <w:vMerge w:val="continue"/>
            <w:tcBorders>
              <w:top w:val="single" w:color="auto" w:sz="4" w:space="0"/>
              <w:left w:val="single" w:color="auto" w:sz="4" w:space="0"/>
              <w:bottom w:val="single" w:color="auto" w:sz="4" w:space="0"/>
              <w:right w:val="single" w:color="auto" w:sz="4" w:space="0"/>
            </w:tcBorders>
            <w:vAlign w:val="center"/>
          </w:tcPr>
          <w:p w14:paraId="76F4FC5F">
            <w:pPr>
              <w:widowControl w:val="0"/>
              <w:adjustRightInd/>
              <w:snapToGrid/>
              <w:spacing w:line="360" w:lineRule="auto"/>
              <w:jc w:val="center"/>
              <w:rPr>
                <w:rFonts w:hint="eastAsia" w:ascii="宋体" w:hAnsi="宋体" w:eastAsia="宋体" w:cs="宋体"/>
                <w:color w:val="auto"/>
                <w:kern w:val="2"/>
                <w:szCs w:val="21"/>
                <w:highlight w:val="none"/>
              </w:rPr>
            </w:pPr>
          </w:p>
        </w:tc>
        <w:tc>
          <w:tcPr>
            <w:tcW w:w="7727" w:type="dxa"/>
            <w:gridSpan w:val="2"/>
            <w:tcBorders>
              <w:top w:val="single" w:color="auto" w:sz="4" w:space="0"/>
              <w:left w:val="single" w:color="auto" w:sz="4" w:space="0"/>
              <w:bottom w:val="single" w:color="auto" w:sz="4" w:space="0"/>
              <w:right w:val="single" w:color="auto" w:sz="4" w:space="0"/>
            </w:tcBorders>
            <w:vAlign w:val="center"/>
          </w:tcPr>
          <w:p w14:paraId="01136012">
            <w:pPr>
              <w:widowControl/>
              <w:adjustRightInd/>
              <w:snapToGrid/>
              <w:spacing w:line="360" w:lineRule="auto"/>
              <w:jc w:val="lef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项目负责人：</w:t>
            </w:r>
          </w:p>
        </w:tc>
      </w:tr>
      <w:tr w14:paraId="067E6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5" w:hRule="atLeast"/>
        </w:trPr>
        <w:tc>
          <w:tcPr>
            <w:tcW w:w="609" w:type="dxa"/>
            <w:vMerge w:val="continue"/>
            <w:tcBorders>
              <w:top w:val="single" w:color="auto" w:sz="4" w:space="0"/>
              <w:left w:val="single" w:color="auto" w:sz="4" w:space="0"/>
              <w:bottom w:val="single" w:color="auto" w:sz="4" w:space="0"/>
              <w:right w:val="single" w:color="auto" w:sz="4" w:space="0"/>
            </w:tcBorders>
            <w:vAlign w:val="center"/>
          </w:tcPr>
          <w:p w14:paraId="57B1492B">
            <w:pPr>
              <w:widowControl w:val="0"/>
              <w:adjustRightInd/>
              <w:snapToGrid/>
              <w:spacing w:line="360" w:lineRule="auto"/>
              <w:jc w:val="center"/>
              <w:rPr>
                <w:rFonts w:hint="eastAsia" w:ascii="宋体" w:hAnsi="宋体" w:eastAsia="宋体" w:cs="宋体"/>
                <w:color w:val="auto"/>
                <w:kern w:val="2"/>
                <w:szCs w:val="21"/>
                <w:highlight w:val="none"/>
              </w:rPr>
            </w:pPr>
          </w:p>
        </w:tc>
        <w:tc>
          <w:tcPr>
            <w:tcW w:w="7727" w:type="dxa"/>
            <w:gridSpan w:val="2"/>
            <w:tcBorders>
              <w:top w:val="single" w:color="auto" w:sz="4" w:space="0"/>
              <w:left w:val="single" w:color="auto" w:sz="4" w:space="0"/>
              <w:bottom w:val="single" w:color="auto" w:sz="4" w:space="0"/>
              <w:right w:val="single" w:color="auto" w:sz="4" w:space="0"/>
            </w:tcBorders>
            <w:vAlign w:val="center"/>
          </w:tcPr>
          <w:p w14:paraId="39764D9E">
            <w:pPr>
              <w:widowControl/>
              <w:adjustRightInd/>
              <w:snapToGrid/>
              <w:spacing w:line="360" w:lineRule="auto"/>
              <w:jc w:val="right"/>
              <w:textAlignment w:val="center"/>
              <w:rPr>
                <w:rFonts w:hint="eastAsia" w:ascii="宋体" w:hAnsi="宋体" w:eastAsia="宋体" w:cs="宋体"/>
                <w:color w:val="auto"/>
                <w:kern w:val="2"/>
                <w:szCs w:val="21"/>
                <w:highlight w:val="none"/>
              </w:rPr>
            </w:pPr>
            <w:r>
              <w:rPr>
                <w:rFonts w:hint="eastAsia" w:ascii="宋体" w:hAnsi="宋体" w:eastAsia="宋体" w:cs="宋体"/>
                <w:color w:val="auto"/>
                <w:kern w:val="0"/>
                <w:szCs w:val="21"/>
                <w:highlight w:val="none"/>
              </w:rPr>
              <w:t>年    月    日</w:t>
            </w:r>
          </w:p>
        </w:tc>
      </w:tr>
    </w:tbl>
    <w:p w14:paraId="0051F3CF">
      <w:pPr>
        <w:numPr>
          <w:ilvl w:val="0"/>
          <w:numId w:val="22"/>
        </w:numPr>
        <w:bidi w:val="0"/>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br w:type="page"/>
      </w:r>
      <w:bookmarkStart w:id="260" w:name="_Toc131690850"/>
      <w:bookmarkStart w:id="261" w:name="_Toc31881"/>
      <w:r>
        <w:rPr>
          <w:rFonts w:hint="eastAsia" w:ascii="宋体" w:hAnsi="宋体" w:eastAsia="宋体" w:cs="宋体"/>
          <w:color w:val="auto"/>
          <w:kern w:val="2"/>
          <w:szCs w:val="21"/>
          <w:highlight w:val="none"/>
        </w:rPr>
        <w:t>外判</w:t>
      </w:r>
      <w:r>
        <w:rPr>
          <w:rFonts w:hint="eastAsia" w:ascii="宋体" w:hAnsi="宋体" w:eastAsia="宋体" w:cs="宋体"/>
          <w:color w:val="auto"/>
          <w:kern w:val="2"/>
          <w:szCs w:val="21"/>
          <w:highlight w:val="none"/>
          <w:lang w:eastAsia="zh-CN"/>
        </w:rPr>
        <w:t>、</w:t>
      </w:r>
      <w:r>
        <w:rPr>
          <w:rFonts w:hint="eastAsia" w:ascii="宋体" w:hAnsi="宋体" w:eastAsia="宋体" w:cs="宋体"/>
          <w:color w:val="auto"/>
          <w:kern w:val="2"/>
          <w:szCs w:val="21"/>
          <w:highlight w:val="none"/>
        </w:rPr>
        <w:t>机械台班</w:t>
      </w:r>
      <w:r>
        <w:rPr>
          <w:rFonts w:hint="eastAsia" w:ascii="宋体" w:hAnsi="宋体" w:eastAsia="宋体" w:cs="宋体"/>
          <w:color w:val="auto"/>
          <w:kern w:val="2"/>
          <w:szCs w:val="21"/>
          <w:highlight w:val="none"/>
          <w:lang w:val="en-US" w:eastAsia="zh-CN"/>
        </w:rPr>
        <w:t>及日常配合项</w:t>
      </w:r>
      <w:r>
        <w:rPr>
          <w:rFonts w:hint="eastAsia" w:ascii="宋体" w:hAnsi="宋体" w:eastAsia="宋体" w:cs="宋体"/>
          <w:color w:val="auto"/>
          <w:sz w:val="21"/>
          <w:highlight w:val="none"/>
        </w:rPr>
        <w:t>工程验收</w:t>
      </w:r>
      <w:r>
        <w:rPr>
          <w:rFonts w:hint="eastAsia" w:ascii="宋体" w:hAnsi="宋体" w:eastAsia="宋体" w:cs="宋体"/>
          <w:color w:val="auto"/>
          <w:sz w:val="21"/>
          <w:highlight w:val="none"/>
          <w:lang w:val="en-US" w:eastAsia="zh-CN"/>
        </w:rPr>
        <w:t>核算单</w:t>
      </w:r>
      <w:bookmarkEnd w:id="260"/>
      <w:bookmarkEnd w:id="261"/>
    </w:p>
    <w:tbl>
      <w:tblPr>
        <w:tblStyle w:val="31"/>
        <w:tblW w:w="88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4"/>
        <w:gridCol w:w="770"/>
        <w:gridCol w:w="1045"/>
        <w:gridCol w:w="903"/>
        <w:gridCol w:w="800"/>
        <w:gridCol w:w="1045"/>
        <w:gridCol w:w="992"/>
        <w:gridCol w:w="771"/>
        <w:gridCol w:w="1037"/>
        <w:gridCol w:w="755"/>
      </w:tblGrid>
      <w:tr w14:paraId="2C50A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jc w:val="center"/>
        </w:trPr>
        <w:tc>
          <w:tcPr>
            <w:tcW w:w="8802" w:type="dxa"/>
            <w:gridSpan w:val="10"/>
            <w:tcBorders>
              <w:top w:val="single" w:color="000000" w:sz="8" w:space="0"/>
              <w:left w:val="single" w:color="000000" w:sz="8" w:space="0"/>
              <w:bottom w:val="single" w:color="000000" w:sz="8" w:space="0"/>
              <w:right w:val="single" w:color="000000" w:sz="8" w:space="0"/>
            </w:tcBorders>
            <w:shd w:val="clear" w:color="auto" w:fill="auto"/>
            <w:vAlign w:val="center"/>
          </w:tcPr>
          <w:p w14:paraId="0F72BE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一、外判工程项目</w:t>
            </w:r>
          </w:p>
        </w:tc>
      </w:tr>
      <w:tr w14:paraId="1F533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68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D1D0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单号</w:t>
            </w:r>
          </w:p>
        </w:tc>
        <w:tc>
          <w:tcPr>
            <w:tcW w:w="7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792F1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项目</w:t>
            </w: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E32D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技改或处理原因</w:t>
            </w:r>
          </w:p>
        </w:tc>
        <w:tc>
          <w:tcPr>
            <w:tcW w:w="9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BAD3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工作类别</w:t>
            </w:r>
          </w:p>
        </w:tc>
        <w:tc>
          <w:tcPr>
            <w:tcW w:w="8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717A4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单价</w:t>
            </w: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FD11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外包申报用工量</w:t>
            </w:r>
          </w:p>
        </w:tc>
        <w:tc>
          <w:tcPr>
            <w:tcW w:w="9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4AE2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我方核实用工量</w:t>
            </w:r>
          </w:p>
        </w:tc>
        <w:tc>
          <w:tcPr>
            <w:tcW w:w="7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BA46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合价</w:t>
            </w:r>
          </w:p>
        </w:tc>
        <w:tc>
          <w:tcPr>
            <w:tcW w:w="10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1A2F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验收及核实人</w:t>
            </w:r>
          </w:p>
        </w:tc>
        <w:tc>
          <w:tcPr>
            <w:tcW w:w="75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280CB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核实说明及备注</w:t>
            </w:r>
          </w:p>
        </w:tc>
      </w:tr>
      <w:tr w14:paraId="452F6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jc w:val="center"/>
        </w:trPr>
        <w:tc>
          <w:tcPr>
            <w:tcW w:w="68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F16B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E4D03A2">
            <w:pPr>
              <w:jc w:val="center"/>
              <w:rPr>
                <w:rFonts w:hint="eastAsia" w:ascii="宋体" w:hAnsi="宋体" w:eastAsia="宋体" w:cs="宋体"/>
                <w:i w:val="0"/>
                <w:iCs w:val="0"/>
                <w:color w:val="auto"/>
                <w:sz w:val="22"/>
                <w:szCs w:val="22"/>
                <w:highlight w:val="none"/>
                <w:u w:val="none"/>
              </w:rPr>
            </w:pP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92F6E8E">
            <w:pPr>
              <w:jc w:val="center"/>
              <w:rPr>
                <w:rFonts w:hint="eastAsia" w:ascii="宋体" w:hAnsi="宋体" w:eastAsia="宋体" w:cs="宋体"/>
                <w:i w:val="0"/>
                <w:iCs w:val="0"/>
                <w:color w:val="auto"/>
                <w:sz w:val="21"/>
                <w:szCs w:val="21"/>
                <w:highlight w:val="none"/>
                <w:u w:val="none"/>
              </w:rPr>
            </w:pPr>
          </w:p>
        </w:tc>
        <w:tc>
          <w:tcPr>
            <w:tcW w:w="90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B64D86C">
            <w:pPr>
              <w:jc w:val="center"/>
              <w:rPr>
                <w:rFonts w:hint="eastAsia" w:ascii="宋体" w:hAnsi="宋体" w:eastAsia="宋体" w:cs="宋体"/>
                <w:i w:val="0"/>
                <w:iCs w:val="0"/>
                <w:color w:val="auto"/>
                <w:sz w:val="22"/>
                <w:szCs w:val="22"/>
                <w:highlight w:val="none"/>
                <w:u w:val="none"/>
              </w:rPr>
            </w:pPr>
          </w:p>
        </w:tc>
        <w:tc>
          <w:tcPr>
            <w:tcW w:w="80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E44257D">
            <w:pPr>
              <w:jc w:val="center"/>
              <w:rPr>
                <w:rFonts w:hint="eastAsia" w:ascii="宋体" w:hAnsi="宋体" w:eastAsia="宋体" w:cs="宋体"/>
                <w:i w:val="0"/>
                <w:iCs w:val="0"/>
                <w:color w:val="auto"/>
                <w:sz w:val="22"/>
                <w:szCs w:val="22"/>
                <w:highlight w:val="none"/>
                <w:u w:val="none"/>
              </w:rPr>
            </w:pP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1A8C86A">
            <w:pPr>
              <w:jc w:val="center"/>
              <w:rPr>
                <w:rFonts w:hint="eastAsia" w:ascii="宋体" w:hAnsi="宋体" w:eastAsia="宋体" w:cs="宋体"/>
                <w:i w:val="0"/>
                <w:iCs w:val="0"/>
                <w:color w:val="auto"/>
                <w:sz w:val="22"/>
                <w:szCs w:val="22"/>
                <w:highlight w:val="none"/>
                <w:u w:val="none"/>
              </w:rPr>
            </w:pPr>
          </w:p>
        </w:tc>
        <w:tc>
          <w:tcPr>
            <w:tcW w:w="9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9CEA9C8">
            <w:pPr>
              <w:jc w:val="center"/>
              <w:rPr>
                <w:rFonts w:hint="eastAsia" w:ascii="宋体" w:hAnsi="宋体" w:eastAsia="宋体" w:cs="宋体"/>
                <w:i w:val="0"/>
                <w:iCs w:val="0"/>
                <w:color w:val="auto"/>
                <w:sz w:val="22"/>
                <w:szCs w:val="22"/>
                <w:highlight w:val="none"/>
                <w:u w:val="none"/>
              </w:rPr>
            </w:pPr>
          </w:p>
        </w:tc>
        <w:tc>
          <w:tcPr>
            <w:tcW w:w="7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AFE561E">
            <w:pPr>
              <w:jc w:val="center"/>
              <w:rPr>
                <w:rFonts w:hint="eastAsia" w:ascii="宋体" w:hAnsi="宋体" w:eastAsia="宋体" w:cs="宋体"/>
                <w:i w:val="0"/>
                <w:iCs w:val="0"/>
                <w:color w:val="auto"/>
                <w:sz w:val="21"/>
                <w:szCs w:val="21"/>
                <w:highlight w:val="none"/>
                <w:u w:val="none"/>
              </w:rPr>
            </w:pPr>
          </w:p>
        </w:tc>
        <w:tc>
          <w:tcPr>
            <w:tcW w:w="103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2D4413C">
            <w:pPr>
              <w:jc w:val="center"/>
              <w:rPr>
                <w:rFonts w:hint="eastAsia" w:ascii="宋体" w:hAnsi="宋体" w:eastAsia="宋体" w:cs="宋体"/>
                <w:i w:val="0"/>
                <w:iCs w:val="0"/>
                <w:color w:val="auto"/>
                <w:sz w:val="22"/>
                <w:szCs w:val="22"/>
                <w:highlight w:val="none"/>
                <w:u w:val="none"/>
              </w:rPr>
            </w:pPr>
          </w:p>
        </w:tc>
        <w:tc>
          <w:tcPr>
            <w:tcW w:w="7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6524858">
            <w:pPr>
              <w:jc w:val="center"/>
              <w:rPr>
                <w:rFonts w:hint="eastAsia" w:ascii="宋体" w:hAnsi="宋体" w:eastAsia="宋体" w:cs="宋体"/>
                <w:i w:val="0"/>
                <w:iCs w:val="0"/>
                <w:color w:val="auto"/>
                <w:sz w:val="22"/>
                <w:szCs w:val="22"/>
                <w:highlight w:val="none"/>
                <w:u w:val="none"/>
              </w:rPr>
            </w:pPr>
          </w:p>
        </w:tc>
      </w:tr>
      <w:tr w14:paraId="6C6CC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2499" w:type="dxa"/>
            <w:gridSpan w:val="3"/>
            <w:tcBorders>
              <w:top w:val="nil"/>
              <w:left w:val="single" w:color="000000" w:sz="8" w:space="0"/>
              <w:bottom w:val="single" w:color="000000" w:sz="8" w:space="0"/>
              <w:right w:val="nil"/>
            </w:tcBorders>
            <w:shd w:val="clear" w:color="auto" w:fill="auto"/>
            <w:vAlign w:val="center"/>
          </w:tcPr>
          <w:p w14:paraId="558A8C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本次外判工程项目合价</w:t>
            </w:r>
          </w:p>
        </w:tc>
        <w:tc>
          <w:tcPr>
            <w:tcW w:w="5548" w:type="dxa"/>
            <w:gridSpan w:val="6"/>
            <w:tcBorders>
              <w:top w:val="nil"/>
              <w:left w:val="single" w:color="000000" w:sz="8" w:space="0"/>
              <w:bottom w:val="single" w:color="000000" w:sz="8" w:space="0"/>
              <w:right w:val="nil"/>
            </w:tcBorders>
            <w:shd w:val="clear" w:color="auto" w:fill="auto"/>
            <w:vAlign w:val="center"/>
          </w:tcPr>
          <w:p w14:paraId="712A97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w:t>
            </w:r>
          </w:p>
        </w:tc>
        <w:tc>
          <w:tcPr>
            <w:tcW w:w="755" w:type="dxa"/>
            <w:tcBorders>
              <w:top w:val="nil"/>
              <w:left w:val="single" w:color="000000" w:sz="8" w:space="0"/>
              <w:bottom w:val="single" w:color="000000" w:sz="8" w:space="0"/>
              <w:right w:val="single" w:color="000000" w:sz="8" w:space="0"/>
            </w:tcBorders>
            <w:shd w:val="clear" w:color="auto" w:fill="auto"/>
            <w:noWrap/>
            <w:vAlign w:val="center"/>
          </w:tcPr>
          <w:p w14:paraId="0B2D06E3">
            <w:pPr>
              <w:rPr>
                <w:rFonts w:hint="eastAsia" w:ascii="宋体" w:hAnsi="宋体" w:eastAsia="宋体" w:cs="宋体"/>
                <w:i w:val="0"/>
                <w:iCs w:val="0"/>
                <w:color w:val="auto"/>
                <w:sz w:val="22"/>
                <w:szCs w:val="22"/>
                <w:highlight w:val="none"/>
                <w:u w:val="none"/>
              </w:rPr>
            </w:pPr>
          </w:p>
        </w:tc>
      </w:tr>
      <w:tr w14:paraId="3AAB5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8802" w:type="dxa"/>
            <w:gridSpan w:val="10"/>
            <w:tcBorders>
              <w:top w:val="single" w:color="000000" w:sz="8" w:space="0"/>
              <w:left w:val="single" w:color="000000" w:sz="8" w:space="0"/>
              <w:bottom w:val="single" w:color="000000" w:sz="8" w:space="0"/>
              <w:right w:val="single" w:color="000000" w:sz="8" w:space="0"/>
            </w:tcBorders>
            <w:shd w:val="clear" w:color="auto" w:fill="auto"/>
            <w:vAlign w:val="center"/>
          </w:tcPr>
          <w:p w14:paraId="40DC6AD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二、机械台班项目</w:t>
            </w:r>
          </w:p>
        </w:tc>
      </w:tr>
      <w:tr w14:paraId="6C075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68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EB47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单号</w:t>
            </w:r>
          </w:p>
        </w:tc>
        <w:tc>
          <w:tcPr>
            <w:tcW w:w="7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BF201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项目</w:t>
            </w: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E723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处理原因</w:t>
            </w:r>
          </w:p>
        </w:tc>
        <w:tc>
          <w:tcPr>
            <w:tcW w:w="9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537E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单位</w:t>
            </w:r>
          </w:p>
        </w:tc>
        <w:tc>
          <w:tcPr>
            <w:tcW w:w="80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0C3F27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单价</w:t>
            </w: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2118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外包申报用工量</w:t>
            </w:r>
          </w:p>
        </w:tc>
        <w:tc>
          <w:tcPr>
            <w:tcW w:w="9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7853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我方核实用工量</w:t>
            </w:r>
          </w:p>
        </w:tc>
        <w:tc>
          <w:tcPr>
            <w:tcW w:w="7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8427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合价</w:t>
            </w:r>
          </w:p>
        </w:tc>
        <w:tc>
          <w:tcPr>
            <w:tcW w:w="10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0F7D2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验收及核实人</w:t>
            </w:r>
          </w:p>
        </w:tc>
        <w:tc>
          <w:tcPr>
            <w:tcW w:w="75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ECE7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核实说明及备注</w:t>
            </w:r>
          </w:p>
        </w:tc>
      </w:tr>
      <w:tr w14:paraId="6A222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jc w:val="center"/>
        </w:trPr>
        <w:tc>
          <w:tcPr>
            <w:tcW w:w="68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E55E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70" w:type="dxa"/>
            <w:tcBorders>
              <w:top w:val="nil"/>
              <w:left w:val="nil"/>
              <w:bottom w:val="nil"/>
              <w:right w:val="nil"/>
            </w:tcBorders>
            <w:shd w:val="clear" w:color="auto" w:fill="auto"/>
            <w:vAlign w:val="center"/>
          </w:tcPr>
          <w:p w14:paraId="4C293993">
            <w:pPr>
              <w:jc w:val="center"/>
              <w:rPr>
                <w:rFonts w:hint="eastAsia" w:ascii="宋体" w:hAnsi="宋体" w:eastAsia="宋体" w:cs="宋体"/>
                <w:i w:val="0"/>
                <w:iCs w:val="0"/>
                <w:color w:val="auto"/>
                <w:sz w:val="22"/>
                <w:szCs w:val="22"/>
                <w:highlight w:val="none"/>
                <w:u w:val="none"/>
              </w:rPr>
            </w:pP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F4192D">
            <w:pPr>
              <w:jc w:val="center"/>
              <w:rPr>
                <w:rFonts w:hint="eastAsia" w:ascii="宋体" w:hAnsi="宋体" w:eastAsia="宋体" w:cs="宋体"/>
                <w:i w:val="0"/>
                <w:iCs w:val="0"/>
                <w:color w:val="auto"/>
                <w:sz w:val="21"/>
                <w:szCs w:val="21"/>
                <w:highlight w:val="none"/>
                <w:u w:val="none"/>
              </w:rPr>
            </w:pPr>
          </w:p>
        </w:tc>
        <w:tc>
          <w:tcPr>
            <w:tcW w:w="90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5BEA41E">
            <w:pPr>
              <w:jc w:val="center"/>
              <w:rPr>
                <w:rFonts w:hint="eastAsia" w:ascii="宋体" w:hAnsi="宋体" w:eastAsia="宋体" w:cs="宋体"/>
                <w:i w:val="0"/>
                <w:iCs w:val="0"/>
                <w:color w:val="auto"/>
                <w:sz w:val="22"/>
                <w:szCs w:val="22"/>
                <w:highlight w:val="none"/>
                <w:u w:val="none"/>
              </w:rPr>
            </w:pPr>
          </w:p>
        </w:tc>
        <w:tc>
          <w:tcPr>
            <w:tcW w:w="80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D914A53">
            <w:pPr>
              <w:jc w:val="center"/>
              <w:rPr>
                <w:rFonts w:hint="eastAsia" w:ascii="宋体" w:hAnsi="宋体" w:eastAsia="宋体" w:cs="宋体"/>
                <w:i w:val="0"/>
                <w:iCs w:val="0"/>
                <w:color w:val="auto"/>
                <w:sz w:val="22"/>
                <w:szCs w:val="22"/>
                <w:highlight w:val="none"/>
                <w:u w:val="none"/>
              </w:rPr>
            </w:pPr>
          </w:p>
        </w:tc>
        <w:tc>
          <w:tcPr>
            <w:tcW w:w="104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184AF7">
            <w:pPr>
              <w:jc w:val="center"/>
              <w:rPr>
                <w:rFonts w:hint="eastAsia" w:ascii="宋体" w:hAnsi="宋体" w:eastAsia="宋体" w:cs="宋体"/>
                <w:i w:val="0"/>
                <w:iCs w:val="0"/>
                <w:color w:val="auto"/>
                <w:sz w:val="22"/>
                <w:szCs w:val="22"/>
                <w:highlight w:val="none"/>
                <w:u w:val="none"/>
              </w:rPr>
            </w:pPr>
          </w:p>
        </w:tc>
        <w:tc>
          <w:tcPr>
            <w:tcW w:w="99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273FC07">
            <w:pPr>
              <w:jc w:val="center"/>
              <w:rPr>
                <w:rFonts w:hint="eastAsia" w:ascii="宋体" w:hAnsi="宋体" w:eastAsia="宋体" w:cs="宋体"/>
                <w:i w:val="0"/>
                <w:iCs w:val="0"/>
                <w:color w:val="auto"/>
                <w:sz w:val="22"/>
                <w:szCs w:val="22"/>
                <w:highlight w:val="none"/>
                <w:u w:val="none"/>
              </w:rPr>
            </w:pPr>
          </w:p>
        </w:tc>
        <w:tc>
          <w:tcPr>
            <w:tcW w:w="7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951F78">
            <w:pPr>
              <w:jc w:val="center"/>
              <w:rPr>
                <w:rFonts w:hint="eastAsia" w:ascii="宋体" w:hAnsi="宋体" w:eastAsia="宋体" w:cs="宋体"/>
                <w:i w:val="0"/>
                <w:iCs w:val="0"/>
                <w:color w:val="auto"/>
                <w:sz w:val="21"/>
                <w:szCs w:val="21"/>
                <w:highlight w:val="none"/>
                <w:u w:val="none"/>
              </w:rPr>
            </w:pPr>
          </w:p>
        </w:tc>
        <w:tc>
          <w:tcPr>
            <w:tcW w:w="10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190C38">
            <w:pPr>
              <w:jc w:val="center"/>
              <w:rPr>
                <w:rFonts w:hint="eastAsia" w:ascii="宋体" w:hAnsi="宋体" w:eastAsia="宋体" w:cs="宋体"/>
                <w:i w:val="0"/>
                <w:iCs w:val="0"/>
                <w:color w:val="auto"/>
                <w:sz w:val="21"/>
                <w:szCs w:val="21"/>
                <w:highlight w:val="none"/>
                <w:u w:val="none"/>
              </w:rPr>
            </w:pPr>
          </w:p>
        </w:tc>
        <w:tc>
          <w:tcPr>
            <w:tcW w:w="7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92FA3FD">
            <w:pPr>
              <w:jc w:val="center"/>
              <w:rPr>
                <w:rFonts w:hint="eastAsia" w:ascii="宋体" w:hAnsi="宋体" w:eastAsia="宋体" w:cs="宋体"/>
                <w:i w:val="0"/>
                <w:iCs w:val="0"/>
                <w:color w:val="auto"/>
                <w:sz w:val="21"/>
                <w:szCs w:val="21"/>
                <w:highlight w:val="none"/>
                <w:u w:val="none"/>
              </w:rPr>
            </w:pPr>
          </w:p>
        </w:tc>
      </w:tr>
      <w:tr w14:paraId="4999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2499"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2E95F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本次机械台班项目合价</w:t>
            </w:r>
          </w:p>
        </w:tc>
        <w:tc>
          <w:tcPr>
            <w:tcW w:w="5548"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4A092C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8" w:space="0"/>
                <w:lang w:val="en-US" w:eastAsia="zh-CN" w:bidi="ar"/>
              </w:rPr>
              <w:drawing>
                <wp:anchor distT="0" distB="0" distL="114300" distR="114300" simplePos="0" relativeHeight="251659264" behindDoc="0" locked="0" layoutInCell="1" allowOverlap="1">
                  <wp:simplePos x="0" y="0"/>
                  <wp:positionH relativeFrom="column">
                    <wp:posOffset>45085</wp:posOffset>
                  </wp:positionH>
                  <wp:positionV relativeFrom="paragraph">
                    <wp:posOffset>0</wp:posOffset>
                  </wp:positionV>
                  <wp:extent cx="911860" cy="219710"/>
                  <wp:effectExtent l="0" t="0" r="0" b="0"/>
                  <wp:wrapNone/>
                  <wp:docPr id="6" name="图片_1"/>
                  <wp:cNvGraphicFramePr/>
                  <a:graphic xmlns:a="http://schemas.openxmlformats.org/drawingml/2006/main">
                    <a:graphicData uri="http://schemas.openxmlformats.org/drawingml/2006/picture">
                      <pic:pic xmlns:pic="http://schemas.openxmlformats.org/drawingml/2006/picture">
                        <pic:nvPicPr>
                          <pic:cNvPr id="6" name="图片_1"/>
                          <pic:cNvPicPr/>
                        </pic:nvPicPr>
                        <pic:blipFill>
                          <a:blip r:embed="rId17"/>
                          <a:stretch>
                            <a:fillRect/>
                          </a:stretch>
                        </pic:blipFill>
                        <pic:spPr>
                          <a:xfrm>
                            <a:off x="0" y="0"/>
                            <a:ext cx="911860" cy="219710"/>
                          </a:xfrm>
                          <a:prstGeom prst="rect">
                            <a:avLst/>
                          </a:prstGeom>
                          <a:noFill/>
                          <a:ln>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 xml:space="preserve">0.00 </w:t>
            </w:r>
          </w:p>
        </w:tc>
        <w:tc>
          <w:tcPr>
            <w:tcW w:w="7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629CB4D">
            <w:pPr>
              <w:rPr>
                <w:rFonts w:hint="eastAsia" w:ascii="宋体" w:hAnsi="宋体" w:eastAsia="宋体" w:cs="宋体"/>
                <w:i w:val="0"/>
                <w:iCs w:val="0"/>
                <w:color w:val="auto"/>
                <w:sz w:val="22"/>
                <w:szCs w:val="22"/>
                <w:highlight w:val="none"/>
                <w:u w:val="none"/>
              </w:rPr>
            </w:pPr>
          </w:p>
        </w:tc>
      </w:tr>
      <w:tr w14:paraId="1A18E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8802" w:type="dxa"/>
            <w:gridSpan w:val="10"/>
            <w:tcBorders>
              <w:top w:val="single" w:color="000000" w:sz="8" w:space="0"/>
              <w:left w:val="single" w:color="000000" w:sz="8" w:space="0"/>
              <w:bottom w:val="single" w:color="000000" w:sz="8" w:space="0"/>
              <w:right w:val="single" w:color="000000" w:sz="8" w:space="0"/>
            </w:tcBorders>
            <w:shd w:val="clear" w:color="auto" w:fill="auto"/>
            <w:vAlign w:val="center"/>
          </w:tcPr>
          <w:p w14:paraId="03349B2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三、日常配合项目</w:t>
            </w:r>
          </w:p>
        </w:tc>
      </w:tr>
      <w:tr w14:paraId="13A45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68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8568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单号</w:t>
            </w:r>
          </w:p>
        </w:tc>
        <w:tc>
          <w:tcPr>
            <w:tcW w:w="7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0E451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项目</w:t>
            </w: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E5AF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处理原因</w:t>
            </w:r>
          </w:p>
        </w:tc>
        <w:tc>
          <w:tcPr>
            <w:tcW w:w="9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162B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单位</w:t>
            </w:r>
          </w:p>
        </w:tc>
        <w:tc>
          <w:tcPr>
            <w:tcW w:w="8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875C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单价</w:t>
            </w: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D4FC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外包申报用工量</w:t>
            </w:r>
          </w:p>
        </w:tc>
        <w:tc>
          <w:tcPr>
            <w:tcW w:w="9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C1D52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我方核实用工量</w:t>
            </w:r>
          </w:p>
        </w:tc>
        <w:tc>
          <w:tcPr>
            <w:tcW w:w="7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0E89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合价</w:t>
            </w:r>
          </w:p>
        </w:tc>
        <w:tc>
          <w:tcPr>
            <w:tcW w:w="10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976F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验收及核实人</w:t>
            </w:r>
          </w:p>
        </w:tc>
        <w:tc>
          <w:tcPr>
            <w:tcW w:w="75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4CC7B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核实说明及备注</w:t>
            </w:r>
          </w:p>
        </w:tc>
      </w:tr>
      <w:tr w14:paraId="5008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68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201F9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8D2D">
            <w:pPr>
              <w:jc w:val="center"/>
              <w:rPr>
                <w:rFonts w:hint="eastAsia" w:ascii="宋体" w:hAnsi="宋体" w:eastAsia="宋体" w:cs="宋体"/>
                <w:i w:val="0"/>
                <w:iCs w:val="0"/>
                <w:color w:val="auto"/>
                <w:sz w:val="22"/>
                <w:szCs w:val="22"/>
                <w:highlight w:val="none"/>
                <w:u w:val="none"/>
              </w:rPr>
            </w:pP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F7DCF5">
            <w:pPr>
              <w:jc w:val="center"/>
              <w:rPr>
                <w:rFonts w:hint="eastAsia" w:ascii="宋体" w:hAnsi="宋体" w:eastAsia="宋体" w:cs="宋体"/>
                <w:i w:val="0"/>
                <w:iCs w:val="0"/>
                <w:color w:val="auto"/>
                <w:sz w:val="21"/>
                <w:szCs w:val="21"/>
                <w:highlight w:val="none"/>
                <w:u w:val="none"/>
              </w:rPr>
            </w:pPr>
          </w:p>
        </w:tc>
        <w:tc>
          <w:tcPr>
            <w:tcW w:w="90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99CC0AC">
            <w:pPr>
              <w:jc w:val="center"/>
              <w:rPr>
                <w:rFonts w:hint="eastAsia" w:ascii="宋体" w:hAnsi="宋体" w:eastAsia="宋体" w:cs="宋体"/>
                <w:i w:val="0"/>
                <w:iCs w:val="0"/>
                <w:color w:val="auto"/>
                <w:sz w:val="21"/>
                <w:szCs w:val="21"/>
                <w:highlight w:val="none"/>
                <w:u w:val="none"/>
              </w:rPr>
            </w:pPr>
          </w:p>
        </w:tc>
        <w:tc>
          <w:tcPr>
            <w:tcW w:w="800"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4F36CB19">
            <w:pPr>
              <w:jc w:val="center"/>
              <w:rPr>
                <w:rFonts w:hint="eastAsia" w:ascii="宋体" w:hAnsi="宋体" w:eastAsia="宋体" w:cs="宋体"/>
                <w:i w:val="0"/>
                <w:iCs w:val="0"/>
                <w:color w:val="auto"/>
                <w:sz w:val="22"/>
                <w:szCs w:val="22"/>
                <w:highlight w:val="none"/>
                <w:u w:val="none"/>
              </w:rPr>
            </w:pPr>
          </w:p>
        </w:tc>
        <w:tc>
          <w:tcPr>
            <w:tcW w:w="10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5A6A5E">
            <w:pPr>
              <w:jc w:val="center"/>
              <w:rPr>
                <w:rFonts w:hint="eastAsia" w:ascii="宋体" w:hAnsi="宋体" w:eastAsia="宋体" w:cs="宋体"/>
                <w:i w:val="0"/>
                <w:iCs w:val="0"/>
                <w:color w:val="auto"/>
                <w:sz w:val="21"/>
                <w:szCs w:val="21"/>
                <w:highlight w:val="none"/>
                <w:u w:val="none"/>
              </w:rPr>
            </w:pPr>
          </w:p>
        </w:tc>
        <w:tc>
          <w:tcPr>
            <w:tcW w:w="99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F74996">
            <w:pPr>
              <w:jc w:val="center"/>
              <w:rPr>
                <w:rFonts w:hint="eastAsia" w:ascii="宋体" w:hAnsi="宋体" w:eastAsia="宋体" w:cs="宋体"/>
                <w:i w:val="0"/>
                <w:iCs w:val="0"/>
                <w:color w:val="auto"/>
                <w:sz w:val="21"/>
                <w:szCs w:val="21"/>
                <w:highlight w:val="none"/>
                <w:u w:val="none"/>
              </w:rPr>
            </w:pPr>
          </w:p>
        </w:tc>
        <w:tc>
          <w:tcPr>
            <w:tcW w:w="7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B10CBEC">
            <w:pPr>
              <w:jc w:val="center"/>
              <w:rPr>
                <w:rFonts w:hint="eastAsia" w:ascii="宋体" w:hAnsi="宋体" w:eastAsia="宋体" w:cs="宋体"/>
                <w:i w:val="0"/>
                <w:iCs w:val="0"/>
                <w:color w:val="auto"/>
                <w:sz w:val="21"/>
                <w:szCs w:val="21"/>
                <w:highlight w:val="none"/>
                <w:u w:val="none"/>
              </w:rPr>
            </w:pPr>
          </w:p>
        </w:tc>
        <w:tc>
          <w:tcPr>
            <w:tcW w:w="10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222755">
            <w:pPr>
              <w:jc w:val="center"/>
              <w:rPr>
                <w:rFonts w:hint="eastAsia" w:ascii="宋体" w:hAnsi="宋体" w:eastAsia="宋体" w:cs="宋体"/>
                <w:i w:val="0"/>
                <w:iCs w:val="0"/>
                <w:color w:val="auto"/>
                <w:sz w:val="21"/>
                <w:szCs w:val="21"/>
                <w:highlight w:val="none"/>
                <w:u w:val="none"/>
              </w:rPr>
            </w:pPr>
          </w:p>
        </w:tc>
        <w:tc>
          <w:tcPr>
            <w:tcW w:w="7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97BFBED">
            <w:pPr>
              <w:jc w:val="center"/>
              <w:rPr>
                <w:rFonts w:hint="eastAsia" w:ascii="宋体" w:hAnsi="宋体" w:eastAsia="宋体" w:cs="宋体"/>
                <w:i w:val="0"/>
                <w:iCs w:val="0"/>
                <w:color w:val="auto"/>
                <w:sz w:val="21"/>
                <w:szCs w:val="21"/>
                <w:highlight w:val="none"/>
                <w:u w:val="none"/>
              </w:rPr>
            </w:pPr>
          </w:p>
        </w:tc>
      </w:tr>
      <w:tr w14:paraId="1F2F2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2499"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081FA1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本次日常配合项目合价</w:t>
            </w:r>
          </w:p>
        </w:tc>
        <w:tc>
          <w:tcPr>
            <w:tcW w:w="5548"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2062AE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8" w:space="0"/>
                <w:lang w:val="en-US" w:eastAsia="zh-CN" w:bidi="ar"/>
              </w:rPr>
              <w:drawing>
                <wp:anchor distT="0" distB="0" distL="114300" distR="114300" simplePos="0" relativeHeight="251659264" behindDoc="0" locked="0" layoutInCell="1" allowOverlap="1">
                  <wp:simplePos x="0" y="0"/>
                  <wp:positionH relativeFrom="column">
                    <wp:posOffset>45085</wp:posOffset>
                  </wp:positionH>
                  <wp:positionV relativeFrom="paragraph">
                    <wp:posOffset>0</wp:posOffset>
                  </wp:positionV>
                  <wp:extent cx="911860" cy="219710"/>
                  <wp:effectExtent l="0" t="0" r="0" b="0"/>
                  <wp:wrapNone/>
                  <wp:docPr id="5" name="图片_2"/>
                  <wp:cNvGraphicFramePr/>
                  <a:graphic xmlns:a="http://schemas.openxmlformats.org/drawingml/2006/main">
                    <a:graphicData uri="http://schemas.openxmlformats.org/drawingml/2006/picture">
                      <pic:pic xmlns:pic="http://schemas.openxmlformats.org/drawingml/2006/picture">
                        <pic:nvPicPr>
                          <pic:cNvPr id="5" name="图片_2"/>
                          <pic:cNvPicPr/>
                        </pic:nvPicPr>
                        <pic:blipFill>
                          <a:blip r:embed="rId17"/>
                          <a:stretch>
                            <a:fillRect/>
                          </a:stretch>
                        </pic:blipFill>
                        <pic:spPr>
                          <a:xfrm>
                            <a:off x="0" y="0"/>
                            <a:ext cx="911860" cy="219710"/>
                          </a:xfrm>
                          <a:prstGeom prst="rect">
                            <a:avLst/>
                          </a:prstGeom>
                          <a:noFill/>
                          <a:ln>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 xml:space="preserve">0.00 </w:t>
            </w:r>
          </w:p>
        </w:tc>
        <w:tc>
          <w:tcPr>
            <w:tcW w:w="7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2021324">
            <w:pPr>
              <w:rPr>
                <w:rFonts w:hint="eastAsia" w:ascii="宋体" w:hAnsi="宋体" w:eastAsia="宋体" w:cs="宋体"/>
                <w:i w:val="0"/>
                <w:iCs w:val="0"/>
                <w:color w:val="auto"/>
                <w:sz w:val="22"/>
                <w:szCs w:val="22"/>
                <w:highlight w:val="none"/>
                <w:u w:val="none"/>
              </w:rPr>
            </w:pPr>
          </w:p>
        </w:tc>
      </w:tr>
      <w:tr w14:paraId="3A366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jc w:val="center"/>
        </w:trPr>
        <w:tc>
          <w:tcPr>
            <w:tcW w:w="2499"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689A27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一+二+三所有项目合计总价</w:t>
            </w:r>
          </w:p>
        </w:tc>
        <w:tc>
          <w:tcPr>
            <w:tcW w:w="5548"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48A440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0.00 </w:t>
            </w:r>
          </w:p>
        </w:tc>
        <w:tc>
          <w:tcPr>
            <w:tcW w:w="75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2B2C1A7">
            <w:pPr>
              <w:rPr>
                <w:rFonts w:hint="eastAsia" w:ascii="宋体" w:hAnsi="宋体" w:eastAsia="宋体" w:cs="宋体"/>
                <w:i w:val="0"/>
                <w:iCs w:val="0"/>
                <w:color w:val="auto"/>
                <w:sz w:val="22"/>
                <w:szCs w:val="22"/>
                <w:highlight w:val="none"/>
                <w:u w:val="none"/>
              </w:rPr>
            </w:pPr>
          </w:p>
        </w:tc>
      </w:tr>
      <w:tr w14:paraId="34C7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jc w:val="center"/>
        </w:trPr>
        <w:tc>
          <w:tcPr>
            <w:tcW w:w="8802" w:type="dxa"/>
            <w:gridSpan w:val="10"/>
            <w:tcBorders>
              <w:top w:val="nil"/>
              <w:left w:val="single" w:color="000000" w:sz="8" w:space="0"/>
              <w:bottom w:val="single" w:color="000000" w:sz="8" w:space="0"/>
              <w:right w:val="single" w:color="000000" w:sz="8" w:space="0"/>
            </w:tcBorders>
            <w:shd w:val="clear" w:color="auto" w:fill="auto"/>
            <w:vAlign w:val="center"/>
          </w:tcPr>
          <w:p w14:paraId="7D01E4B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验收、</w:t>
            </w:r>
            <w:r>
              <w:rPr>
                <w:rFonts w:hint="eastAsia" w:ascii="宋体" w:hAnsi="宋体" w:cs="宋体"/>
                <w:b/>
                <w:bCs/>
                <w:i w:val="0"/>
                <w:iCs w:val="0"/>
                <w:color w:val="auto"/>
                <w:kern w:val="0"/>
                <w:sz w:val="21"/>
                <w:szCs w:val="21"/>
                <w:highlight w:val="none"/>
                <w:u w:val="none"/>
                <w:lang w:val="en-US" w:eastAsia="zh-CN" w:bidi="ar"/>
              </w:rPr>
              <w:t>核价</w:t>
            </w:r>
            <w:r>
              <w:rPr>
                <w:rFonts w:hint="eastAsia" w:ascii="宋体" w:hAnsi="宋体" w:eastAsia="宋体" w:cs="宋体"/>
                <w:b/>
                <w:bCs/>
                <w:i w:val="0"/>
                <w:iCs w:val="0"/>
                <w:color w:val="auto"/>
                <w:kern w:val="0"/>
                <w:sz w:val="21"/>
                <w:szCs w:val="21"/>
                <w:highlight w:val="none"/>
                <w:u w:val="none"/>
                <w:lang w:val="en-US" w:eastAsia="zh-CN" w:bidi="ar"/>
              </w:rPr>
              <w:t>意见</w:t>
            </w:r>
          </w:p>
        </w:tc>
      </w:tr>
      <w:tr w14:paraId="1C02A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8802" w:type="dxa"/>
            <w:gridSpan w:val="10"/>
            <w:tcBorders>
              <w:top w:val="nil"/>
              <w:left w:val="single" w:color="000000" w:sz="8" w:space="0"/>
              <w:bottom w:val="single" w:color="000000" w:sz="8" w:space="0"/>
              <w:right w:val="single" w:color="000000" w:sz="8" w:space="0"/>
            </w:tcBorders>
            <w:shd w:val="clear" w:color="auto" w:fill="auto"/>
            <w:vAlign w:val="center"/>
          </w:tcPr>
          <w:p w14:paraId="5F04F042">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cs="宋体"/>
                <w:b/>
                <w:bCs/>
                <w:i w:val="0"/>
                <w:iCs w:val="0"/>
                <w:color w:val="auto"/>
                <w:kern w:val="0"/>
                <w:sz w:val="21"/>
                <w:szCs w:val="21"/>
                <w:highlight w:val="none"/>
                <w:u w:val="none"/>
                <w:lang w:val="en-US" w:eastAsia="zh-CN" w:bidi="ar"/>
              </w:rPr>
              <w:t>鉴于</w:t>
            </w:r>
            <w:r>
              <w:rPr>
                <w:rFonts w:hint="eastAsia" w:ascii="宋体" w:hAnsi="宋体" w:eastAsia="宋体" w:cs="宋体"/>
                <w:b/>
                <w:bCs/>
                <w:i w:val="0"/>
                <w:iCs w:val="0"/>
                <w:color w:val="auto"/>
                <w:kern w:val="0"/>
                <w:sz w:val="21"/>
                <w:szCs w:val="21"/>
                <w:highlight w:val="none"/>
                <w:u w:val="none"/>
                <w:lang w:val="en-US" w:eastAsia="zh-CN" w:bidi="ar"/>
              </w:rPr>
              <w:t>上述工程承包方已全部完成，经发、承包双方现场验收，全部工程质量标准符合发包方要求，验收合格</w:t>
            </w:r>
            <w:r>
              <w:rPr>
                <w:rFonts w:hint="eastAsia" w:ascii="宋体" w:hAnsi="宋体" w:cs="宋体"/>
                <w:b/>
                <w:color w:val="auto"/>
                <w:kern w:val="0"/>
                <w:szCs w:val="21"/>
                <w:highlight w:val="none"/>
                <w:lang w:eastAsia="zh-CN"/>
              </w:rPr>
              <w:t>，</w:t>
            </w:r>
            <w:r>
              <w:rPr>
                <w:rFonts w:hint="eastAsia" w:ascii="宋体" w:hAnsi="宋体" w:eastAsia="宋体" w:cs="宋体"/>
                <w:b/>
                <w:color w:val="auto"/>
                <w:kern w:val="0"/>
                <w:szCs w:val="21"/>
                <w:highlight w:val="none"/>
              </w:rPr>
              <w:t>同意</w:t>
            </w:r>
            <w:r>
              <w:rPr>
                <w:rFonts w:hint="eastAsia" w:ascii="宋体" w:hAnsi="宋体" w:cs="宋体"/>
                <w:b/>
                <w:color w:val="auto"/>
                <w:kern w:val="0"/>
                <w:szCs w:val="21"/>
                <w:highlight w:val="none"/>
                <w:lang w:val="en-US" w:eastAsia="zh-CN"/>
              </w:rPr>
              <w:t>核算进度款</w:t>
            </w:r>
            <w:r>
              <w:rPr>
                <w:rFonts w:hint="eastAsia" w:ascii="宋体" w:hAnsi="宋体" w:eastAsia="宋体" w:cs="宋体"/>
                <w:b/>
                <w:bCs/>
                <w:i w:val="0"/>
                <w:iCs w:val="0"/>
                <w:color w:val="auto"/>
                <w:kern w:val="0"/>
                <w:sz w:val="21"/>
                <w:szCs w:val="21"/>
                <w:highlight w:val="none"/>
                <w:u w:val="none"/>
                <w:lang w:val="en-US" w:eastAsia="zh-CN" w:bidi="ar"/>
              </w:rPr>
              <w:t>。</w:t>
            </w:r>
          </w:p>
        </w:tc>
      </w:tr>
      <w:tr w14:paraId="1D53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jc w:val="center"/>
        </w:trPr>
        <w:tc>
          <w:tcPr>
            <w:tcW w:w="684" w:type="dxa"/>
            <w:vMerge w:val="restart"/>
            <w:tcBorders>
              <w:top w:val="nil"/>
              <w:left w:val="single" w:color="000000" w:sz="8" w:space="0"/>
              <w:bottom w:val="single" w:color="000000" w:sz="8" w:space="0"/>
              <w:right w:val="single" w:color="000000" w:sz="8" w:space="0"/>
            </w:tcBorders>
            <w:shd w:val="clear" w:color="auto" w:fill="auto"/>
            <w:vAlign w:val="center"/>
          </w:tcPr>
          <w:p w14:paraId="1E42445E">
            <w:pPr>
              <w:jc w:val="center"/>
              <w:rPr>
                <w:rFonts w:hint="eastAsia" w:ascii="宋体" w:hAnsi="宋体" w:eastAsia="宋体" w:cs="宋体"/>
                <w:i w:val="0"/>
                <w:iCs w:val="0"/>
                <w:color w:val="auto"/>
                <w:sz w:val="21"/>
                <w:szCs w:val="21"/>
                <w:highlight w:val="none"/>
                <w:u w:val="none"/>
              </w:rPr>
            </w:pPr>
          </w:p>
        </w:tc>
        <w:tc>
          <w:tcPr>
            <w:tcW w:w="8118" w:type="dxa"/>
            <w:gridSpan w:val="9"/>
            <w:tcBorders>
              <w:top w:val="single" w:color="000000" w:sz="8" w:space="0"/>
              <w:left w:val="nil"/>
              <w:bottom w:val="nil"/>
              <w:right w:val="single" w:color="000000" w:sz="8" w:space="0"/>
            </w:tcBorders>
            <w:shd w:val="clear" w:color="auto" w:fill="auto"/>
            <w:vAlign w:val="center"/>
          </w:tcPr>
          <w:p w14:paraId="76B9089F">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承包方  ：（签章）</w:t>
            </w:r>
          </w:p>
        </w:tc>
      </w:tr>
      <w:tr w14:paraId="74D15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jc w:val="center"/>
        </w:trPr>
        <w:tc>
          <w:tcPr>
            <w:tcW w:w="684" w:type="dxa"/>
            <w:vMerge w:val="continue"/>
            <w:tcBorders>
              <w:top w:val="nil"/>
              <w:left w:val="single" w:color="000000" w:sz="8" w:space="0"/>
              <w:bottom w:val="single" w:color="000000" w:sz="8" w:space="0"/>
              <w:right w:val="single" w:color="000000" w:sz="8" w:space="0"/>
            </w:tcBorders>
            <w:shd w:val="clear" w:color="auto" w:fill="auto"/>
            <w:vAlign w:val="center"/>
          </w:tcPr>
          <w:p w14:paraId="564995EF">
            <w:pPr>
              <w:jc w:val="center"/>
              <w:rPr>
                <w:rFonts w:hint="eastAsia" w:ascii="宋体" w:hAnsi="宋体" w:eastAsia="宋体" w:cs="宋体"/>
                <w:i w:val="0"/>
                <w:iCs w:val="0"/>
                <w:color w:val="auto"/>
                <w:sz w:val="21"/>
                <w:szCs w:val="21"/>
                <w:highlight w:val="none"/>
                <w:u w:val="none"/>
              </w:rPr>
            </w:pPr>
          </w:p>
        </w:tc>
        <w:tc>
          <w:tcPr>
            <w:tcW w:w="8118" w:type="dxa"/>
            <w:gridSpan w:val="9"/>
            <w:tcBorders>
              <w:top w:val="nil"/>
              <w:left w:val="nil"/>
              <w:bottom w:val="single" w:color="000000" w:sz="8" w:space="0"/>
              <w:right w:val="single" w:color="000000" w:sz="8" w:space="0"/>
            </w:tcBorders>
            <w:shd w:val="clear" w:color="auto" w:fill="auto"/>
            <w:vAlign w:val="center"/>
          </w:tcPr>
          <w:p w14:paraId="1822199D">
            <w:pPr>
              <w:keepNext w:val="0"/>
              <w:keepLines w:val="0"/>
              <w:widowControl/>
              <w:suppressLineNumbers w:val="0"/>
              <w:jc w:val="righ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年    月    日</w:t>
            </w:r>
          </w:p>
        </w:tc>
      </w:tr>
      <w:tr w14:paraId="070C6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jc w:val="center"/>
        </w:trPr>
        <w:tc>
          <w:tcPr>
            <w:tcW w:w="684" w:type="dxa"/>
            <w:vMerge w:val="continue"/>
            <w:tcBorders>
              <w:top w:val="nil"/>
              <w:left w:val="single" w:color="000000" w:sz="8" w:space="0"/>
              <w:bottom w:val="single" w:color="000000" w:sz="8" w:space="0"/>
              <w:right w:val="single" w:color="000000" w:sz="8" w:space="0"/>
            </w:tcBorders>
            <w:shd w:val="clear" w:color="auto" w:fill="auto"/>
            <w:vAlign w:val="center"/>
          </w:tcPr>
          <w:p w14:paraId="394A2DF7">
            <w:pPr>
              <w:jc w:val="center"/>
              <w:rPr>
                <w:rFonts w:hint="eastAsia" w:ascii="宋体" w:hAnsi="宋体" w:eastAsia="宋体" w:cs="宋体"/>
                <w:i w:val="0"/>
                <w:iCs w:val="0"/>
                <w:color w:val="auto"/>
                <w:sz w:val="21"/>
                <w:szCs w:val="21"/>
                <w:highlight w:val="none"/>
                <w:u w:val="none"/>
              </w:rPr>
            </w:pPr>
          </w:p>
        </w:tc>
        <w:tc>
          <w:tcPr>
            <w:tcW w:w="8118" w:type="dxa"/>
            <w:gridSpan w:val="9"/>
            <w:tcBorders>
              <w:top w:val="nil"/>
              <w:left w:val="nil"/>
              <w:bottom w:val="nil"/>
              <w:right w:val="single" w:color="000000" w:sz="8" w:space="0"/>
            </w:tcBorders>
            <w:shd w:val="clear" w:color="auto" w:fill="auto"/>
            <w:vAlign w:val="center"/>
          </w:tcPr>
          <w:p w14:paraId="1162AF6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商务部：</w:t>
            </w:r>
          </w:p>
        </w:tc>
      </w:tr>
      <w:tr w14:paraId="76DDB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jc w:val="center"/>
        </w:trPr>
        <w:tc>
          <w:tcPr>
            <w:tcW w:w="684" w:type="dxa"/>
            <w:vMerge w:val="continue"/>
            <w:tcBorders>
              <w:top w:val="nil"/>
              <w:left w:val="single" w:color="000000" w:sz="8" w:space="0"/>
              <w:bottom w:val="single" w:color="000000" w:sz="8" w:space="0"/>
              <w:right w:val="single" w:color="000000" w:sz="8" w:space="0"/>
            </w:tcBorders>
            <w:shd w:val="clear" w:color="auto" w:fill="auto"/>
            <w:vAlign w:val="center"/>
          </w:tcPr>
          <w:p w14:paraId="24917811">
            <w:pPr>
              <w:jc w:val="center"/>
              <w:rPr>
                <w:rFonts w:hint="eastAsia" w:ascii="宋体" w:hAnsi="宋体" w:eastAsia="宋体" w:cs="宋体"/>
                <w:i w:val="0"/>
                <w:iCs w:val="0"/>
                <w:color w:val="auto"/>
                <w:sz w:val="21"/>
                <w:szCs w:val="21"/>
                <w:highlight w:val="none"/>
                <w:u w:val="none"/>
              </w:rPr>
            </w:pPr>
          </w:p>
        </w:tc>
        <w:tc>
          <w:tcPr>
            <w:tcW w:w="8118" w:type="dxa"/>
            <w:gridSpan w:val="9"/>
            <w:tcBorders>
              <w:top w:val="nil"/>
              <w:left w:val="nil"/>
              <w:bottom w:val="single" w:color="000000" w:sz="8" w:space="0"/>
              <w:right w:val="single" w:color="000000" w:sz="8" w:space="0"/>
            </w:tcBorders>
            <w:shd w:val="clear" w:color="auto" w:fill="auto"/>
            <w:vAlign w:val="center"/>
          </w:tcPr>
          <w:p w14:paraId="24B78B33">
            <w:pPr>
              <w:keepNext w:val="0"/>
              <w:keepLines w:val="0"/>
              <w:widowControl/>
              <w:suppressLineNumbers w:val="0"/>
              <w:jc w:val="righ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年    月    日</w:t>
            </w:r>
          </w:p>
        </w:tc>
      </w:tr>
      <w:tr w14:paraId="2E910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jc w:val="center"/>
        </w:trPr>
        <w:tc>
          <w:tcPr>
            <w:tcW w:w="684" w:type="dxa"/>
            <w:vMerge w:val="continue"/>
            <w:tcBorders>
              <w:top w:val="nil"/>
              <w:left w:val="single" w:color="000000" w:sz="8" w:space="0"/>
              <w:bottom w:val="single" w:color="000000" w:sz="8" w:space="0"/>
              <w:right w:val="single" w:color="000000" w:sz="8" w:space="0"/>
            </w:tcBorders>
            <w:shd w:val="clear" w:color="auto" w:fill="auto"/>
            <w:vAlign w:val="center"/>
          </w:tcPr>
          <w:p w14:paraId="0490898C">
            <w:pPr>
              <w:jc w:val="center"/>
              <w:rPr>
                <w:rFonts w:hint="eastAsia" w:ascii="宋体" w:hAnsi="宋体" w:eastAsia="宋体" w:cs="宋体"/>
                <w:i w:val="0"/>
                <w:iCs w:val="0"/>
                <w:color w:val="auto"/>
                <w:sz w:val="21"/>
                <w:szCs w:val="21"/>
                <w:highlight w:val="none"/>
                <w:u w:val="none"/>
              </w:rPr>
            </w:pPr>
          </w:p>
        </w:tc>
        <w:tc>
          <w:tcPr>
            <w:tcW w:w="8118" w:type="dxa"/>
            <w:gridSpan w:val="9"/>
            <w:tcBorders>
              <w:top w:val="nil"/>
              <w:left w:val="nil"/>
              <w:bottom w:val="nil"/>
              <w:right w:val="single" w:color="000000" w:sz="8" w:space="0"/>
            </w:tcBorders>
            <w:shd w:val="clear" w:color="auto" w:fill="auto"/>
            <w:vAlign w:val="center"/>
          </w:tcPr>
          <w:p w14:paraId="43AA56E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商务负责人：</w:t>
            </w:r>
          </w:p>
        </w:tc>
      </w:tr>
      <w:tr w14:paraId="3A9CE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684" w:type="dxa"/>
            <w:vMerge w:val="continue"/>
            <w:tcBorders>
              <w:top w:val="nil"/>
              <w:left w:val="single" w:color="000000" w:sz="8" w:space="0"/>
              <w:bottom w:val="single" w:color="000000" w:sz="8" w:space="0"/>
              <w:right w:val="single" w:color="000000" w:sz="8" w:space="0"/>
            </w:tcBorders>
            <w:shd w:val="clear" w:color="auto" w:fill="auto"/>
            <w:vAlign w:val="center"/>
          </w:tcPr>
          <w:p w14:paraId="4617212C">
            <w:pPr>
              <w:jc w:val="center"/>
              <w:rPr>
                <w:rFonts w:hint="eastAsia" w:ascii="宋体" w:hAnsi="宋体" w:eastAsia="宋体" w:cs="宋体"/>
                <w:i w:val="0"/>
                <w:iCs w:val="0"/>
                <w:color w:val="auto"/>
                <w:sz w:val="21"/>
                <w:szCs w:val="21"/>
                <w:highlight w:val="none"/>
                <w:u w:val="none"/>
              </w:rPr>
            </w:pPr>
          </w:p>
        </w:tc>
        <w:tc>
          <w:tcPr>
            <w:tcW w:w="8118" w:type="dxa"/>
            <w:gridSpan w:val="9"/>
            <w:tcBorders>
              <w:top w:val="nil"/>
              <w:left w:val="nil"/>
              <w:bottom w:val="single" w:color="000000" w:sz="8" w:space="0"/>
              <w:right w:val="single" w:color="000000" w:sz="8" w:space="0"/>
            </w:tcBorders>
            <w:shd w:val="clear" w:color="auto" w:fill="auto"/>
            <w:vAlign w:val="center"/>
          </w:tcPr>
          <w:p w14:paraId="3CC660EA">
            <w:pPr>
              <w:keepNext w:val="0"/>
              <w:keepLines w:val="0"/>
              <w:widowControl/>
              <w:suppressLineNumbers w:val="0"/>
              <w:jc w:val="righ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年    月    日</w:t>
            </w:r>
          </w:p>
        </w:tc>
      </w:tr>
      <w:tr w14:paraId="66F5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jc w:val="center"/>
        </w:trPr>
        <w:tc>
          <w:tcPr>
            <w:tcW w:w="684" w:type="dxa"/>
            <w:vMerge w:val="continue"/>
            <w:tcBorders>
              <w:top w:val="nil"/>
              <w:left w:val="single" w:color="000000" w:sz="8" w:space="0"/>
              <w:bottom w:val="single" w:color="000000" w:sz="8" w:space="0"/>
              <w:right w:val="single" w:color="000000" w:sz="8" w:space="0"/>
            </w:tcBorders>
            <w:shd w:val="clear" w:color="auto" w:fill="auto"/>
            <w:vAlign w:val="center"/>
          </w:tcPr>
          <w:p w14:paraId="3992D9D3">
            <w:pPr>
              <w:jc w:val="center"/>
              <w:rPr>
                <w:rFonts w:hint="eastAsia" w:ascii="宋体" w:hAnsi="宋体" w:eastAsia="宋体" w:cs="宋体"/>
                <w:i w:val="0"/>
                <w:iCs w:val="0"/>
                <w:color w:val="auto"/>
                <w:sz w:val="21"/>
                <w:szCs w:val="21"/>
                <w:highlight w:val="none"/>
                <w:u w:val="none"/>
              </w:rPr>
            </w:pPr>
          </w:p>
        </w:tc>
        <w:tc>
          <w:tcPr>
            <w:tcW w:w="8118" w:type="dxa"/>
            <w:gridSpan w:val="9"/>
            <w:tcBorders>
              <w:top w:val="nil"/>
              <w:left w:val="nil"/>
              <w:bottom w:val="nil"/>
              <w:right w:val="single" w:color="000000" w:sz="8" w:space="0"/>
            </w:tcBorders>
            <w:shd w:val="clear" w:color="auto" w:fill="auto"/>
            <w:vAlign w:val="center"/>
          </w:tcPr>
          <w:p w14:paraId="4CD0BA0C">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项目负责人：</w:t>
            </w:r>
          </w:p>
        </w:tc>
      </w:tr>
      <w:tr w14:paraId="3397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jc w:val="center"/>
        </w:trPr>
        <w:tc>
          <w:tcPr>
            <w:tcW w:w="684" w:type="dxa"/>
            <w:vMerge w:val="continue"/>
            <w:tcBorders>
              <w:top w:val="nil"/>
              <w:left w:val="single" w:color="000000" w:sz="8" w:space="0"/>
              <w:bottom w:val="single" w:color="000000" w:sz="8" w:space="0"/>
              <w:right w:val="single" w:color="000000" w:sz="8" w:space="0"/>
            </w:tcBorders>
            <w:shd w:val="clear" w:color="auto" w:fill="auto"/>
            <w:vAlign w:val="center"/>
          </w:tcPr>
          <w:p w14:paraId="6621F7B9">
            <w:pPr>
              <w:jc w:val="center"/>
              <w:rPr>
                <w:rFonts w:hint="eastAsia" w:ascii="宋体" w:hAnsi="宋体" w:eastAsia="宋体" w:cs="宋体"/>
                <w:i w:val="0"/>
                <w:iCs w:val="0"/>
                <w:color w:val="auto"/>
                <w:sz w:val="21"/>
                <w:szCs w:val="21"/>
                <w:highlight w:val="none"/>
                <w:u w:val="none"/>
              </w:rPr>
            </w:pPr>
          </w:p>
        </w:tc>
        <w:tc>
          <w:tcPr>
            <w:tcW w:w="8118" w:type="dxa"/>
            <w:gridSpan w:val="9"/>
            <w:tcBorders>
              <w:top w:val="nil"/>
              <w:left w:val="nil"/>
              <w:bottom w:val="single" w:color="000000" w:sz="8" w:space="0"/>
              <w:right w:val="single" w:color="000000" w:sz="8" w:space="0"/>
            </w:tcBorders>
            <w:shd w:val="clear" w:color="auto" w:fill="auto"/>
            <w:vAlign w:val="center"/>
          </w:tcPr>
          <w:p w14:paraId="77B4EC6A">
            <w:pPr>
              <w:keepNext w:val="0"/>
              <w:keepLines w:val="0"/>
              <w:widowControl/>
              <w:suppressLineNumbers w:val="0"/>
              <w:jc w:val="righ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年    月    日</w:t>
            </w:r>
          </w:p>
        </w:tc>
      </w:tr>
    </w:tbl>
    <w:p w14:paraId="4CB88CF5">
      <w:pPr>
        <w:pStyle w:val="10"/>
        <w:numPr>
          <w:ilvl w:val="-1"/>
          <w:numId w:val="0"/>
        </w:numPr>
        <w:ind w:left="0"/>
        <w:rPr>
          <w:rFonts w:hint="eastAsia" w:ascii="宋体" w:hAnsi="宋体" w:eastAsia="宋体" w:cs="宋体"/>
          <w:color w:val="auto"/>
          <w:highlight w:val="none"/>
        </w:rPr>
      </w:pPr>
    </w:p>
    <w:p w14:paraId="704DA6FF">
      <w:pPr>
        <w:widowControl/>
        <w:adjustRightInd/>
        <w:snapToGrid/>
        <w:spacing w:line="360" w:lineRule="auto"/>
        <w:jc w:val="left"/>
        <w:rPr>
          <w:rFonts w:hint="eastAsia" w:ascii="宋体" w:hAnsi="宋体" w:eastAsia="宋体" w:cs="宋体"/>
          <w:bCs/>
          <w:color w:val="auto"/>
          <w:kern w:val="2"/>
          <w:szCs w:val="21"/>
          <w:highlight w:val="none"/>
        </w:rPr>
      </w:pPr>
    </w:p>
    <w:p w14:paraId="48DF23D8">
      <w:pPr>
        <w:widowControl/>
        <w:adjustRightInd/>
        <w:snapToGrid/>
        <w:spacing w:line="360" w:lineRule="auto"/>
        <w:jc w:val="left"/>
        <w:rPr>
          <w:rFonts w:hint="eastAsia" w:ascii="宋体" w:hAnsi="宋体" w:eastAsia="宋体" w:cs="宋体"/>
          <w:bCs/>
          <w:color w:val="auto"/>
          <w:kern w:val="2"/>
          <w:szCs w:val="21"/>
          <w:highlight w:val="none"/>
        </w:rPr>
      </w:pPr>
    </w:p>
    <w:p w14:paraId="0EA6DC63">
      <w:pPr>
        <w:widowControl/>
        <w:adjustRightInd/>
        <w:snapToGrid/>
        <w:spacing w:line="360" w:lineRule="auto"/>
        <w:jc w:val="left"/>
        <w:rPr>
          <w:rFonts w:hint="eastAsia" w:ascii="宋体" w:hAnsi="宋体" w:eastAsia="宋体" w:cs="宋体"/>
          <w:bCs/>
          <w:color w:val="auto"/>
          <w:kern w:val="2"/>
          <w:szCs w:val="21"/>
          <w:highlight w:val="none"/>
        </w:rPr>
      </w:pPr>
    </w:p>
    <w:p w14:paraId="74530BFF">
      <w:pPr>
        <w:widowControl/>
        <w:adjustRightInd/>
        <w:snapToGrid/>
        <w:spacing w:line="360" w:lineRule="auto"/>
        <w:jc w:val="left"/>
        <w:rPr>
          <w:rFonts w:hint="eastAsia" w:ascii="宋体" w:hAnsi="宋体" w:eastAsia="宋体" w:cs="宋体"/>
          <w:bCs/>
          <w:color w:val="auto"/>
          <w:kern w:val="2"/>
          <w:szCs w:val="21"/>
          <w:highlight w:val="none"/>
        </w:rPr>
      </w:pPr>
      <w:r>
        <w:rPr>
          <w:rFonts w:hint="eastAsia" w:ascii="宋体" w:hAnsi="宋体" w:eastAsia="宋体" w:cs="宋体"/>
          <w:bCs/>
          <w:color w:val="auto"/>
          <w:kern w:val="2"/>
          <w:szCs w:val="21"/>
          <w:highlight w:val="none"/>
        </w:rPr>
        <w:br w:type="page"/>
      </w:r>
    </w:p>
    <w:p w14:paraId="090BCA21">
      <w:pPr>
        <w:bidi w:val="0"/>
        <w:rPr>
          <w:rFonts w:hint="eastAsia" w:ascii="宋体" w:hAnsi="宋体" w:eastAsia="宋体" w:cs="宋体"/>
          <w:color w:val="auto"/>
          <w:highlight w:val="none"/>
        </w:rPr>
      </w:pPr>
      <w:bookmarkStart w:id="262" w:name="_Toc27685"/>
      <w:bookmarkStart w:id="263" w:name="_Toc131690851"/>
      <w:r>
        <w:rPr>
          <w:rFonts w:hint="eastAsia" w:ascii="宋体" w:hAnsi="宋体" w:eastAsia="宋体" w:cs="宋体"/>
          <w:b/>
          <w:bCs/>
          <w:color w:val="auto"/>
          <w:highlight w:val="none"/>
        </w:rPr>
        <w:t>六、付款申请函</w:t>
      </w:r>
      <w:bookmarkEnd w:id="262"/>
      <w:bookmarkEnd w:id="263"/>
    </w:p>
    <w:p w14:paraId="232FD5FD">
      <w:pPr>
        <w:widowControl w:val="0"/>
        <w:adjustRightInd/>
        <w:snapToGrid/>
        <w:spacing w:line="360" w:lineRule="auto"/>
        <w:jc w:val="center"/>
        <w:rPr>
          <w:rFonts w:hint="eastAsia" w:ascii="宋体" w:hAnsi="宋体" w:eastAsia="宋体" w:cs="宋体"/>
          <w:color w:val="auto"/>
          <w:kern w:val="2"/>
          <w:szCs w:val="21"/>
          <w:highlight w:val="none"/>
        </w:rPr>
      </w:pPr>
      <w:bookmarkStart w:id="264" w:name="_Toc32699"/>
      <w:r>
        <w:rPr>
          <w:rFonts w:hint="eastAsia" w:ascii="宋体" w:hAnsi="宋体" w:eastAsia="宋体" w:cs="宋体"/>
          <w:color w:val="auto"/>
          <w:kern w:val="2"/>
          <w:szCs w:val="21"/>
          <w:highlight w:val="none"/>
        </w:rPr>
        <w:t>付款申请函</w:t>
      </w:r>
      <w:bookmarkEnd w:id="264"/>
    </w:p>
    <w:p w14:paraId="2C35AF25">
      <w:pPr>
        <w:widowControl w:val="0"/>
        <w:adjustRightInd/>
        <w:snapToGrid/>
        <w:spacing w:line="360" w:lineRule="auto"/>
        <w:jc w:val="center"/>
        <w:rPr>
          <w:rFonts w:hint="eastAsia" w:ascii="宋体" w:hAnsi="宋体" w:eastAsia="宋体" w:cs="宋体"/>
          <w:color w:val="auto"/>
          <w:kern w:val="2"/>
          <w:szCs w:val="21"/>
          <w:highlight w:val="none"/>
        </w:rPr>
      </w:pPr>
    </w:p>
    <w:p w14:paraId="3E19BE2A">
      <w:pPr>
        <w:widowControl w:val="0"/>
        <w:adjustRightInd/>
        <w:snapToGrid/>
        <w:spacing w:line="360" w:lineRule="auto"/>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***********公司：</w:t>
      </w:r>
    </w:p>
    <w:p w14:paraId="47088C3E">
      <w:pPr>
        <w:widowControl w:val="0"/>
        <w:adjustRightInd/>
        <w:snapToGrid/>
        <w:spacing w:line="360" w:lineRule="auto"/>
        <w:ind w:firstLine="555"/>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我方已于****年***月***日完成了********公司***工作（合同编号:***）,验收、</w:t>
      </w:r>
      <w:r>
        <w:rPr>
          <w:rFonts w:hint="eastAsia" w:ascii="宋体" w:hAnsi="宋体" w:cs="宋体"/>
          <w:color w:val="auto"/>
          <w:kern w:val="2"/>
          <w:szCs w:val="21"/>
          <w:highlight w:val="none"/>
          <w:lang w:val="en-US" w:eastAsia="zh-CN"/>
        </w:rPr>
        <w:t>进度款/</w:t>
      </w:r>
      <w:r>
        <w:rPr>
          <w:rFonts w:hint="eastAsia" w:ascii="宋体" w:hAnsi="宋体" w:eastAsia="宋体" w:cs="宋体"/>
          <w:color w:val="auto"/>
          <w:kern w:val="2"/>
          <w:szCs w:val="21"/>
          <w:highlight w:val="none"/>
        </w:rPr>
        <w:t>结算手续已办理并齐全。本次</w:t>
      </w:r>
      <w:r>
        <w:rPr>
          <w:rFonts w:hint="eastAsia" w:ascii="宋体" w:hAnsi="宋体" w:cs="宋体"/>
          <w:color w:val="auto"/>
          <w:kern w:val="2"/>
          <w:szCs w:val="21"/>
          <w:highlight w:val="none"/>
          <w:lang w:val="en-US" w:eastAsia="zh-CN"/>
        </w:rPr>
        <w:t>进度款/</w:t>
      </w:r>
      <w:r>
        <w:rPr>
          <w:rFonts w:hint="eastAsia" w:ascii="宋体" w:hAnsi="宋体" w:eastAsia="宋体" w:cs="宋体"/>
          <w:color w:val="auto"/>
          <w:kern w:val="2"/>
          <w:szCs w:val="21"/>
          <w:highlight w:val="none"/>
        </w:rPr>
        <w:t>结算金额为****元（大写：***元），我方已开具等额增值税发票。依据合同约定付款方式，本次应付***元 （大写：***元）。特向业主方领导申请办理付款手续！</w:t>
      </w:r>
    </w:p>
    <w:p w14:paraId="5A9D83A4">
      <w:pPr>
        <w:widowControl w:val="0"/>
        <w:adjustRightInd/>
        <w:snapToGrid/>
        <w:spacing w:line="360" w:lineRule="auto"/>
        <w:jc w:val="both"/>
        <w:rPr>
          <w:rFonts w:hint="eastAsia" w:ascii="宋体" w:hAnsi="宋体" w:eastAsia="宋体" w:cs="宋体"/>
          <w:color w:val="auto"/>
          <w:kern w:val="2"/>
          <w:szCs w:val="21"/>
          <w:highlight w:val="none"/>
        </w:rPr>
      </w:pPr>
    </w:p>
    <w:p w14:paraId="212DE01F">
      <w:pPr>
        <w:widowControl w:val="0"/>
        <w:adjustRightInd/>
        <w:snapToGrid/>
        <w:spacing w:line="360" w:lineRule="auto"/>
        <w:ind w:firstLine="315" w:firstLineChars="15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账户名：                 *******公司</w:t>
      </w:r>
    </w:p>
    <w:p w14:paraId="7240BE36">
      <w:pPr>
        <w:widowControl w:val="0"/>
        <w:adjustRightInd/>
        <w:snapToGrid/>
        <w:spacing w:line="360" w:lineRule="auto"/>
        <w:ind w:firstLine="315" w:firstLineChars="15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账号  ：</w:t>
      </w:r>
    </w:p>
    <w:p w14:paraId="6C4522C2">
      <w:pPr>
        <w:widowControl w:val="0"/>
        <w:adjustRightInd/>
        <w:snapToGrid/>
        <w:spacing w:line="360" w:lineRule="auto"/>
        <w:ind w:firstLine="315" w:firstLineChars="150"/>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开户行： </w:t>
      </w:r>
    </w:p>
    <w:p w14:paraId="5956838C">
      <w:pPr>
        <w:widowControl w:val="0"/>
        <w:adjustRightInd/>
        <w:snapToGrid/>
        <w:spacing w:line="360" w:lineRule="auto"/>
        <w:ind w:firstLine="555"/>
        <w:jc w:val="left"/>
        <w:rPr>
          <w:rFonts w:hint="eastAsia" w:ascii="宋体" w:hAnsi="宋体" w:eastAsia="宋体" w:cs="宋体"/>
          <w:color w:val="auto"/>
          <w:kern w:val="2"/>
          <w:szCs w:val="21"/>
          <w:highlight w:val="none"/>
        </w:rPr>
      </w:pPr>
    </w:p>
    <w:p w14:paraId="36BE2651">
      <w:pPr>
        <w:widowControl w:val="0"/>
        <w:adjustRightInd/>
        <w:snapToGrid/>
        <w:spacing w:line="360" w:lineRule="auto"/>
        <w:ind w:firstLine="555"/>
        <w:jc w:val="lef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顺祝商祺！</w:t>
      </w:r>
    </w:p>
    <w:p w14:paraId="2D3BEC63">
      <w:pPr>
        <w:widowControl w:val="0"/>
        <w:adjustRightInd/>
        <w:snapToGrid/>
        <w:spacing w:line="360" w:lineRule="auto"/>
        <w:ind w:firstLine="555"/>
        <w:jc w:val="left"/>
        <w:rPr>
          <w:rFonts w:hint="eastAsia" w:ascii="宋体" w:hAnsi="宋体" w:eastAsia="宋体" w:cs="宋体"/>
          <w:color w:val="auto"/>
          <w:kern w:val="2"/>
          <w:szCs w:val="21"/>
          <w:highlight w:val="none"/>
        </w:rPr>
      </w:pPr>
    </w:p>
    <w:p w14:paraId="2E7B75AB">
      <w:pPr>
        <w:widowControl w:val="0"/>
        <w:adjustRightInd/>
        <w:snapToGrid/>
        <w:spacing w:line="360" w:lineRule="auto"/>
        <w:ind w:firstLine="555"/>
        <w:jc w:val="left"/>
        <w:rPr>
          <w:rFonts w:hint="eastAsia" w:ascii="宋体" w:hAnsi="宋体" w:eastAsia="宋体" w:cs="宋体"/>
          <w:color w:val="auto"/>
          <w:kern w:val="2"/>
          <w:szCs w:val="21"/>
          <w:highlight w:val="none"/>
        </w:rPr>
      </w:pPr>
    </w:p>
    <w:p w14:paraId="25B74E26">
      <w:pPr>
        <w:widowControl w:val="0"/>
        <w:adjustRightInd/>
        <w:snapToGrid/>
        <w:spacing w:line="360" w:lineRule="auto"/>
        <w:ind w:firstLine="555"/>
        <w:jc w:val="left"/>
        <w:rPr>
          <w:rFonts w:hint="eastAsia" w:ascii="宋体" w:hAnsi="宋体" w:eastAsia="宋体" w:cs="宋体"/>
          <w:color w:val="auto"/>
          <w:kern w:val="2"/>
          <w:szCs w:val="21"/>
          <w:highlight w:val="none"/>
        </w:rPr>
      </w:pPr>
    </w:p>
    <w:p w14:paraId="0564174C">
      <w:pPr>
        <w:widowControl w:val="0"/>
        <w:adjustRightInd/>
        <w:snapToGrid/>
        <w:spacing w:line="360" w:lineRule="auto"/>
        <w:jc w:val="righ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 xml:space="preserve">                  </w:t>
      </w:r>
    </w:p>
    <w:p w14:paraId="790D7482">
      <w:pPr>
        <w:widowControl w:val="0"/>
        <w:adjustRightInd/>
        <w:snapToGrid/>
        <w:spacing w:line="360" w:lineRule="auto"/>
        <w:ind w:firstLine="0" w:firstLineChars="0"/>
        <w:jc w:val="right"/>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202</w:t>
      </w:r>
      <w:r>
        <w:rPr>
          <w:rFonts w:hint="eastAsia" w:ascii="宋体" w:hAnsi="宋体" w:cs="宋体"/>
          <w:color w:val="auto"/>
          <w:kern w:val="2"/>
          <w:szCs w:val="21"/>
          <w:highlight w:val="none"/>
          <w:lang w:val="en-US" w:eastAsia="zh-CN"/>
        </w:rPr>
        <w:t>*</w:t>
      </w:r>
      <w:r>
        <w:rPr>
          <w:rFonts w:hint="eastAsia" w:ascii="宋体" w:hAnsi="宋体" w:eastAsia="宋体" w:cs="宋体"/>
          <w:color w:val="auto"/>
          <w:kern w:val="2"/>
          <w:szCs w:val="21"/>
          <w:highlight w:val="none"/>
        </w:rPr>
        <w:t>年*月***日</w:t>
      </w:r>
    </w:p>
    <w:p w14:paraId="3CFB0CF6">
      <w:pPr>
        <w:widowControl w:val="0"/>
        <w:autoSpaceDE w:val="0"/>
        <w:autoSpaceDN w:val="0"/>
        <w:adjustRightInd w:val="0"/>
        <w:snapToGrid/>
        <w:spacing w:line="360" w:lineRule="auto"/>
        <w:jc w:val="left"/>
        <w:rPr>
          <w:rFonts w:hint="eastAsia" w:ascii="宋体" w:hAnsi="宋体" w:eastAsia="宋体" w:cs="宋体"/>
          <w:color w:val="auto"/>
          <w:kern w:val="2"/>
          <w:szCs w:val="21"/>
          <w:highlight w:val="none"/>
        </w:rPr>
      </w:pPr>
    </w:p>
    <w:p w14:paraId="261458D7">
      <w:pPr>
        <w:widowControl w:val="0"/>
        <w:autoSpaceDE w:val="0"/>
        <w:autoSpaceDN w:val="0"/>
        <w:adjustRightInd w:val="0"/>
        <w:snapToGrid/>
        <w:spacing w:line="360" w:lineRule="auto"/>
        <w:jc w:val="left"/>
        <w:rPr>
          <w:rFonts w:hint="eastAsia" w:ascii="宋体" w:hAnsi="宋体" w:eastAsia="宋体" w:cs="宋体"/>
          <w:color w:val="auto"/>
          <w:kern w:val="2"/>
          <w:szCs w:val="21"/>
          <w:highlight w:val="none"/>
        </w:rPr>
      </w:pPr>
    </w:p>
    <w:p w14:paraId="341E7BC5">
      <w:pPr>
        <w:widowControl w:val="0"/>
        <w:autoSpaceDE w:val="0"/>
        <w:autoSpaceDN w:val="0"/>
        <w:adjustRightInd w:val="0"/>
        <w:snapToGrid/>
        <w:spacing w:line="360" w:lineRule="auto"/>
        <w:jc w:val="left"/>
        <w:rPr>
          <w:rFonts w:hint="eastAsia" w:ascii="宋体" w:hAnsi="宋体" w:eastAsia="宋体" w:cs="宋体"/>
          <w:color w:val="auto"/>
          <w:kern w:val="0"/>
          <w:szCs w:val="21"/>
          <w:highlight w:val="none"/>
        </w:rPr>
      </w:pPr>
    </w:p>
    <w:p w14:paraId="23909F75">
      <w:pPr>
        <w:bidi w:val="0"/>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br w:type="page"/>
      </w:r>
      <w:bookmarkStart w:id="265" w:name="_Toc28937"/>
      <w:bookmarkStart w:id="266" w:name="_Toc131690852"/>
      <w:r>
        <w:rPr>
          <w:rFonts w:hint="eastAsia" w:ascii="宋体" w:hAnsi="宋体" w:eastAsia="宋体" w:cs="宋体"/>
          <w:b/>
          <w:bCs/>
          <w:color w:val="auto"/>
          <w:kern w:val="2"/>
          <w:szCs w:val="21"/>
          <w:highlight w:val="none"/>
        </w:rPr>
        <w:t>附件四：锅炉与尾气系统施工项目清单及技术要求</w:t>
      </w:r>
      <w:bookmarkEnd w:id="265"/>
      <w:bookmarkEnd w:id="266"/>
    </w:p>
    <w:p w14:paraId="5D2F0FC8">
      <w:pPr>
        <w:numPr>
          <w:ilvl w:val="0"/>
          <w:numId w:val="23"/>
        </w:numPr>
        <w:bidi w:val="0"/>
        <w:rPr>
          <w:rFonts w:hint="eastAsia" w:ascii="宋体" w:hAnsi="宋体" w:eastAsia="宋体" w:cs="宋体"/>
          <w:color w:val="auto"/>
          <w:highlight w:val="none"/>
        </w:rPr>
      </w:pPr>
      <w:bookmarkStart w:id="267" w:name="_Toc8868"/>
      <w:bookmarkStart w:id="268" w:name="_Toc131690853"/>
      <w:r>
        <w:rPr>
          <w:rFonts w:hint="eastAsia" w:ascii="宋体" w:hAnsi="宋体" w:eastAsia="宋体" w:cs="宋体"/>
          <w:color w:val="auto"/>
          <w:highlight w:val="none"/>
        </w:rPr>
        <w:t>常规项目（本项涉及维修、更换配件数量要求为固定范围包干，多出部分按特殊项目对应单价进行结算）</w:t>
      </w:r>
      <w:bookmarkEnd w:id="267"/>
      <w:bookmarkEnd w:id="268"/>
    </w:p>
    <w:tbl>
      <w:tblPr>
        <w:tblStyle w:val="31"/>
        <w:tblW w:w="85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5"/>
        <w:gridCol w:w="514"/>
        <w:gridCol w:w="1342"/>
        <w:gridCol w:w="2470"/>
        <w:gridCol w:w="3339"/>
        <w:gridCol w:w="456"/>
      </w:tblGrid>
      <w:tr w14:paraId="3890C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jc w:val="center"/>
        </w:trPr>
        <w:tc>
          <w:tcPr>
            <w:tcW w:w="455" w:type="dxa"/>
            <w:tcBorders>
              <w:top w:val="single" w:color="000000" w:sz="8" w:space="0"/>
              <w:left w:val="single" w:color="000000" w:sz="8" w:space="0"/>
              <w:bottom w:val="single" w:color="000000" w:sz="8" w:space="0"/>
              <w:right w:val="single" w:color="000000" w:sz="8" w:space="0"/>
            </w:tcBorders>
            <w:vAlign w:val="center"/>
          </w:tcPr>
          <w:p w14:paraId="034073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序号</w:t>
            </w:r>
          </w:p>
        </w:tc>
        <w:tc>
          <w:tcPr>
            <w:tcW w:w="514" w:type="dxa"/>
            <w:tcBorders>
              <w:top w:val="single" w:color="000000" w:sz="8" w:space="0"/>
              <w:left w:val="nil"/>
              <w:bottom w:val="single" w:color="000000" w:sz="8" w:space="0"/>
              <w:right w:val="single" w:color="000000" w:sz="8" w:space="0"/>
            </w:tcBorders>
            <w:vAlign w:val="center"/>
          </w:tcPr>
          <w:p w14:paraId="7A10CC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系统</w:t>
            </w:r>
          </w:p>
          <w:p w14:paraId="5034E0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名称</w:t>
            </w:r>
          </w:p>
        </w:tc>
        <w:tc>
          <w:tcPr>
            <w:tcW w:w="1342" w:type="dxa"/>
            <w:tcBorders>
              <w:top w:val="single" w:color="000000" w:sz="8" w:space="0"/>
              <w:left w:val="nil"/>
              <w:bottom w:val="single" w:color="000000" w:sz="8" w:space="0"/>
              <w:right w:val="single" w:color="000000" w:sz="8" w:space="0"/>
            </w:tcBorders>
            <w:vAlign w:val="center"/>
          </w:tcPr>
          <w:p w14:paraId="5770F9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设备</w:t>
            </w:r>
          </w:p>
          <w:p w14:paraId="0C0947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名称</w:t>
            </w:r>
          </w:p>
        </w:tc>
        <w:tc>
          <w:tcPr>
            <w:tcW w:w="2470" w:type="dxa"/>
            <w:tcBorders>
              <w:top w:val="single" w:color="000000" w:sz="8" w:space="0"/>
              <w:left w:val="nil"/>
              <w:bottom w:val="single" w:color="000000" w:sz="8" w:space="0"/>
              <w:right w:val="single" w:color="000000" w:sz="8" w:space="0"/>
            </w:tcBorders>
            <w:vAlign w:val="center"/>
          </w:tcPr>
          <w:p w14:paraId="043015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常规项目</w:t>
            </w:r>
          </w:p>
        </w:tc>
        <w:tc>
          <w:tcPr>
            <w:tcW w:w="3339" w:type="dxa"/>
            <w:tcBorders>
              <w:top w:val="single" w:color="000000" w:sz="8" w:space="0"/>
              <w:left w:val="nil"/>
              <w:bottom w:val="single" w:color="000000" w:sz="8" w:space="0"/>
              <w:right w:val="single" w:color="000000" w:sz="8" w:space="0"/>
            </w:tcBorders>
            <w:vAlign w:val="center"/>
          </w:tcPr>
          <w:p w14:paraId="391B78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技术要求</w:t>
            </w:r>
          </w:p>
        </w:tc>
        <w:tc>
          <w:tcPr>
            <w:tcW w:w="456" w:type="dxa"/>
            <w:tcBorders>
              <w:top w:val="single" w:color="000000" w:sz="8" w:space="0"/>
              <w:left w:val="nil"/>
              <w:bottom w:val="single" w:color="000000" w:sz="8" w:space="0"/>
              <w:right w:val="single" w:color="000000" w:sz="8" w:space="0"/>
            </w:tcBorders>
            <w:vAlign w:val="center"/>
          </w:tcPr>
          <w:p w14:paraId="0F66FB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备注</w:t>
            </w:r>
          </w:p>
        </w:tc>
      </w:tr>
      <w:tr w14:paraId="35C1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00C931E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一</w:t>
            </w:r>
          </w:p>
        </w:tc>
        <w:tc>
          <w:tcPr>
            <w:tcW w:w="514" w:type="dxa"/>
            <w:vMerge w:val="restart"/>
            <w:tcBorders>
              <w:top w:val="nil"/>
              <w:left w:val="nil"/>
              <w:bottom w:val="single" w:color="000000" w:sz="8" w:space="0"/>
              <w:right w:val="single" w:color="000000" w:sz="8" w:space="0"/>
            </w:tcBorders>
            <w:vAlign w:val="center"/>
          </w:tcPr>
          <w:p w14:paraId="3073ED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余热锅炉</w:t>
            </w:r>
          </w:p>
        </w:tc>
        <w:tc>
          <w:tcPr>
            <w:tcW w:w="1342" w:type="dxa"/>
            <w:vMerge w:val="restart"/>
            <w:tcBorders>
              <w:top w:val="nil"/>
              <w:left w:val="nil"/>
              <w:bottom w:val="single" w:color="000000" w:sz="8" w:space="0"/>
              <w:right w:val="single" w:color="000000" w:sz="8" w:space="0"/>
            </w:tcBorders>
            <w:vAlign w:val="center"/>
          </w:tcPr>
          <w:p w14:paraId="0FEEDAF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受热面包括水冷壁、蒸发器、高中低温过热器、省煤器</w:t>
            </w:r>
          </w:p>
        </w:tc>
        <w:tc>
          <w:tcPr>
            <w:tcW w:w="2470" w:type="dxa"/>
            <w:vMerge w:val="restart"/>
            <w:tcBorders>
              <w:top w:val="nil"/>
              <w:left w:val="nil"/>
              <w:bottom w:val="single" w:color="000000" w:sz="8" w:space="0"/>
              <w:right w:val="single" w:color="000000" w:sz="8" w:space="0"/>
            </w:tcBorders>
            <w:vAlign w:val="center"/>
          </w:tcPr>
          <w:p w14:paraId="18FD892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检查管子磨损，胀粗、弯曲情况受热面打磨测厚记录</w:t>
            </w:r>
          </w:p>
          <w:p w14:paraId="6D56F24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根据测厚情况消缺或更换受热面管，更换管的部分按特殊项目对应单价结算。</w:t>
            </w:r>
          </w:p>
          <w:p w14:paraId="08AB10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防磨瓦及拉筯检查与更换。</w:t>
            </w:r>
          </w:p>
          <w:p w14:paraId="5457CAD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4. 管子支撑、紧固卡扣检查处理。</w:t>
            </w:r>
          </w:p>
        </w:tc>
        <w:tc>
          <w:tcPr>
            <w:tcW w:w="3339" w:type="dxa"/>
            <w:vMerge w:val="restart"/>
            <w:tcBorders>
              <w:top w:val="nil"/>
              <w:left w:val="nil"/>
              <w:bottom w:val="single" w:color="000000" w:sz="8" w:space="0"/>
              <w:right w:val="single" w:color="000000" w:sz="8" w:space="0"/>
            </w:tcBorders>
            <w:vAlign w:val="center"/>
          </w:tcPr>
          <w:p w14:paraId="1BC8F39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受热面与结构件的焊缝无裂纹；焊缝须经100%无损探伤。</w:t>
            </w:r>
          </w:p>
          <w:p w14:paraId="726AAD9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水冷壁鳍片无开裂，补焊焊缝应平整密封，无气孔，无咬边。</w:t>
            </w:r>
          </w:p>
          <w:p w14:paraId="3BDBA08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管子表面无裂纹、撞伤、压扁、沙眼和分层等缺陷。</w:t>
            </w:r>
          </w:p>
          <w:p w14:paraId="5501063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清理管子外壁、焦渣和积灰使管子表面光洁，无积灰积渣。</w:t>
            </w:r>
          </w:p>
          <w:p w14:paraId="0E8B7B9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更换管壁厚负公差应小于壁厚的10%，更换管要求砂轮切割片严禁用割枪。</w:t>
            </w:r>
          </w:p>
          <w:p w14:paraId="391B7F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弯管表面无拉伤，其波浪度应符合规范要求。</w:t>
            </w:r>
          </w:p>
          <w:p w14:paraId="183A822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弯管弯曲部分实测壁厚应大于直管的理论计算壁厚。</w:t>
            </w:r>
          </w:p>
          <w:p w14:paraId="5C091D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弯管的椭圆度应小于6%，通球试验合格。（若需要）</w:t>
            </w:r>
          </w:p>
          <w:p w14:paraId="6013876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鳍片焊缝无咬边。</w:t>
            </w:r>
          </w:p>
          <w:p w14:paraId="11A6C44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打磨测厚不得损坏管子露出金属表面。</w:t>
            </w:r>
          </w:p>
          <w:p w14:paraId="48C6AF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11. 打磨时严禁用尖锐铁器敲击。</w:t>
            </w:r>
          </w:p>
          <w:p w14:paraId="2BA0521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12. 新管内无铁锈等杂质。</w:t>
            </w:r>
          </w:p>
          <w:p w14:paraId="0BB41D6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13. 检修后的管排应平整、无凹陷及凸出。</w:t>
            </w:r>
          </w:p>
          <w:p w14:paraId="312A0F1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14. 焊口水压试验合格。</w:t>
            </w:r>
          </w:p>
          <w:p w14:paraId="6232A3F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15. 炉墙保温恢复正常。</w:t>
            </w:r>
          </w:p>
          <w:p w14:paraId="4F1F68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16. 现场清理干净。</w:t>
            </w:r>
          </w:p>
          <w:p w14:paraId="635452A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17. 拆除的保温、化妆板及栏杆恢复正常。</w:t>
            </w:r>
          </w:p>
        </w:tc>
        <w:tc>
          <w:tcPr>
            <w:tcW w:w="456" w:type="dxa"/>
            <w:vMerge w:val="restart"/>
            <w:tcBorders>
              <w:top w:val="nil"/>
              <w:left w:val="nil"/>
              <w:bottom w:val="single" w:color="000000" w:sz="8" w:space="0"/>
              <w:right w:val="single" w:color="000000" w:sz="8" w:space="0"/>
            </w:tcBorders>
            <w:vAlign w:val="top"/>
          </w:tcPr>
          <w:p w14:paraId="53F14E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814C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CC85BD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1318B4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53CED4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552B58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F5824E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533C4D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3D77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C6408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674EEF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4288E4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0BCC5D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81FF3D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510C2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74E4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294E9A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B13467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3AC27E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D25D8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0F45B9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EF3B13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3BFC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AD0EF6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E1A07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3A2654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72190F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2C3668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06BD32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52F95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474DA9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C3C8EB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14049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7837A2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12532B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0E9778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1AE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71EB9B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47AF2F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C6C6A3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0150E5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3AAC18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691380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006C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2EC236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0DA14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841B68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25BA5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18346F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EBA5DB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6EC9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F4C36A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0BDEE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B00109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C1CFB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79DA48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C460B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56B1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82B70A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242CA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80B0FD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6E2916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285BD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D48BDB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A380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B0462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BAD9D7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07586D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494A28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B213D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AC45A3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3D46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151271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14518C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E72F08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9CEC9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054F68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D02113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B738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E28146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B2942C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7A2F25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38100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25F172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B8B26B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1299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C0E903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40ECE8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C90C0E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E4810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1AF04D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CEDBD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6388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4A8397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C5FA97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E91DC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6EB6D4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55DAC5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B3AAA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86D0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D361D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B0FBEF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C5AA48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494115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ACF714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C9BE0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D6B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CE0886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04B15B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AA63D6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1346A3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73B4CA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B3992A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C47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8F5E3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BB5F2A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1336A14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脱硝系统</w:t>
            </w:r>
          </w:p>
        </w:tc>
        <w:tc>
          <w:tcPr>
            <w:tcW w:w="2470" w:type="dxa"/>
            <w:vMerge w:val="restart"/>
            <w:tcBorders>
              <w:top w:val="nil"/>
              <w:left w:val="nil"/>
              <w:bottom w:val="single" w:color="000000" w:sz="8" w:space="0"/>
              <w:right w:val="single" w:color="000000" w:sz="8" w:space="0"/>
            </w:tcBorders>
            <w:vAlign w:val="center"/>
          </w:tcPr>
          <w:p w14:paraId="4AE78E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喷枪清理或更换。</w:t>
            </w:r>
          </w:p>
          <w:p w14:paraId="422D612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喷枪套管检查腐蚀严重的更换。</w:t>
            </w:r>
          </w:p>
          <w:p w14:paraId="49048A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3. 喷枪进退系统清理。</w:t>
            </w:r>
          </w:p>
        </w:tc>
        <w:tc>
          <w:tcPr>
            <w:tcW w:w="3339" w:type="dxa"/>
            <w:vMerge w:val="restart"/>
            <w:tcBorders>
              <w:top w:val="nil"/>
              <w:left w:val="nil"/>
              <w:bottom w:val="single" w:color="000000" w:sz="8" w:space="0"/>
              <w:right w:val="single" w:color="000000" w:sz="8" w:space="0"/>
            </w:tcBorders>
            <w:vAlign w:val="center"/>
          </w:tcPr>
          <w:p w14:paraId="5FA350F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喷枪无堵塞，雾化试验良好，无滴漏现象。</w:t>
            </w:r>
          </w:p>
          <w:p w14:paraId="27592BD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管子接头无泄漏。</w:t>
            </w:r>
          </w:p>
          <w:p w14:paraId="7814A2E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喷枪进退灵活，无卡涩。</w:t>
            </w:r>
          </w:p>
          <w:p w14:paraId="6B59DD4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更换的套管焊接牢固。</w:t>
            </w:r>
          </w:p>
          <w:p w14:paraId="1DCFF4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 喷枪进到位后喷头伸出水冷壁100mm。</w:t>
            </w:r>
          </w:p>
        </w:tc>
        <w:tc>
          <w:tcPr>
            <w:tcW w:w="456" w:type="dxa"/>
            <w:vMerge w:val="restart"/>
            <w:tcBorders>
              <w:top w:val="nil"/>
              <w:left w:val="nil"/>
              <w:bottom w:val="single" w:color="000000" w:sz="8" w:space="0"/>
              <w:right w:val="single" w:color="000000" w:sz="8" w:space="0"/>
            </w:tcBorders>
            <w:vAlign w:val="top"/>
          </w:tcPr>
          <w:p w14:paraId="4C8D940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F969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818D8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45B6E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A1380A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A0D0BF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B6DB8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B83D1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FE15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F8EEFB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E6EFC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D21BA9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4E81B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A1A14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2331D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928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C28E25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DCDF59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B9835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F1F458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156676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8F986F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48F2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C8F035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FB9874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F571F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5CCFF4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463A3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E91A10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BBE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EBE64F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ABA2A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643C51A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汽水阀门及汽水管道</w:t>
            </w:r>
          </w:p>
        </w:tc>
        <w:tc>
          <w:tcPr>
            <w:tcW w:w="2470" w:type="dxa"/>
            <w:vMerge w:val="restart"/>
            <w:tcBorders>
              <w:top w:val="nil"/>
              <w:left w:val="nil"/>
              <w:bottom w:val="single" w:color="000000" w:sz="8" w:space="0"/>
              <w:right w:val="single" w:color="000000" w:sz="8" w:space="0"/>
            </w:tcBorders>
            <w:vAlign w:val="center"/>
          </w:tcPr>
          <w:p w14:paraId="1D229CB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内漏的阀门阀芯研磨处理。</w:t>
            </w:r>
          </w:p>
          <w:p w14:paraId="21FF56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更换阀门按特殊项单价。</w:t>
            </w:r>
          </w:p>
          <w:p w14:paraId="6337465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定排及疏水阀一二次门添加填料；如需更换填料。</w:t>
            </w:r>
          </w:p>
          <w:p w14:paraId="45BFCE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集箱过热器安全阀（1个）、汽包安全阀（2个）解体清洁密封面研磨。</w:t>
            </w:r>
          </w:p>
          <w:p w14:paraId="0CE029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 管道支撑架调整处理。</w:t>
            </w:r>
          </w:p>
        </w:tc>
        <w:tc>
          <w:tcPr>
            <w:tcW w:w="3339" w:type="dxa"/>
            <w:vMerge w:val="restart"/>
            <w:tcBorders>
              <w:top w:val="nil"/>
              <w:left w:val="nil"/>
              <w:bottom w:val="single" w:color="000000" w:sz="8" w:space="0"/>
              <w:right w:val="single" w:color="000000" w:sz="8" w:space="0"/>
            </w:tcBorders>
            <w:vAlign w:val="center"/>
          </w:tcPr>
          <w:p w14:paraId="6457BE2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更换的阀门、填料、焊口水压试验合格。</w:t>
            </w:r>
          </w:p>
          <w:p w14:paraId="0AA7EB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阀门盘根压缩量不小于10mm。</w:t>
            </w:r>
          </w:p>
          <w:p w14:paraId="04FCD9B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阀杆开关灵活，无滴漏；手轮完整，无滑丝等情况。</w:t>
            </w:r>
          </w:p>
          <w:p w14:paraId="03FD32E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管道应能按照设计要求膨胀。</w:t>
            </w:r>
          </w:p>
          <w:p w14:paraId="501226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对于活动支吊架，吊杆应无弯曲现象，弹簧的拉长变形长度不得超过允许数值，弹簧和弹簧盒应无倾倒歪斜或弹簧被压缩而无间隙的现象。</w:t>
            </w:r>
          </w:p>
          <w:p w14:paraId="6C21CF9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所有固定支吊架和活动支吊架的构件内不得有任何杂物。</w:t>
            </w:r>
          </w:p>
          <w:p w14:paraId="791BF2E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油漆、标志等按要求恢复。</w:t>
            </w:r>
          </w:p>
          <w:p w14:paraId="7CF63CF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按规定对全部或部分焊口进行金属拍片检查，不合格的焊口必须重新处理。</w:t>
            </w:r>
          </w:p>
          <w:p w14:paraId="29B4B3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焊接工作结束后应恢复管子附件。</w:t>
            </w:r>
          </w:p>
          <w:p w14:paraId="5440402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现场清理干净。</w:t>
            </w:r>
          </w:p>
          <w:p w14:paraId="1E12AA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11. 各部间隙记录准确。各点弹簧高度记录准确。</w:t>
            </w:r>
          </w:p>
          <w:p w14:paraId="78DEE1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12. 弹簧无裂纹，无锈蚀和变形，弹性良好。</w:t>
            </w:r>
          </w:p>
          <w:p w14:paraId="6860F36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13. 弹簧与弹簧座吻合良好。</w:t>
            </w:r>
          </w:p>
          <w:p w14:paraId="7A743B3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14. 拆除的保温、化妆板及栏杆恢复正常。</w:t>
            </w:r>
          </w:p>
        </w:tc>
        <w:tc>
          <w:tcPr>
            <w:tcW w:w="456" w:type="dxa"/>
            <w:vMerge w:val="restart"/>
            <w:tcBorders>
              <w:top w:val="nil"/>
              <w:left w:val="nil"/>
              <w:bottom w:val="single" w:color="000000" w:sz="8" w:space="0"/>
              <w:right w:val="single" w:color="000000" w:sz="8" w:space="0"/>
            </w:tcBorders>
            <w:vAlign w:val="center"/>
          </w:tcPr>
          <w:p w14:paraId="6B05198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603E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0FC14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96B171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D5B7A4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07F6D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630362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4ED2B0D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65A1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F21950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9533A4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84C940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5999F5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9BB024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6206FAE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526EC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C50623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B866A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7F18FF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562ACA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968CAE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8E184C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C9AC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20DF5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C34A9F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C87C1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6633D3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17A05F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25F106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DE37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E4117D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6F51FD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D815C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1AED9B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F3C1E4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1AA6F87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D59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9BA335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E70749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1DE802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1289F2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30C8A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29DC11F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BEC3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0B472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2EBBEF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AC868A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DF962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5E5BF0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5BEAC97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F14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AB33E1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083000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7ED44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51A281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B863DB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2D0CB55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B201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15F4E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FDF563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619BED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34FE78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75E1F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20314FA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8477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A67066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A8B143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F65C2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D96960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24258D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1EEDF0D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6172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330A44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5CED5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8E6DD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1EDB59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AC0F9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0685EB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24BE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A30084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E807F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5D182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477CAE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303028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E077F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BE45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A81DD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1B33E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4AC2B8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78EDC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E185C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5D36330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5854B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C100A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4B01E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2F188A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防爆门检查门</w:t>
            </w:r>
          </w:p>
        </w:tc>
        <w:tc>
          <w:tcPr>
            <w:tcW w:w="2470" w:type="dxa"/>
            <w:vMerge w:val="restart"/>
            <w:tcBorders>
              <w:top w:val="nil"/>
              <w:left w:val="nil"/>
              <w:bottom w:val="single" w:color="000000" w:sz="8" w:space="0"/>
              <w:right w:val="single" w:color="000000" w:sz="8" w:space="0"/>
            </w:tcBorders>
            <w:vAlign w:val="center"/>
          </w:tcPr>
          <w:p w14:paraId="70C177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清理检查结合面；检查修理活动销子。</w:t>
            </w:r>
          </w:p>
          <w:p w14:paraId="004207D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更换石棉绳</w:t>
            </w:r>
          </w:p>
          <w:p w14:paraId="065500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螺栓螺母检修</w:t>
            </w:r>
          </w:p>
          <w:p w14:paraId="0B9CC1B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浇筑料脱落修复。</w:t>
            </w:r>
          </w:p>
          <w:p w14:paraId="1360329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 腐蚀严重的更换。</w:t>
            </w:r>
          </w:p>
        </w:tc>
        <w:tc>
          <w:tcPr>
            <w:tcW w:w="3339" w:type="dxa"/>
            <w:vMerge w:val="restart"/>
            <w:tcBorders>
              <w:top w:val="nil"/>
              <w:left w:val="nil"/>
              <w:bottom w:val="single" w:color="000000" w:sz="8" w:space="0"/>
              <w:right w:val="single" w:color="000000" w:sz="8" w:space="0"/>
            </w:tcBorders>
            <w:vAlign w:val="center"/>
          </w:tcPr>
          <w:p w14:paraId="20EEB38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结合面无划痕、无裂纹；结合面平整无变形。</w:t>
            </w:r>
          </w:p>
          <w:p w14:paraId="45EA4AC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活动销子无变形；转动灵活无卡涩。</w:t>
            </w:r>
          </w:p>
          <w:p w14:paraId="0FF379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3. 人孔门严密、无漏风。</w:t>
            </w:r>
          </w:p>
        </w:tc>
        <w:tc>
          <w:tcPr>
            <w:tcW w:w="456" w:type="dxa"/>
            <w:vMerge w:val="restart"/>
            <w:tcBorders>
              <w:top w:val="nil"/>
              <w:left w:val="nil"/>
              <w:bottom w:val="single" w:color="000000" w:sz="8" w:space="0"/>
              <w:right w:val="single" w:color="000000" w:sz="8" w:space="0"/>
            </w:tcBorders>
            <w:vAlign w:val="top"/>
          </w:tcPr>
          <w:p w14:paraId="363549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B350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120E52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3B04DF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76994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C77DB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F6DED4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FCDF21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CB9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ECAC2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558196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5B5358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14470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842A42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1F2C23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37A3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4A83D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5ADFF4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E56515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A95A71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93998B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1D6EF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D780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2FF7B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F3FFB9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80B842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AE0E8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841788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FBB34A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4D21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578B629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8065C1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3B3EDCA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给料斗及给料器</w:t>
            </w:r>
          </w:p>
        </w:tc>
        <w:tc>
          <w:tcPr>
            <w:tcW w:w="2470" w:type="dxa"/>
            <w:vMerge w:val="restart"/>
            <w:tcBorders>
              <w:top w:val="nil"/>
              <w:left w:val="nil"/>
              <w:bottom w:val="single" w:color="000000" w:sz="8" w:space="0"/>
              <w:right w:val="single" w:color="000000" w:sz="8" w:space="0"/>
            </w:tcBorders>
            <w:vAlign w:val="center"/>
          </w:tcPr>
          <w:p w14:paraId="628E102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密封隔离门驱动轴承检查并加油。</w:t>
            </w:r>
          </w:p>
          <w:p w14:paraId="4D3AB8E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密封隔离门驱动轴承座螺栓紧固。</w:t>
            </w:r>
          </w:p>
          <w:p w14:paraId="7D7753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落料口耐磨板检查消缺或更换，磨损超标的更换。</w:t>
            </w:r>
          </w:p>
          <w:p w14:paraId="14FC426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给料小车导轨、加油模块、液压缸周边杂物清理。</w:t>
            </w:r>
          </w:p>
          <w:p w14:paraId="7A119F5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给料小车平台、给料小车推头、侧墙铸造件检查并修补，若损坏或腐蚀严重的更换；给料小车与左右小车的膨胀间隙检查调整。</w:t>
            </w:r>
          </w:p>
          <w:p w14:paraId="783E586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给料小车导向轴承活络加油、清通堵塞的加油孔。</w:t>
            </w:r>
          </w:p>
          <w:p w14:paraId="1F90B1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给料小车滑轨、铜滑板、导向轮磨损程度检查如有损坏更换。</w:t>
            </w:r>
          </w:p>
          <w:p w14:paraId="4614E5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给料小车油缸底座固定螺栓检查紧固。</w:t>
            </w:r>
          </w:p>
          <w:p w14:paraId="6D86032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检查各类铸件是否出现断裂、下沉、上翘、松动、铸件间间隙大缝隙等现象；中间框架耐磨板及铸件紧固情况。</w:t>
            </w:r>
          </w:p>
          <w:p w14:paraId="2326626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检查并调整滑动平台铸件平面度、相邻铸件平面度等。</w:t>
            </w:r>
          </w:p>
          <w:p w14:paraId="328B364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11. 驱动轮、导向轮、行走钢轨检查、加油、维护及调整。</w:t>
            </w:r>
          </w:p>
        </w:tc>
        <w:tc>
          <w:tcPr>
            <w:tcW w:w="3339" w:type="dxa"/>
            <w:vMerge w:val="restart"/>
            <w:tcBorders>
              <w:top w:val="nil"/>
              <w:left w:val="nil"/>
              <w:bottom w:val="single" w:color="000000" w:sz="8" w:space="0"/>
              <w:right w:val="single" w:color="000000" w:sz="8" w:space="0"/>
            </w:tcBorders>
            <w:vAlign w:val="center"/>
          </w:tcPr>
          <w:p w14:paraId="2031D8A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密封门开关灵活，密封严密。</w:t>
            </w:r>
          </w:p>
          <w:p w14:paraId="74D4551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驱动油缸底座螺栓紧固可靠。</w:t>
            </w:r>
          </w:p>
          <w:p w14:paraId="6E916D4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落料口耐磨板牢固可靠，无挂料现象。</w:t>
            </w:r>
          </w:p>
          <w:p w14:paraId="5912984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给料小车导轨、加油模块、液压缸等周边干净整洁无杂物。</w:t>
            </w:r>
          </w:p>
          <w:p w14:paraId="171C225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给料小车各连接部位紧密、牢固。</w:t>
            </w:r>
          </w:p>
          <w:p w14:paraId="4322944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中间框架连接牢固，各耐磨板在同一平面；各类铸件检查无缺陷。</w:t>
            </w:r>
          </w:p>
          <w:p w14:paraId="1DD6C2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滑动平台的底部与侧面平整度、光滑度符合要求。</w:t>
            </w:r>
          </w:p>
          <w:p w14:paraId="2BFC950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驱动轮、导向轮、钢轨加油部位充满油脂，接触良好，行走无偏斜； 试运时行走平稳，无跳动现象。</w:t>
            </w:r>
          </w:p>
          <w:p w14:paraId="38C95CC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9. 运行声音平缓，无杂音。</w:t>
            </w:r>
          </w:p>
        </w:tc>
        <w:tc>
          <w:tcPr>
            <w:tcW w:w="456" w:type="dxa"/>
            <w:vMerge w:val="restart"/>
            <w:tcBorders>
              <w:top w:val="nil"/>
              <w:left w:val="nil"/>
              <w:bottom w:val="single" w:color="000000" w:sz="8" w:space="0"/>
              <w:right w:val="single" w:color="000000" w:sz="8" w:space="0"/>
            </w:tcBorders>
            <w:vAlign w:val="top"/>
          </w:tcPr>
          <w:p w14:paraId="070987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679A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EC45BF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3E34E9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CB62C8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36487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378A82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675FB5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DFC7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A802D3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60E324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B5B49B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C0DA01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6F9C0E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DAA9A3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8A58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18A0D1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BCDF0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6A1D24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66E3D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0AF15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CF2980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F350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BBABBA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551F3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9CD20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F9A5E6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B35A2B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5E95C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7509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3FDC7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024E63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DEC60D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392EB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60D06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2A0F46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3E48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8B2E4F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7531B7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1B34D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1E961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338BED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D4AF3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BB5B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4FCBDC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E33C88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F932A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16A42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A4AE2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9A1724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06D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B60C52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17FB72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8DEBAE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EBE3F1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83FC1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245F02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4C5C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5CCA7D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AAF26D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27D046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46E32F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3D05AA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33E21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430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C0578F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E28B8E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7309C3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45360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60D92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F0DB7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5BE5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5FBC271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AE275E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520C6A7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rPr>
            </w:pPr>
            <w:r>
              <w:rPr>
                <w:rFonts w:hint="eastAsia" w:ascii="宋体" w:hAnsi="宋体" w:eastAsia="宋体" w:cs="宋体"/>
                <w:color w:val="auto"/>
                <w:kern w:val="2"/>
                <w:sz w:val="21"/>
                <w:szCs w:val="21"/>
                <w:highlight w:val="none"/>
                <w:lang w:val="en-US" w:eastAsia="zh-CN"/>
              </w:rPr>
              <w:t>炉排及中间圆弧板</w:t>
            </w:r>
          </w:p>
        </w:tc>
        <w:tc>
          <w:tcPr>
            <w:tcW w:w="2470" w:type="dxa"/>
            <w:vMerge w:val="restart"/>
            <w:tcBorders>
              <w:top w:val="nil"/>
              <w:left w:val="nil"/>
              <w:bottom w:val="single" w:color="000000" w:sz="8" w:space="0"/>
              <w:right w:val="single" w:color="000000" w:sz="8" w:space="0"/>
            </w:tcBorders>
            <w:vAlign w:val="center"/>
          </w:tcPr>
          <w:p w14:paraId="435FC38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炉排铸件磨损、腐蚀超标的更换。</w:t>
            </w:r>
          </w:p>
          <w:p w14:paraId="63AA505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炉排片间隙杂物清理、测量、调整。</w:t>
            </w:r>
          </w:p>
          <w:p w14:paraId="25844FF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炉排定位块检查处理。</w:t>
            </w:r>
          </w:p>
          <w:p w14:paraId="7747C99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炉排片风孔清理及磨损消缺处理。对检查中磨损超标的更换炉排</w:t>
            </w:r>
          </w:p>
          <w:p w14:paraId="7CDC790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炉排两侧圆弧板、圆弧板铸件磨损消缺，损坏的更换。</w:t>
            </w:r>
          </w:p>
          <w:p w14:paraId="7CCFA4E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上下炉排液压缸底座定位块检查处理；上、下炉排油缸、摇臂底座固定螺栓检查紧固。</w:t>
            </w:r>
          </w:p>
        </w:tc>
        <w:tc>
          <w:tcPr>
            <w:tcW w:w="3339" w:type="dxa"/>
            <w:vMerge w:val="restart"/>
            <w:tcBorders>
              <w:top w:val="nil"/>
              <w:left w:val="nil"/>
              <w:bottom w:val="single" w:color="000000" w:sz="8" w:space="0"/>
              <w:right w:val="single" w:color="000000" w:sz="8" w:space="0"/>
            </w:tcBorders>
            <w:vAlign w:val="center"/>
          </w:tcPr>
          <w:p w14:paraId="1924844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炉排片纵向不超过基准线2mm，横向偏斜不超过2mm。</w:t>
            </w:r>
          </w:p>
          <w:p w14:paraId="08D7E98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调整垫片无凸出、下沉；炉排间隙2～5mm。</w:t>
            </w:r>
          </w:p>
          <w:p w14:paraId="3C81E8D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炉排间连接螺栓紧固良好，螺母已点焊。</w:t>
            </w:r>
          </w:p>
          <w:p w14:paraId="3B2A2A5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炉排间连接螺栓紧固良好，螺母已点焊。</w:t>
            </w:r>
          </w:p>
          <w:p w14:paraId="529E2D8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炉排风孔磨损量不超过2mm；轴承、导向轮、托辊、驱动梁等磨损量不超过3mm。</w:t>
            </w:r>
          </w:p>
          <w:p w14:paraId="4107AF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密封铜块密封良好；各定位块固定牢固，无偏斜或松动；各受力部位连接件均固定牢固，无松动。</w:t>
            </w:r>
          </w:p>
          <w:p w14:paraId="76736C7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7. 试运时平稳，无卡涩现象。声音平缓，无杂音。</w:t>
            </w:r>
          </w:p>
        </w:tc>
        <w:tc>
          <w:tcPr>
            <w:tcW w:w="456" w:type="dxa"/>
            <w:vMerge w:val="restart"/>
            <w:tcBorders>
              <w:top w:val="nil"/>
              <w:left w:val="nil"/>
              <w:bottom w:val="single" w:color="000000" w:sz="8" w:space="0"/>
              <w:right w:val="single" w:color="000000" w:sz="8" w:space="0"/>
            </w:tcBorders>
            <w:vAlign w:val="top"/>
          </w:tcPr>
          <w:p w14:paraId="12000AD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999D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EA5BE2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2E6D4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5834D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D07B49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4AA5E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E58FAB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143B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EEABC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2506B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86AAD3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824E26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FA360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8394AB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7990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57FC6D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44FF5D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9E1E61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E7AED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C659D2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F5871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59AC8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8589C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F22E81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BD5CE1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FCDA0E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F3506F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CB383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21E3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00E36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ACE021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19214C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16635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0A868F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84BF0D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8A6E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024098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3761D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FBDC2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C1F38E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75FE0B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5B2AD6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BD10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43C615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二</w:t>
            </w:r>
          </w:p>
        </w:tc>
        <w:tc>
          <w:tcPr>
            <w:tcW w:w="514" w:type="dxa"/>
            <w:vMerge w:val="restart"/>
            <w:tcBorders>
              <w:top w:val="nil"/>
              <w:left w:val="nil"/>
              <w:bottom w:val="single" w:color="000000" w:sz="8" w:space="0"/>
              <w:right w:val="single" w:color="000000" w:sz="8" w:space="0"/>
            </w:tcBorders>
            <w:vAlign w:val="center"/>
          </w:tcPr>
          <w:p w14:paraId="42B469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焚烧炉</w:t>
            </w:r>
          </w:p>
        </w:tc>
        <w:tc>
          <w:tcPr>
            <w:tcW w:w="1342" w:type="dxa"/>
            <w:vMerge w:val="restart"/>
            <w:tcBorders>
              <w:top w:val="nil"/>
              <w:left w:val="nil"/>
              <w:bottom w:val="single" w:color="000000" w:sz="8" w:space="0"/>
              <w:right w:val="single" w:color="000000" w:sz="8" w:space="0"/>
            </w:tcBorders>
            <w:vAlign w:val="center"/>
          </w:tcPr>
          <w:p w14:paraId="05D2C50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驱动梁及摇臂系统</w:t>
            </w:r>
          </w:p>
        </w:tc>
        <w:tc>
          <w:tcPr>
            <w:tcW w:w="2470" w:type="dxa"/>
            <w:vMerge w:val="restart"/>
            <w:tcBorders>
              <w:top w:val="nil"/>
              <w:left w:val="nil"/>
              <w:bottom w:val="single" w:color="000000" w:sz="8" w:space="0"/>
              <w:right w:val="single" w:color="000000" w:sz="8" w:space="0"/>
            </w:tcBorders>
            <w:vAlign w:val="center"/>
          </w:tcPr>
          <w:p w14:paraId="22B38F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驱动梁托辊轴承支撑架螺栓检查紧固。</w:t>
            </w:r>
          </w:p>
          <w:p w14:paraId="422115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驱动梁支撑耐磨板检查，磨损超标的更换。</w:t>
            </w:r>
          </w:p>
          <w:p w14:paraId="4A193BE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驱动梁托辊轴承检查更换，并加高温油脂（40套）。</w:t>
            </w:r>
          </w:p>
          <w:p w14:paraId="5C8402D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驱动梁导向轮轴承更换（40件），并加高温油脂。</w:t>
            </w:r>
          </w:p>
          <w:p w14:paraId="5A62F3C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后驱动梁拉杆支撑轴承更换，并加高温油脂。</w:t>
            </w:r>
          </w:p>
          <w:p w14:paraId="75AB703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后驱动梁拉杆连接轴承检查加高温油脂，损坏的更换。</w:t>
            </w:r>
          </w:p>
          <w:p w14:paraId="5EA1C6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驱动梁摇臂轴承检查更换。轴承间隙超标的更换。</w:t>
            </w:r>
          </w:p>
          <w:p w14:paraId="524C294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驱动梁密封盒更换密封套。</w:t>
            </w:r>
          </w:p>
          <w:p w14:paraId="316AD69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驱动梁导向轮耐磨条磨损严重的更换。</w:t>
            </w:r>
          </w:p>
          <w:p w14:paraId="3D02BBF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前驱动梁摇臂拉杆密封盒耐磨环更换</w:t>
            </w:r>
          </w:p>
          <w:p w14:paraId="2AE005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11. 驱动梁摇臂轴承自动加油装置各加油点检查并清通堵塞的加油孔及管路接头漏油点处理。</w:t>
            </w:r>
          </w:p>
        </w:tc>
        <w:tc>
          <w:tcPr>
            <w:tcW w:w="3339" w:type="dxa"/>
            <w:vMerge w:val="restart"/>
            <w:tcBorders>
              <w:top w:val="nil"/>
              <w:left w:val="nil"/>
              <w:bottom w:val="single" w:color="000000" w:sz="8" w:space="0"/>
              <w:right w:val="single" w:color="000000" w:sz="8" w:space="0"/>
            </w:tcBorders>
            <w:vAlign w:val="center"/>
          </w:tcPr>
          <w:p w14:paraId="7612F14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托辊轴支撑架、导向轮支撑架螺栓无松动。</w:t>
            </w:r>
          </w:p>
          <w:p w14:paraId="266B70C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进、退到位灵活，运行平稳、无卡涩现象。</w:t>
            </w:r>
          </w:p>
          <w:p w14:paraId="1253EE1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导向轮安装的轴线与驱动梁轴线重合，接触面部无间隙。</w:t>
            </w:r>
          </w:p>
          <w:p w14:paraId="4D826DD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耐磨板和耐磨条与基板贴合紧密无间隙并焊接牢固可靠，打磨平整。</w:t>
            </w:r>
          </w:p>
          <w:p w14:paraId="79DEDF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托辊轴承、导向轮轴承、拉杆导向轴承充满高温油脂。</w:t>
            </w:r>
          </w:p>
          <w:p w14:paraId="7FFE77E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密封盒耐磨环与驱动梁拉杆无卡涩、灵活，密封胶管完好，接头牢固。</w:t>
            </w:r>
          </w:p>
          <w:p w14:paraId="6FCDE8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7. 密封盒清理干净，无杂物。</w:t>
            </w:r>
          </w:p>
        </w:tc>
        <w:tc>
          <w:tcPr>
            <w:tcW w:w="456" w:type="dxa"/>
            <w:vMerge w:val="restart"/>
            <w:tcBorders>
              <w:top w:val="nil"/>
              <w:left w:val="nil"/>
              <w:bottom w:val="single" w:color="000000" w:sz="8" w:space="0"/>
              <w:right w:val="single" w:color="000000" w:sz="8" w:space="0"/>
            </w:tcBorders>
            <w:vAlign w:val="center"/>
          </w:tcPr>
          <w:p w14:paraId="66E5130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BDE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E82981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7F73A2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E3219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28FD71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ED823D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60F49A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CE60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1F15B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9EBDFF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E77837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1DE5FA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C22A4A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5D5583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C694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A28C02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7BECB6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B3764B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4943FA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DD7BD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7D8F0C8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EB8B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9A33FE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F47DB2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B4AE40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EC7EB3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32D20F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5DAF5D9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B413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4A8686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152260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718AA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5A38B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9DFF82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5F897C7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ED4E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9FA7E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AC833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26317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8F0855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8D653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64FFD7F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0BDF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F2123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F43194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534E9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BF57DA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4E94A8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5F4BBBC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5040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6B15DA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03AB40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D82100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23F68F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207706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6A6DCF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85F6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ED97B3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088A17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035B8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59B964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79608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08DDA7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E907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3B8E5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5A4091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DE03BE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72A92A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BFF499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0B6874F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AA8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356619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8CCD22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44F581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落渣口</w:t>
            </w:r>
          </w:p>
        </w:tc>
        <w:tc>
          <w:tcPr>
            <w:tcW w:w="2470" w:type="dxa"/>
            <w:vMerge w:val="restart"/>
            <w:tcBorders>
              <w:top w:val="nil"/>
              <w:left w:val="nil"/>
              <w:bottom w:val="single" w:color="000000" w:sz="8" w:space="0"/>
              <w:right w:val="single" w:color="000000" w:sz="8" w:space="0"/>
            </w:tcBorders>
            <w:vAlign w:val="center"/>
          </w:tcPr>
          <w:p w14:paraId="0CC8814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防砸网板脱落修复。</w:t>
            </w:r>
          </w:p>
          <w:p w14:paraId="602F34D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 清理落渣口杂物及铁丝。</w:t>
            </w:r>
          </w:p>
        </w:tc>
        <w:tc>
          <w:tcPr>
            <w:tcW w:w="3339" w:type="dxa"/>
            <w:vMerge w:val="restart"/>
            <w:tcBorders>
              <w:top w:val="nil"/>
              <w:left w:val="nil"/>
              <w:bottom w:val="single" w:color="000000" w:sz="8" w:space="0"/>
              <w:right w:val="single" w:color="000000" w:sz="8" w:space="0"/>
            </w:tcBorders>
            <w:vAlign w:val="center"/>
          </w:tcPr>
          <w:p w14:paraId="50C82BF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敷设可塑料牢固可靠，无脱落现场。</w:t>
            </w:r>
          </w:p>
          <w:p w14:paraId="47492F8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 钢板焊接牢固。</w:t>
            </w:r>
          </w:p>
        </w:tc>
        <w:tc>
          <w:tcPr>
            <w:tcW w:w="456" w:type="dxa"/>
            <w:vMerge w:val="restart"/>
            <w:tcBorders>
              <w:top w:val="nil"/>
              <w:left w:val="nil"/>
              <w:bottom w:val="single" w:color="000000" w:sz="8" w:space="0"/>
              <w:right w:val="single" w:color="000000" w:sz="8" w:space="0"/>
            </w:tcBorders>
            <w:vAlign w:val="center"/>
          </w:tcPr>
          <w:p w14:paraId="3E818F8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87E3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E3C54A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A7CB36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44F99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DB1193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FE6B2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F16100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55C8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4C1CFA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A101F0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18E73D4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除渣机</w:t>
            </w:r>
          </w:p>
        </w:tc>
        <w:tc>
          <w:tcPr>
            <w:tcW w:w="2470" w:type="dxa"/>
            <w:vMerge w:val="restart"/>
            <w:tcBorders>
              <w:top w:val="nil"/>
              <w:left w:val="nil"/>
              <w:bottom w:val="single" w:color="000000" w:sz="8" w:space="0"/>
              <w:right w:val="single" w:color="000000" w:sz="8" w:space="0"/>
            </w:tcBorders>
            <w:vAlign w:val="center"/>
          </w:tcPr>
          <w:p w14:paraId="5F5E12F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人孔门开启、封闭以及密封硅胶条更换。</w:t>
            </w:r>
          </w:p>
          <w:p w14:paraId="548F43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清理除渣机污垢及推头底部、主轴摇臂污泥。</w:t>
            </w:r>
          </w:p>
          <w:p w14:paraId="0529BB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人孔门耐磨板检查磨损超标的修复。</w:t>
            </w:r>
          </w:p>
          <w:p w14:paraId="55379A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护板检查磨损超标的更换。</w:t>
            </w:r>
          </w:p>
          <w:p w14:paraId="41D5C4A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检查门盖铰链轴，如变形或锈蚀严重影响门的开闭时，进行修复；并加注适量的润滑油脂。</w:t>
            </w:r>
          </w:p>
          <w:p w14:paraId="3410640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除渣机自动加油装置各加油点检查并清通堵塞的加油孔及管路接头漏油点处理。</w:t>
            </w:r>
          </w:p>
        </w:tc>
        <w:tc>
          <w:tcPr>
            <w:tcW w:w="3339" w:type="dxa"/>
            <w:vMerge w:val="restart"/>
            <w:tcBorders>
              <w:top w:val="nil"/>
              <w:left w:val="nil"/>
              <w:bottom w:val="single" w:color="000000" w:sz="8" w:space="0"/>
              <w:right w:val="single" w:color="000000" w:sz="8" w:space="0"/>
            </w:tcBorders>
            <w:vAlign w:val="center"/>
          </w:tcPr>
          <w:p w14:paraId="485931D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除渣机内清理干净整洁。</w:t>
            </w:r>
          </w:p>
          <w:p w14:paraId="0DD7F06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壳体安装护板前应涂刷干膜厚度不小于70um的沥青漆。</w:t>
            </w:r>
          </w:p>
          <w:p w14:paraId="1069CB1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3. 护板安装处的壳体打磨平整，以嵌入轴承座中心为基准。 </w:t>
            </w:r>
          </w:p>
          <w:p w14:paraId="6028A4E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检查推头体推板与护板9（40mm耐磨底板）接触后紧密间隙不得超过2mm。</w:t>
            </w:r>
          </w:p>
          <w:p w14:paraId="3815EC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下部门盖修复：通过增加调整垫片，使得下部门盖护板与推头体间隙为2‐3mm。更换护板安装螺栓及螺栓密封垫，更换门盖密封硅橡胶条，保证除渣机的密封性。</w:t>
            </w:r>
          </w:p>
          <w:p w14:paraId="70E6A15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保证下部门盖开闭灵活。</w:t>
            </w:r>
          </w:p>
        </w:tc>
        <w:tc>
          <w:tcPr>
            <w:tcW w:w="456" w:type="dxa"/>
            <w:vMerge w:val="restart"/>
            <w:tcBorders>
              <w:top w:val="nil"/>
              <w:left w:val="nil"/>
              <w:bottom w:val="single" w:color="000000" w:sz="8" w:space="0"/>
              <w:right w:val="single" w:color="000000" w:sz="8" w:space="0"/>
            </w:tcBorders>
            <w:vAlign w:val="center"/>
          </w:tcPr>
          <w:p w14:paraId="28C4A6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EE65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F5C93D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B8D7AB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E1E1DF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AD49D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4CFD62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4E7E3E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98AF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A43D4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9EE093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786EC3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6FFB64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4978F7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FDFBE4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1F1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8E510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ADD53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36DC51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BF726B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7CFD4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4FC0A3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6E83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323165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04C257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0AB65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60C6B7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128BE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07B194D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3AD7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C676F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E7539D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27572E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B403B2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4BB27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center"/>
          </w:tcPr>
          <w:p w14:paraId="319224D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69ED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F98AB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78FBD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07B9869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驱动液压油缸</w:t>
            </w:r>
          </w:p>
        </w:tc>
        <w:tc>
          <w:tcPr>
            <w:tcW w:w="2470" w:type="dxa"/>
            <w:vMerge w:val="restart"/>
            <w:tcBorders>
              <w:top w:val="nil"/>
              <w:left w:val="nil"/>
              <w:bottom w:val="single" w:color="000000" w:sz="8" w:space="0"/>
              <w:right w:val="single" w:color="000000" w:sz="8" w:space="0"/>
            </w:tcBorders>
            <w:vAlign w:val="center"/>
          </w:tcPr>
          <w:p w14:paraId="36AFB2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更换数量按个数计。</w:t>
            </w:r>
          </w:p>
          <w:p w14:paraId="43117E1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2. 给料器油缸（3个）；炉排油缸（18个）；除渣机油缸（3个）；隔离门油缸（3个）。</w:t>
            </w:r>
          </w:p>
        </w:tc>
        <w:tc>
          <w:tcPr>
            <w:tcW w:w="3339" w:type="dxa"/>
            <w:vMerge w:val="restart"/>
            <w:tcBorders>
              <w:top w:val="nil"/>
              <w:left w:val="nil"/>
              <w:bottom w:val="single" w:color="000000" w:sz="8" w:space="0"/>
              <w:right w:val="single" w:color="000000" w:sz="8" w:space="0"/>
            </w:tcBorders>
            <w:vAlign w:val="center"/>
          </w:tcPr>
          <w:p w14:paraId="2AEE6D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更换的油缸螺栓紧固可靠。</w:t>
            </w:r>
          </w:p>
          <w:p w14:paraId="573802E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油缸在更换中无损坏。</w:t>
            </w:r>
          </w:p>
          <w:p w14:paraId="6A2854A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高压油管接头严密，无滴漏。</w:t>
            </w:r>
          </w:p>
          <w:p w14:paraId="1A8FC86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4. 清理油缸周围积灰积油。</w:t>
            </w:r>
          </w:p>
        </w:tc>
        <w:tc>
          <w:tcPr>
            <w:tcW w:w="456" w:type="dxa"/>
            <w:vMerge w:val="restart"/>
            <w:tcBorders>
              <w:top w:val="nil"/>
              <w:left w:val="nil"/>
              <w:bottom w:val="single" w:color="000000" w:sz="8" w:space="0"/>
              <w:right w:val="single" w:color="000000" w:sz="8" w:space="0"/>
            </w:tcBorders>
            <w:vAlign w:val="top"/>
          </w:tcPr>
          <w:p w14:paraId="7ADA77B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5FBFD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3FC101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76E83B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4C794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258ED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104D4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59AF8A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E67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83BA0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6718DC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27582F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957EBF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FD66D8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39B26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E13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51504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6EB6C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BC156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28BFA2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23BFE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82B457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342E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97C04C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59C436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06B6A3E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风室刮板机</w:t>
            </w:r>
          </w:p>
        </w:tc>
        <w:tc>
          <w:tcPr>
            <w:tcW w:w="2470" w:type="dxa"/>
            <w:vMerge w:val="restart"/>
            <w:tcBorders>
              <w:top w:val="nil"/>
              <w:left w:val="nil"/>
              <w:bottom w:val="single" w:color="000000" w:sz="8" w:space="0"/>
              <w:right w:val="single" w:color="000000" w:sz="8" w:space="0"/>
            </w:tcBorders>
            <w:vAlign w:val="center"/>
          </w:tcPr>
          <w:p w14:paraId="2B9A653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刮板链条校正，损坏严重的更换。</w:t>
            </w:r>
          </w:p>
          <w:p w14:paraId="38AB9D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刮板机耐磨条检查磨损严重的更换。</w:t>
            </w:r>
          </w:p>
          <w:p w14:paraId="55D7078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刮板机本体漏点密封条更换。</w:t>
            </w:r>
          </w:p>
          <w:p w14:paraId="2A52267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刮板机漏灰点处理。</w:t>
            </w:r>
          </w:p>
          <w:p w14:paraId="24F1A0B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传动链条检查，磨损大的更换。</w:t>
            </w:r>
          </w:p>
          <w:p w14:paraId="69FF47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减速机润滑油更换。</w:t>
            </w:r>
          </w:p>
        </w:tc>
        <w:tc>
          <w:tcPr>
            <w:tcW w:w="3339" w:type="dxa"/>
            <w:vMerge w:val="restart"/>
            <w:tcBorders>
              <w:top w:val="nil"/>
              <w:left w:val="nil"/>
              <w:bottom w:val="single" w:color="000000" w:sz="8" w:space="0"/>
              <w:right w:val="single" w:color="000000" w:sz="8" w:space="0"/>
            </w:tcBorders>
            <w:vAlign w:val="center"/>
          </w:tcPr>
          <w:p w14:paraId="1A5ABD9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机头架、机尾架、过渡槽、过桥架无开焊。机架两侧板的对中板的垂直度允差不得大于2mm。机头、机尾架上安装传动装置的定位面、孔应符合技术文件的要求。</w:t>
            </w:r>
          </w:p>
          <w:p w14:paraId="1DCC330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机头架、机尾架与过渡槽接口处的上下错口量不得大于2mm，左右错口量不得大于3mm。</w:t>
            </w:r>
          </w:p>
          <w:p w14:paraId="4A8AC10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机头轴、机尾链轮轴应转动灵活，不得有卡碰现象。</w:t>
            </w:r>
          </w:p>
          <w:p w14:paraId="3BC6371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链条组装合格，运转中刮板链条无跑偏，松紧合适，链条正、反向运行无卡阻现象。</w:t>
            </w:r>
          </w:p>
          <w:p w14:paraId="41DBD69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 刮板机密封严密不得有漏灰现象。</w:t>
            </w:r>
          </w:p>
        </w:tc>
        <w:tc>
          <w:tcPr>
            <w:tcW w:w="456" w:type="dxa"/>
            <w:vMerge w:val="restart"/>
            <w:tcBorders>
              <w:top w:val="nil"/>
              <w:left w:val="nil"/>
              <w:bottom w:val="single" w:color="000000" w:sz="8" w:space="0"/>
              <w:right w:val="single" w:color="000000" w:sz="8" w:space="0"/>
            </w:tcBorders>
            <w:vAlign w:val="top"/>
          </w:tcPr>
          <w:p w14:paraId="7BB6E34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88B8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98224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9E3089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5DAE01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B2A2C9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D56B0A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60289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B2CA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51491F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12A23A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20501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E75589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78BD48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73EC1B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5D8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0BF8ED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F5D738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EC23BF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50BD8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D406F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61F3A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49D6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CCE2FD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6085B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394BFA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8C920C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01A8E7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52E3F6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70BC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55B753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C0E97E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1D21A0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1C43B2B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5AB0C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E3201B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F9B3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72FFBC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986F4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65E3736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引风机，一二次风机，燃烧器冷却风机，燃烧器助燃风机</w:t>
            </w:r>
          </w:p>
        </w:tc>
        <w:tc>
          <w:tcPr>
            <w:tcW w:w="2470" w:type="dxa"/>
            <w:vMerge w:val="restart"/>
            <w:tcBorders>
              <w:top w:val="nil"/>
              <w:left w:val="nil"/>
              <w:bottom w:val="single" w:color="000000" w:sz="8" w:space="0"/>
              <w:right w:val="single" w:color="000000" w:sz="8" w:space="0"/>
            </w:tcBorders>
            <w:vAlign w:val="center"/>
          </w:tcPr>
          <w:p w14:paraId="07A3833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叶轮积灰的检查及清理。</w:t>
            </w:r>
          </w:p>
          <w:p w14:paraId="231DFA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叶轮根部处涂色检查裂纹情况。</w:t>
            </w:r>
          </w:p>
          <w:p w14:paraId="60DCAF1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轴承箱、冷却水室清洁、轴承检查并更换润滑油。</w:t>
            </w:r>
          </w:p>
          <w:p w14:paraId="6FFC707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风机进、出口风门的检查，开关灵活及位置正确。</w:t>
            </w:r>
          </w:p>
          <w:p w14:paraId="5361317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地脚螺栓紧固检查。</w:t>
            </w:r>
          </w:p>
          <w:p w14:paraId="264C48B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联轴器减震胶垫和柱销检查，磨损严重的更换。</w:t>
            </w:r>
          </w:p>
          <w:p w14:paraId="2E0388B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7. 靠背轮中心复查，并重新调整。</w:t>
            </w:r>
          </w:p>
        </w:tc>
        <w:tc>
          <w:tcPr>
            <w:tcW w:w="3339" w:type="dxa"/>
            <w:vMerge w:val="restart"/>
            <w:tcBorders>
              <w:top w:val="nil"/>
              <w:left w:val="nil"/>
              <w:bottom w:val="single" w:color="000000" w:sz="8" w:space="0"/>
              <w:right w:val="single" w:color="000000" w:sz="8" w:space="0"/>
            </w:tcBorders>
            <w:vAlign w:val="center"/>
          </w:tcPr>
          <w:p w14:paraId="21B7A3D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联轴器应完整，无裂纹，无变形，表面光洁，联轴器与轴配合牢固、无松动。</w:t>
            </w:r>
          </w:p>
          <w:p w14:paraId="44D95F9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连接螺栓无弯曲变形，螺纹完好，垫圈、弹簧垫、螺母齐全。</w:t>
            </w:r>
          </w:p>
          <w:p w14:paraId="0F43B45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连接螺栓的橡胶圈应无裂纹和老化变质，橡胶圈与联轴器孔之间的间隙不应大于1mm，与连接螺栓之间不应有间隙。</w:t>
            </w:r>
          </w:p>
          <w:p w14:paraId="127B886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叶片及叶轮盘无裂纹及变形。叶片磨损量应小于原厚度的1/3。</w:t>
            </w:r>
          </w:p>
          <w:p w14:paraId="33943E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轮毂与叶轮盘的连接螺栓或铆钉不允许有松动。</w:t>
            </w:r>
          </w:p>
          <w:p w14:paraId="4ABA491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轮毂与主轴配合应无松动，配合公差符合图纸要求；集流器不得有开裂现象。</w:t>
            </w:r>
          </w:p>
          <w:p w14:paraId="01F28E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7. 集流器和叶轮的配合间隙应符合装配要求；主轴无裂纹、腐蚀及磨损。</w:t>
            </w:r>
          </w:p>
          <w:p w14:paraId="7FEDB90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8. 主轴弯曲不应大于0.05mm/m，且全长弯曲不大于0.10mm；主轴轴颈圆度不大于0.02mm；主轴保护套应完好，主轴与保护套之间的径向间隙应为0.06mm—0.08mm。</w:t>
            </w:r>
          </w:p>
          <w:p w14:paraId="0B32A4F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9. 滚动轴承的内外套、隔离圈及滚珠不应有裂纹、重皮、斑痕、腐蚀锈痕等缺陷；轴承与轴的配合符合装配要求。</w:t>
            </w:r>
          </w:p>
          <w:p w14:paraId="09189D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10. 油位计应畅通、清楚；冷却水应畅通，水量适中，冷却水阀门应开关灵活。</w:t>
            </w:r>
          </w:p>
          <w:p w14:paraId="2E71BA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11. 机壳与支撑件之间不得有开焊现象；所有焊口焊接牢固，无开裂现象；挡板的传动装置应完好，无卡涩现象。</w:t>
            </w:r>
          </w:p>
          <w:p w14:paraId="223BF6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12. 风机试运行时间4h—8h，试运行中轴承垂直振动不大于0.03mm；轴承水平振动一般应为0.05mm，最大不超过0.10mm，轴承温度低于70℃。</w:t>
            </w:r>
          </w:p>
          <w:p w14:paraId="186DBEF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13. 风机运行 正常无异声；挡板开关灵活，指示正确；各处密封不漏油、风、水。</w:t>
            </w:r>
          </w:p>
        </w:tc>
        <w:tc>
          <w:tcPr>
            <w:tcW w:w="456" w:type="dxa"/>
            <w:vMerge w:val="restart"/>
            <w:tcBorders>
              <w:top w:val="nil"/>
              <w:left w:val="nil"/>
              <w:bottom w:val="single" w:color="000000" w:sz="8" w:space="0"/>
              <w:right w:val="single" w:color="000000" w:sz="8" w:space="0"/>
            </w:tcBorders>
            <w:vAlign w:val="top"/>
          </w:tcPr>
          <w:p w14:paraId="0AD16C8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63DB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DC395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8D134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8AD6E6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BE5843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7016C1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010F7B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F808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396C0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5F5B5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A2829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3E88B7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0B41F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DF52CB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2DD0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FA9E4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C9AF8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7D188E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F625B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565B4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716E5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63CB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C54797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F6A89E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24F0F0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C12983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295446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D869B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C407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0A71D8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7583C71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C2257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1E46F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24CBC7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79082D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521A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5A94F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0CF02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85BF21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E5883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870E53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212127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3D56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1CBF11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BAB78E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657C1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96FF3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26D66A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E0113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3A7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69208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126171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42C2C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811A36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6CE2D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5B4934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030A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362A1A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628BE8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F753C0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9D28C4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4EAA3B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9606BF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A259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3A5B10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B90449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EA352D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B08518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EA42E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BAEEDC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77EF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7A6E5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890EBE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16DC0F3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BFF6E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5206FE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5F0F7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32C2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BDA14D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3C11C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08BD4F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9F96E1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5641C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AA2792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6839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0689C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273782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restart"/>
            <w:tcBorders>
              <w:top w:val="nil"/>
              <w:left w:val="nil"/>
              <w:bottom w:val="single" w:color="000000" w:sz="8" w:space="0"/>
              <w:right w:val="single" w:color="000000" w:sz="8" w:space="0"/>
            </w:tcBorders>
            <w:vAlign w:val="center"/>
          </w:tcPr>
          <w:p w14:paraId="1BD966A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一次风空预器及烟风道</w:t>
            </w:r>
          </w:p>
        </w:tc>
        <w:tc>
          <w:tcPr>
            <w:tcW w:w="2470" w:type="dxa"/>
            <w:vMerge w:val="restart"/>
            <w:tcBorders>
              <w:top w:val="nil"/>
              <w:left w:val="nil"/>
              <w:bottom w:val="single" w:color="000000" w:sz="8" w:space="0"/>
              <w:right w:val="single" w:color="000000" w:sz="8" w:space="0"/>
            </w:tcBorders>
            <w:vAlign w:val="center"/>
          </w:tcPr>
          <w:p w14:paraId="2A26CD6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一次风进口滤网检查清洗，并更换损坏的滤网。</w:t>
            </w:r>
          </w:p>
          <w:p w14:paraId="6DA19E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炉排风室入口风道检查清理。</w:t>
            </w:r>
          </w:p>
          <w:p w14:paraId="652BD2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一次风空预器检查清理，试压合格，泄漏的修复。</w:t>
            </w:r>
          </w:p>
          <w:p w14:paraId="78741F5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各风、烟管道漏消缺处理。</w:t>
            </w:r>
          </w:p>
          <w:p w14:paraId="7F9F0C8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5. 膨胀节检查与消缺。</w:t>
            </w:r>
          </w:p>
        </w:tc>
        <w:tc>
          <w:tcPr>
            <w:tcW w:w="3339" w:type="dxa"/>
            <w:vMerge w:val="restart"/>
            <w:tcBorders>
              <w:top w:val="nil"/>
              <w:left w:val="nil"/>
              <w:bottom w:val="single" w:color="000000" w:sz="8" w:space="0"/>
              <w:right w:val="single" w:color="000000" w:sz="8" w:space="0"/>
            </w:tcBorders>
            <w:vAlign w:val="center"/>
          </w:tcPr>
          <w:p w14:paraId="17D5BA4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滤网干净完整，安装牢固。</w:t>
            </w:r>
          </w:p>
          <w:p w14:paraId="20FE6E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试压无泄漏现象。</w:t>
            </w:r>
          </w:p>
          <w:p w14:paraId="0D4EA36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烟风道杂物清理干净无杂物。</w:t>
            </w:r>
          </w:p>
          <w:p w14:paraId="6086C1D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4. 膨胀节无泄漏，固定牢固。</w:t>
            </w:r>
          </w:p>
        </w:tc>
        <w:tc>
          <w:tcPr>
            <w:tcW w:w="456" w:type="dxa"/>
            <w:vMerge w:val="restart"/>
            <w:tcBorders>
              <w:top w:val="nil"/>
              <w:left w:val="nil"/>
              <w:bottom w:val="single" w:color="000000" w:sz="8" w:space="0"/>
              <w:right w:val="single" w:color="000000" w:sz="8" w:space="0"/>
            </w:tcBorders>
            <w:vAlign w:val="top"/>
          </w:tcPr>
          <w:p w14:paraId="61311B3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985C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F0DF8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899825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F8EFF6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3EE805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E37C55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05FA72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01F2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9E7BB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4F9523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2FC7C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97465D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0C6D58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DE438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2016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48542B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1CA827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BCA4C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787997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E2D05B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38E44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970E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4"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C85604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19A89D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E9B157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C5A06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87CEB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3AE381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0490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0B8FEEC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三</w:t>
            </w:r>
          </w:p>
        </w:tc>
        <w:tc>
          <w:tcPr>
            <w:tcW w:w="514" w:type="dxa"/>
            <w:vMerge w:val="restart"/>
            <w:tcBorders>
              <w:top w:val="nil"/>
              <w:left w:val="nil"/>
              <w:bottom w:val="single" w:color="000000" w:sz="8" w:space="0"/>
              <w:right w:val="single" w:color="000000" w:sz="8" w:space="0"/>
            </w:tcBorders>
            <w:vAlign w:val="center"/>
          </w:tcPr>
          <w:p w14:paraId="5661CC1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转动设备</w:t>
            </w:r>
          </w:p>
        </w:tc>
        <w:tc>
          <w:tcPr>
            <w:tcW w:w="1342" w:type="dxa"/>
            <w:vMerge w:val="restart"/>
            <w:tcBorders>
              <w:top w:val="nil"/>
              <w:left w:val="nil"/>
              <w:bottom w:val="single" w:color="000000" w:sz="8" w:space="0"/>
              <w:right w:val="single" w:color="000000" w:sz="8" w:space="0"/>
            </w:tcBorders>
            <w:vAlign w:val="center"/>
          </w:tcPr>
          <w:p w14:paraId="5B5B87D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反应塔</w:t>
            </w:r>
          </w:p>
        </w:tc>
        <w:tc>
          <w:tcPr>
            <w:tcW w:w="2470" w:type="dxa"/>
            <w:vMerge w:val="restart"/>
            <w:tcBorders>
              <w:top w:val="nil"/>
              <w:left w:val="nil"/>
              <w:bottom w:val="single" w:color="000000" w:sz="8" w:space="0"/>
              <w:right w:val="single" w:color="000000" w:sz="8" w:space="0"/>
            </w:tcBorders>
            <w:vAlign w:val="center"/>
          </w:tcPr>
          <w:p w14:paraId="42F4B47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破碎机维护消缺。</w:t>
            </w:r>
          </w:p>
          <w:p w14:paraId="52302BE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星型卸灰阀维护消缺。</w:t>
            </w:r>
          </w:p>
          <w:p w14:paraId="2640628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3. 反应塔下埋刮板输送机维护消缺。</w:t>
            </w:r>
          </w:p>
        </w:tc>
        <w:tc>
          <w:tcPr>
            <w:tcW w:w="3339" w:type="dxa"/>
            <w:vMerge w:val="restart"/>
            <w:tcBorders>
              <w:top w:val="nil"/>
              <w:left w:val="nil"/>
              <w:bottom w:val="single" w:color="000000" w:sz="8" w:space="0"/>
              <w:right w:val="single" w:color="000000" w:sz="8" w:space="0"/>
            </w:tcBorders>
            <w:vAlign w:val="center"/>
          </w:tcPr>
          <w:p w14:paraId="42BF1A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破碎机整体检查合格，更换润滑油，并加润滑脂。</w:t>
            </w:r>
          </w:p>
          <w:p w14:paraId="77BB3B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星型卸灰阀本体清理，无积灰、杂物，整体检查合格，更换润滑油，并加润滑脂。</w:t>
            </w:r>
          </w:p>
          <w:p w14:paraId="602DEE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刮板机换油，油位满足要求。</w:t>
            </w:r>
          </w:p>
          <w:p w14:paraId="28EC8B4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刮板机链条松紧度符合要求。</w:t>
            </w:r>
          </w:p>
          <w:p w14:paraId="4CCE286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刮板机及双侧气动翻板阀加润滑脂。</w:t>
            </w:r>
          </w:p>
          <w:p w14:paraId="0129DFF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 刮板机及双侧气动翻板阀密封严密，无泄漏。</w:t>
            </w:r>
          </w:p>
          <w:p w14:paraId="07C3D1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7. 刮板机链条与地板磨损小于3mm。                                                       </w:t>
            </w:r>
          </w:p>
          <w:p w14:paraId="03551A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8. 反应塔整体清理，无积灰与杂物。                                                      </w:t>
            </w:r>
          </w:p>
          <w:p w14:paraId="017403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9. 保温与油漆恢复。</w:t>
            </w:r>
          </w:p>
        </w:tc>
        <w:tc>
          <w:tcPr>
            <w:tcW w:w="456" w:type="dxa"/>
            <w:vMerge w:val="restart"/>
            <w:tcBorders>
              <w:top w:val="nil"/>
              <w:left w:val="nil"/>
              <w:bottom w:val="single" w:color="000000" w:sz="8" w:space="0"/>
              <w:right w:val="single" w:color="000000" w:sz="8" w:space="0"/>
            </w:tcBorders>
            <w:vAlign w:val="top"/>
          </w:tcPr>
          <w:p w14:paraId="1EC2DD7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1F91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A86896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C0784F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F6F65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7AFD4A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1D21B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762D3F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54F0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7BDB37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6DD258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576ED3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0E1EF5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7A3C50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67E787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6E5DF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A31B1A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96AAB1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898E1E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710FC3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43EDB1C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51BE54B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A55F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5734AA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2B2302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1A99F2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8280D3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52B42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3AE7D3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7D9A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85442A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36AC2B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3286643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88F662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56E384E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1175A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216D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4D7D7F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1D8A68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151A30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59AA86E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62CDC9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FB0A9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DF14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52D326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34912ED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7AA9DCA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E6E05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18AD2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28FCB02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3254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8BFC73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6943BF1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B421A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464ACFB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012CB0A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3E89F5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B2E8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46D8639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四</w:t>
            </w:r>
          </w:p>
        </w:tc>
        <w:tc>
          <w:tcPr>
            <w:tcW w:w="514" w:type="dxa"/>
            <w:vMerge w:val="restart"/>
            <w:tcBorders>
              <w:top w:val="nil"/>
              <w:left w:val="nil"/>
              <w:bottom w:val="single" w:color="000000" w:sz="8" w:space="0"/>
              <w:right w:val="single" w:color="000000" w:sz="8" w:space="0"/>
            </w:tcBorders>
            <w:vAlign w:val="center"/>
          </w:tcPr>
          <w:p w14:paraId="21193C4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烟风系统</w:t>
            </w:r>
          </w:p>
        </w:tc>
        <w:tc>
          <w:tcPr>
            <w:tcW w:w="1342" w:type="dxa"/>
            <w:vMerge w:val="restart"/>
            <w:tcBorders>
              <w:top w:val="nil"/>
              <w:left w:val="nil"/>
              <w:bottom w:val="single" w:color="000000" w:sz="8" w:space="0"/>
              <w:right w:val="single" w:color="000000" w:sz="8" w:space="0"/>
            </w:tcBorders>
            <w:vAlign w:val="center"/>
          </w:tcPr>
          <w:p w14:paraId="2F311B0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布袋除尘器</w:t>
            </w:r>
          </w:p>
        </w:tc>
        <w:tc>
          <w:tcPr>
            <w:tcW w:w="2470" w:type="dxa"/>
            <w:vMerge w:val="restart"/>
            <w:tcBorders>
              <w:top w:val="nil"/>
              <w:left w:val="nil"/>
              <w:bottom w:val="single" w:color="000000" w:sz="8" w:space="0"/>
              <w:right w:val="single" w:color="000000" w:sz="8" w:space="0"/>
            </w:tcBorders>
            <w:vAlign w:val="center"/>
          </w:tcPr>
          <w:p w14:paraId="54F4576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检查滤袋和骨架的磨损、腐蚀情况。</w:t>
            </w:r>
          </w:p>
          <w:p w14:paraId="333788E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检查箱体、清洁室花板、喷吹管、盖板烟道腐蚀情况。</w:t>
            </w:r>
          </w:p>
          <w:p w14:paraId="4895FE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喷吹管补焊及螺栓紧固（如需要）。</w:t>
            </w:r>
          </w:p>
          <w:p w14:paraId="72E8950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布袋间距调整、更换布袋或笼骨。</w:t>
            </w:r>
          </w:p>
          <w:p w14:paraId="0A74EDB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除尘器查漏（包括布袋查漏、箱体查漏）及处理。</w:t>
            </w:r>
          </w:p>
          <w:p w14:paraId="5B41B96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布袋除尘器出口密封室防腐刷涂料（采购人提供涂料）。</w:t>
            </w:r>
          </w:p>
        </w:tc>
        <w:tc>
          <w:tcPr>
            <w:tcW w:w="3339" w:type="dxa"/>
            <w:vMerge w:val="restart"/>
            <w:tcBorders>
              <w:top w:val="nil"/>
              <w:left w:val="nil"/>
              <w:bottom w:val="single" w:color="000000" w:sz="8" w:space="0"/>
              <w:right w:val="single" w:color="000000" w:sz="8" w:space="0"/>
            </w:tcBorders>
            <w:vAlign w:val="center"/>
          </w:tcPr>
          <w:p w14:paraId="2DF0A67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 布袋及笼骨与花板密封严密，自然垂直，布袋底部不与其他布袋或箱体相碰、摩擦；荧光粉查漏试验合格。</w:t>
            </w:r>
          </w:p>
          <w:p w14:paraId="261AC5A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 喷吹管、箱体等补焊部位焊口平滑，无焊渣焊瘤。</w:t>
            </w:r>
          </w:p>
          <w:p w14:paraId="7C58FA0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 喷吹管固定符合要求，不得松动或被振动移位，喷吹口正对布袋口。</w:t>
            </w:r>
          </w:p>
          <w:p w14:paraId="4981E11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 脉冲阀膜片自然展开平铺，无泄漏；提升阀密封严密，无泄漏。</w:t>
            </w:r>
          </w:p>
          <w:p w14:paraId="0897BA1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 星型卸灰阀运转平稳，振动、温度、电流符合要求，无异响。</w:t>
            </w:r>
          </w:p>
          <w:p w14:paraId="5F00B4A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 刮板机密封严密，运转平稳，振动、温度、电流符合要求。</w:t>
            </w:r>
          </w:p>
        </w:tc>
        <w:tc>
          <w:tcPr>
            <w:tcW w:w="456" w:type="dxa"/>
            <w:vMerge w:val="restart"/>
            <w:tcBorders>
              <w:top w:val="nil"/>
              <w:left w:val="nil"/>
              <w:bottom w:val="single" w:color="000000" w:sz="8" w:space="0"/>
              <w:right w:val="single" w:color="000000" w:sz="8" w:space="0"/>
            </w:tcBorders>
            <w:vAlign w:val="top"/>
          </w:tcPr>
          <w:p w14:paraId="2D6F8C6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7903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46C7A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1054EAC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F7F6E4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C0F5A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452939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10C3748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4FF42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55279E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CA0AA7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06A4FC7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2B6936E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4B4851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78F0B93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2EB3A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09C6FB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0563FC9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4102B0A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6DA6A45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36266BD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6F3526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07900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F443DF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541740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294E4EA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073FBA8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29A2F1C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38108D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3A568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E9270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514" w:type="dxa"/>
            <w:vMerge w:val="continue"/>
            <w:tcBorders>
              <w:top w:val="nil"/>
              <w:left w:val="nil"/>
              <w:bottom w:val="single" w:color="000000" w:sz="8" w:space="0"/>
              <w:right w:val="single" w:color="000000" w:sz="8" w:space="0"/>
            </w:tcBorders>
            <w:vAlign w:val="center"/>
          </w:tcPr>
          <w:p w14:paraId="482782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1342" w:type="dxa"/>
            <w:vMerge w:val="continue"/>
            <w:tcBorders>
              <w:top w:val="nil"/>
              <w:left w:val="nil"/>
              <w:bottom w:val="single" w:color="000000" w:sz="8" w:space="0"/>
              <w:right w:val="single" w:color="000000" w:sz="8" w:space="0"/>
            </w:tcBorders>
            <w:vAlign w:val="center"/>
          </w:tcPr>
          <w:p w14:paraId="653EC1D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2470" w:type="dxa"/>
            <w:vMerge w:val="continue"/>
            <w:tcBorders>
              <w:top w:val="nil"/>
              <w:left w:val="nil"/>
              <w:bottom w:val="single" w:color="000000" w:sz="8" w:space="0"/>
              <w:right w:val="single" w:color="000000" w:sz="8" w:space="0"/>
            </w:tcBorders>
            <w:vAlign w:val="center"/>
          </w:tcPr>
          <w:p w14:paraId="3748E0E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3339" w:type="dxa"/>
            <w:vMerge w:val="continue"/>
            <w:tcBorders>
              <w:top w:val="nil"/>
              <w:left w:val="nil"/>
              <w:bottom w:val="single" w:color="000000" w:sz="8" w:space="0"/>
              <w:right w:val="single" w:color="000000" w:sz="8" w:space="0"/>
            </w:tcBorders>
            <w:vAlign w:val="center"/>
          </w:tcPr>
          <w:p w14:paraId="16F55A8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c>
          <w:tcPr>
            <w:tcW w:w="456" w:type="dxa"/>
            <w:vMerge w:val="continue"/>
            <w:tcBorders>
              <w:top w:val="nil"/>
              <w:left w:val="nil"/>
              <w:bottom w:val="single" w:color="000000" w:sz="8" w:space="0"/>
              <w:right w:val="single" w:color="000000" w:sz="8" w:space="0"/>
            </w:tcBorders>
            <w:vAlign w:val="top"/>
          </w:tcPr>
          <w:p w14:paraId="4378029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r w14:paraId="12DC9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 w:hRule="atLeast"/>
          <w:jc w:val="center"/>
        </w:trPr>
        <w:tc>
          <w:tcPr>
            <w:tcW w:w="455" w:type="dxa"/>
            <w:tcBorders>
              <w:top w:val="nil"/>
              <w:left w:val="single" w:color="000000" w:sz="8" w:space="0"/>
              <w:bottom w:val="single" w:color="000000" w:sz="8" w:space="0"/>
              <w:right w:val="single" w:color="000000" w:sz="8" w:space="0"/>
            </w:tcBorders>
            <w:vAlign w:val="center"/>
          </w:tcPr>
          <w:p w14:paraId="3277F66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五</w:t>
            </w:r>
          </w:p>
        </w:tc>
        <w:tc>
          <w:tcPr>
            <w:tcW w:w="514" w:type="dxa"/>
            <w:tcBorders>
              <w:top w:val="nil"/>
              <w:left w:val="nil"/>
              <w:bottom w:val="single" w:color="000000" w:sz="8" w:space="0"/>
              <w:right w:val="single" w:color="000000" w:sz="8" w:space="0"/>
            </w:tcBorders>
            <w:vAlign w:val="center"/>
          </w:tcPr>
          <w:p w14:paraId="6E5BD3C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设备清扫</w:t>
            </w:r>
          </w:p>
        </w:tc>
        <w:tc>
          <w:tcPr>
            <w:tcW w:w="1342" w:type="dxa"/>
            <w:tcBorders>
              <w:top w:val="nil"/>
              <w:left w:val="nil"/>
              <w:bottom w:val="single" w:color="000000" w:sz="8" w:space="0"/>
              <w:right w:val="single" w:color="000000" w:sz="8" w:space="0"/>
            </w:tcBorders>
            <w:vAlign w:val="center"/>
          </w:tcPr>
          <w:p w14:paraId="65080F6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卫生清扫</w:t>
            </w:r>
          </w:p>
        </w:tc>
        <w:tc>
          <w:tcPr>
            <w:tcW w:w="2470" w:type="dxa"/>
            <w:tcBorders>
              <w:top w:val="nil"/>
              <w:left w:val="nil"/>
              <w:bottom w:val="single" w:color="000000" w:sz="8" w:space="0"/>
              <w:right w:val="single" w:color="000000" w:sz="8" w:space="0"/>
            </w:tcBorders>
            <w:vAlign w:val="center"/>
          </w:tcPr>
          <w:p w14:paraId="4F6388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施工后清理并清扫余热锅炉、焚烧炉本体、尾气设备、管道、平台积灰与杂物。</w:t>
            </w:r>
          </w:p>
        </w:tc>
        <w:tc>
          <w:tcPr>
            <w:tcW w:w="3339" w:type="dxa"/>
            <w:tcBorders>
              <w:top w:val="nil"/>
              <w:left w:val="nil"/>
              <w:bottom w:val="single" w:color="000000" w:sz="8" w:space="0"/>
              <w:right w:val="single" w:color="000000" w:sz="8" w:space="0"/>
            </w:tcBorders>
            <w:vAlign w:val="center"/>
          </w:tcPr>
          <w:p w14:paraId="51FD2DD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无杂物，无积灰。</w:t>
            </w:r>
          </w:p>
        </w:tc>
        <w:tc>
          <w:tcPr>
            <w:tcW w:w="456" w:type="dxa"/>
            <w:tcBorders>
              <w:top w:val="nil"/>
              <w:left w:val="nil"/>
              <w:bottom w:val="single" w:color="000000" w:sz="8" w:space="0"/>
              <w:right w:val="single" w:color="000000" w:sz="8" w:space="0"/>
            </w:tcBorders>
            <w:vAlign w:val="center"/>
          </w:tcPr>
          <w:p w14:paraId="559C75C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kern w:val="2"/>
                <w:sz w:val="21"/>
                <w:szCs w:val="21"/>
                <w:highlight w:val="none"/>
              </w:rPr>
            </w:pPr>
          </w:p>
        </w:tc>
      </w:tr>
    </w:tbl>
    <w:p w14:paraId="4EEA126A">
      <w:pPr>
        <w:pStyle w:val="10"/>
        <w:rPr>
          <w:rFonts w:hint="eastAsia" w:ascii="宋体" w:hAnsi="宋体" w:eastAsia="宋体" w:cs="宋体"/>
          <w:color w:val="auto"/>
          <w:highlight w:val="none"/>
        </w:rPr>
      </w:pPr>
    </w:p>
    <w:p w14:paraId="6098BD4B">
      <w:pPr>
        <w:bidi w:val="0"/>
        <w:rPr>
          <w:rFonts w:hint="eastAsia" w:ascii="宋体" w:hAnsi="宋体" w:eastAsia="宋体" w:cs="宋体"/>
          <w:color w:val="auto"/>
          <w:highlight w:val="none"/>
        </w:rPr>
      </w:pPr>
      <w:bookmarkStart w:id="269" w:name="_Toc23212"/>
      <w:bookmarkStart w:id="270" w:name="_Toc131690855"/>
      <w:r>
        <w:rPr>
          <w:rFonts w:hint="eastAsia" w:ascii="宋体" w:hAnsi="宋体" w:eastAsia="宋体" w:cs="宋体"/>
          <w:color w:val="auto"/>
          <w:highlight w:val="none"/>
        </w:rPr>
        <w:br w:type="page"/>
      </w:r>
    </w:p>
    <w:p w14:paraId="641DFA0C">
      <w:pPr>
        <w:bidi w:val="0"/>
        <w:rPr>
          <w:rFonts w:hint="eastAsia" w:ascii="宋体" w:hAnsi="宋体" w:eastAsia="宋体" w:cs="宋体"/>
          <w:color w:val="auto"/>
          <w:highlight w:val="none"/>
        </w:rPr>
      </w:pPr>
      <w:r>
        <w:rPr>
          <w:rFonts w:hint="eastAsia" w:ascii="宋体" w:hAnsi="宋体" w:eastAsia="宋体" w:cs="宋体"/>
          <w:color w:val="auto"/>
          <w:highlight w:val="none"/>
        </w:rPr>
        <w:t>（2）特殊项目</w:t>
      </w:r>
      <w:bookmarkEnd w:id="269"/>
      <w:bookmarkEnd w:id="270"/>
    </w:p>
    <w:tbl>
      <w:tblPr>
        <w:tblStyle w:val="31"/>
        <w:tblW w:w="89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5"/>
        <w:gridCol w:w="514"/>
        <w:gridCol w:w="1342"/>
        <w:gridCol w:w="2470"/>
        <w:gridCol w:w="3339"/>
        <w:gridCol w:w="456"/>
      </w:tblGrid>
      <w:tr w14:paraId="4C1A1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455" w:type="dxa"/>
            <w:tcBorders>
              <w:top w:val="single" w:color="000000" w:sz="8" w:space="0"/>
              <w:left w:val="single" w:color="000000" w:sz="8" w:space="0"/>
              <w:bottom w:val="single" w:color="000000" w:sz="8" w:space="0"/>
              <w:right w:val="single" w:color="000000" w:sz="8" w:space="0"/>
            </w:tcBorders>
            <w:vAlign w:val="center"/>
          </w:tcPr>
          <w:p w14:paraId="32180A4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序号</w:t>
            </w:r>
          </w:p>
        </w:tc>
        <w:tc>
          <w:tcPr>
            <w:tcW w:w="514" w:type="dxa"/>
            <w:tcBorders>
              <w:top w:val="single" w:color="000000" w:sz="8" w:space="0"/>
              <w:left w:val="nil"/>
              <w:bottom w:val="single" w:color="000000" w:sz="8" w:space="0"/>
              <w:right w:val="single" w:color="000000" w:sz="8" w:space="0"/>
            </w:tcBorders>
            <w:vAlign w:val="center"/>
          </w:tcPr>
          <w:p w14:paraId="2B9B0712">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系统名称</w:t>
            </w:r>
          </w:p>
        </w:tc>
        <w:tc>
          <w:tcPr>
            <w:tcW w:w="1342" w:type="dxa"/>
            <w:tcBorders>
              <w:top w:val="single" w:color="000000" w:sz="8" w:space="0"/>
              <w:left w:val="nil"/>
              <w:bottom w:val="single" w:color="000000" w:sz="8" w:space="0"/>
              <w:right w:val="single" w:color="000000" w:sz="8" w:space="0"/>
            </w:tcBorders>
            <w:vAlign w:val="center"/>
          </w:tcPr>
          <w:p w14:paraId="44CA0C9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设备名称</w:t>
            </w:r>
          </w:p>
        </w:tc>
        <w:tc>
          <w:tcPr>
            <w:tcW w:w="2470" w:type="dxa"/>
            <w:tcBorders>
              <w:top w:val="single" w:color="000000" w:sz="8" w:space="0"/>
              <w:left w:val="nil"/>
              <w:bottom w:val="single" w:color="000000" w:sz="8" w:space="0"/>
              <w:right w:val="single" w:color="000000" w:sz="8" w:space="0"/>
            </w:tcBorders>
            <w:vAlign w:val="center"/>
          </w:tcPr>
          <w:p w14:paraId="23860143">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特殊检修项目</w:t>
            </w:r>
          </w:p>
        </w:tc>
        <w:tc>
          <w:tcPr>
            <w:tcW w:w="3339" w:type="dxa"/>
            <w:tcBorders>
              <w:top w:val="single" w:color="000000" w:sz="8" w:space="0"/>
              <w:left w:val="nil"/>
              <w:bottom w:val="single" w:color="000000" w:sz="8" w:space="0"/>
              <w:right w:val="single" w:color="000000" w:sz="8" w:space="0"/>
            </w:tcBorders>
            <w:vAlign w:val="center"/>
          </w:tcPr>
          <w:p w14:paraId="4A97B954">
            <w:pPr>
              <w:widowControl/>
              <w:adjustRightInd/>
              <w:snapToGrid/>
              <w:spacing w:line="240" w:lineRule="auto"/>
              <w:ind w:firstLineChars="100"/>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技术要求</w:t>
            </w:r>
          </w:p>
        </w:tc>
        <w:tc>
          <w:tcPr>
            <w:tcW w:w="456" w:type="dxa"/>
            <w:tcBorders>
              <w:top w:val="single" w:color="000000" w:sz="8" w:space="0"/>
              <w:left w:val="nil"/>
              <w:bottom w:val="single" w:color="000000" w:sz="8" w:space="0"/>
              <w:right w:val="single" w:color="000000" w:sz="8" w:space="0"/>
            </w:tcBorders>
            <w:vAlign w:val="center"/>
          </w:tcPr>
          <w:p w14:paraId="1F276EA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检修周期</w:t>
            </w:r>
          </w:p>
        </w:tc>
      </w:tr>
      <w:tr w14:paraId="7FBF3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5A4DC862">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一</w:t>
            </w:r>
          </w:p>
        </w:tc>
        <w:tc>
          <w:tcPr>
            <w:tcW w:w="514" w:type="dxa"/>
            <w:vMerge w:val="restart"/>
            <w:tcBorders>
              <w:top w:val="nil"/>
              <w:left w:val="nil"/>
              <w:bottom w:val="single" w:color="000000" w:sz="8" w:space="0"/>
              <w:right w:val="single" w:color="000000" w:sz="8" w:space="0"/>
            </w:tcBorders>
            <w:vAlign w:val="center"/>
          </w:tcPr>
          <w:p w14:paraId="47F8910A">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余热锅炉定期检测</w:t>
            </w:r>
          </w:p>
        </w:tc>
        <w:tc>
          <w:tcPr>
            <w:tcW w:w="1342" w:type="dxa"/>
            <w:vMerge w:val="restart"/>
            <w:tcBorders>
              <w:top w:val="nil"/>
              <w:left w:val="nil"/>
              <w:bottom w:val="single" w:color="000000" w:sz="8" w:space="0"/>
              <w:right w:val="single" w:color="000000" w:sz="8" w:space="0"/>
            </w:tcBorders>
            <w:vAlign w:val="center"/>
          </w:tcPr>
          <w:p w14:paraId="23EE90C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协助内检工作</w:t>
            </w:r>
          </w:p>
        </w:tc>
        <w:tc>
          <w:tcPr>
            <w:tcW w:w="2470" w:type="dxa"/>
            <w:vMerge w:val="restart"/>
            <w:tcBorders>
              <w:top w:val="nil"/>
              <w:left w:val="nil"/>
              <w:bottom w:val="single" w:color="000000" w:sz="8" w:space="0"/>
              <w:right w:val="single" w:color="000000" w:sz="8" w:space="0"/>
            </w:tcBorders>
            <w:vAlign w:val="center"/>
          </w:tcPr>
          <w:p w14:paraId="3F9BE2B7">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检查和清理汽包内部的腐蚀和结垢。</w:t>
            </w:r>
          </w:p>
          <w:p w14:paraId="4D2B938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检查汽水分离器及附件的完整性、严密性和固定情况并修复处理。</w:t>
            </w:r>
          </w:p>
          <w:p w14:paraId="719267E0">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检查内部进水管、事故放水管、取样管、下降管、加药管、排污管等要畅通无阻。</w:t>
            </w:r>
          </w:p>
          <w:p w14:paraId="7928241C">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各水位计、压力表接口腐蚀，污垢，裂纹及焊口磨损情况。</w:t>
            </w:r>
          </w:p>
          <w:p w14:paraId="0DEA84BE">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锅筒、内置式汽水分离器；水冷壁；水冷壁上下集箱；省煤器；省煤器集箱；高温过热器；低温过热器；过热器集箱；集汽集箱；减温器；锅炉范围内管件；扩容器等按规定检查打磨。</w:t>
            </w:r>
          </w:p>
          <w:p w14:paraId="3D7B03C6">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 集箱检查孔封头割除检查清理。（根据内检要求完成）</w:t>
            </w:r>
          </w:p>
          <w:p w14:paraId="052C325E">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7. 不包括受热面（1、2、3烟道，水平烟道）清灰工作。</w:t>
            </w:r>
          </w:p>
          <w:p w14:paraId="2A2A29A5">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8. 不包括受热面打磨测厚记录。</w:t>
            </w:r>
          </w:p>
          <w:p w14:paraId="19EBA16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9. 拆除的保温设施和油漆按技术要求恢复。</w:t>
            </w:r>
          </w:p>
        </w:tc>
        <w:tc>
          <w:tcPr>
            <w:tcW w:w="3339" w:type="dxa"/>
            <w:vMerge w:val="restart"/>
            <w:tcBorders>
              <w:top w:val="nil"/>
              <w:left w:val="nil"/>
              <w:bottom w:val="single" w:color="000000" w:sz="8" w:space="0"/>
              <w:right w:val="single" w:color="000000" w:sz="8" w:space="0"/>
            </w:tcBorders>
            <w:vAlign w:val="center"/>
          </w:tcPr>
          <w:p w14:paraId="7939930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1. 人孔门螺丝应无裂缝、滑扣、拉毛、变形等缺陷。                                      </w:t>
            </w:r>
          </w:p>
          <w:p w14:paraId="7E7EA2F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汽包内部所有装置应无变形、无松脱、无水垢。</w:t>
            </w:r>
          </w:p>
          <w:p w14:paraId="1B17C825">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3. 人孔门结合面应平整光滑，径向刀痕深度超过0.3mm、宽度达0.7mm、长度为结合面的1/2时，应进行研磨；石棉垫应平整、尺寸要符合要求。                                         </w:t>
            </w:r>
          </w:p>
          <w:p w14:paraId="09432686">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锅炉水压试验和点火升压后，人孔门应严密不漏。</w:t>
            </w:r>
          </w:p>
          <w:p w14:paraId="0CDD51A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严禁遗留物件在汽包或掉入汽水管道内。</w:t>
            </w:r>
          </w:p>
          <w:p w14:paraId="0433C88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 根据电站锅炉内部检验部位、项目及方法的要求拆除保温及打磨。见附页1</w:t>
            </w:r>
          </w:p>
          <w:p w14:paraId="68AFD947">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7. 保温和油漆恢复按图纸要求完成。</w:t>
            </w:r>
          </w:p>
        </w:tc>
        <w:tc>
          <w:tcPr>
            <w:tcW w:w="456" w:type="dxa"/>
            <w:vMerge w:val="restart"/>
            <w:tcBorders>
              <w:top w:val="nil"/>
              <w:left w:val="nil"/>
              <w:bottom w:val="single" w:color="000000" w:sz="8" w:space="0"/>
              <w:right w:val="single" w:color="000000" w:sz="8" w:space="0"/>
            </w:tcBorders>
            <w:vAlign w:val="center"/>
          </w:tcPr>
          <w:p w14:paraId="563615E9">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2年一次</w:t>
            </w:r>
          </w:p>
        </w:tc>
      </w:tr>
      <w:tr w14:paraId="4EDE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F8E058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DF7BA0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08CFE5B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097CCF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4378FE4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659DCDA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71F4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F0A418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3624F66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2C55C3D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3D66331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95B2B7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42CBCA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A89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836BF5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4FA224D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04F9F6A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880FC2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6912EEB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4EBA476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1854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905787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2026417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2AF79D6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55CC320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686A285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65E166E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6011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949459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9946A6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4723523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C504E7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6D97D3FD">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1C7E12C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348D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9BD9E9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35BDDC6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2833153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3F8B2DD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16AC30E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49020F9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641DD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6A4291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8BC5CC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451D76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3442A13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0898A6D">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1066DC2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6B524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88EA1D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00766C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4A0234E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EC1AC4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697BB6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305EB54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4FFA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95D248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restart"/>
            <w:tcBorders>
              <w:top w:val="nil"/>
              <w:left w:val="nil"/>
              <w:bottom w:val="single" w:color="000000" w:sz="8" w:space="0"/>
              <w:right w:val="single" w:color="000000" w:sz="8" w:space="0"/>
            </w:tcBorders>
            <w:vAlign w:val="center"/>
          </w:tcPr>
          <w:p w14:paraId="0084CCF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restart"/>
            <w:tcBorders>
              <w:top w:val="nil"/>
              <w:left w:val="nil"/>
              <w:bottom w:val="single" w:color="000000" w:sz="8" w:space="0"/>
              <w:right w:val="single" w:color="000000" w:sz="8" w:space="0"/>
            </w:tcBorders>
            <w:vAlign w:val="center"/>
          </w:tcPr>
          <w:p w14:paraId="12677232">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吹灰器</w:t>
            </w:r>
          </w:p>
        </w:tc>
        <w:tc>
          <w:tcPr>
            <w:tcW w:w="2470" w:type="dxa"/>
            <w:vMerge w:val="restart"/>
            <w:tcBorders>
              <w:top w:val="nil"/>
              <w:left w:val="nil"/>
              <w:bottom w:val="single" w:color="000000" w:sz="8" w:space="0"/>
              <w:right w:val="single" w:color="000000" w:sz="8" w:space="0"/>
            </w:tcBorders>
            <w:vAlign w:val="center"/>
          </w:tcPr>
          <w:p w14:paraId="18E1BDB6">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1.喷吹管更换。</w:t>
            </w:r>
          </w:p>
          <w:p w14:paraId="530B134A">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2.吹灰器电机、密封风机电机更换。</w:t>
            </w:r>
          </w:p>
          <w:p w14:paraId="0802C117">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3.提升阀更换，吹灰外套管和内管更换。</w:t>
            </w:r>
          </w:p>
          <w:p w14:paraId="25D1E8A6">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4.吹灰器行走轮检修。</w:t>
            </w:r>
          </w:p>
          <w:p w14:paraId="3093BAFD">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5.母管电动截止阀内漏处理。</w:t>
            </w:r>
          </w:p>
        </w:tc>
        <w:tc>
          <w:tcPr>
            <w:tcW w:w="3339" w:type="dxa"/>
            <w:vMerge w:val="restart"/>
            <w:tcBorders>
              <w:top w:val="nil"/>
              <w:left w:val="nil"/>
              <w:bottom w:val="single" w:color="000000" w:sz="8" w:space="0"/>
              <w:right w:val="single" w:color="000000" w:sz="8" w:space="0"/>
            </w:tcBorders>
            <w:vAlign w:val="center"/>
          </w:tcPr>
          <w:p w14:paraId="618D3BE4">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更换后喷吹管倾斜度、水平度符合厂家要求。</w:t>
            </w:r>
          </w:p>
          <w:p w14:paraId="493E2894">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2. 吹灰时行走轮无卡涩。    </w:t>
            </w:r>
          </w:p>
          <w:p w14:paraId="46BFF299">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 吹灰管道无泄漏。</w:t>
            </w:r>
          </w:p>
        </w:tc>
        <w:tc>
          <w:tcPr>
            <w:tcW w:w="456" w:type="dxa"/>
            <w:vMerge w:val="restart"/>
            <w:tcBorders>
              <w:top w:val="nil"/>
              <w:left w:val="nil"/>
              <w:bottom w:val="single" w:color="000000" w:sz="8" w:space="0"/>
              <w:right w:val="single" w:color="000000" w:sz="8" w:space="0"/>
            </w:tcBorders>
            <w:vAlign w:val="center"/>
          </w:tcPr>
          <w:p w14:paraId="6B9288E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2A07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1251FF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3FD7747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121811CF">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01B425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66DB1EA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4538AE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DA59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2AEF4D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DFA6CF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BA4B17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ADB9BB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761B43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8C2292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195A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AFC67B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DF3648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0F8EBC1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4C3B7E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11737C7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4680429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D1A7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A476ED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3DBA86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7C36211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11EF22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08E44B4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F261BA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355F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AA2184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2AD3B2F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1EA01E9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A0AFC1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2BBF2C0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1DCB4B5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4AEC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3D072E22">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二</w:t>
            </w:r>
          </w:p>
        </w:tc>
        <w:tc>
          <w:tcPr>
            <w:tcW w:w="514" w:type="dxa"/>
            <w:vMerge w:val="restart"/>
            <w:tcBorders>
              <w:top w:val="nil"/>
              <w:left w:val="nil"/>
              <w:bottom w:val="single" w:color="000000" w:sz="8" w:space="0"/>
              <w:right w:val="single" w:color="000000" w:sz="8" w:space="0"/>
            </w:tcBorders>
            <w:vAlign w:val="center"/>
          </w:tcPr>
          <w:p w14:paraId="5D0B11F5">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焚</w:t>
            </w:r>
          </w:p>
          <w:p w14:paraId="6788D7D6">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烧炉</w:t>
            </w:r>
          </w:p>
        </w:tc>
        <w:tc>
          <w:tcPr>
            <w:tcW w:w="1342" w:type="dxa"/>
            <w:vMerge w:val="restart"/>
            <w:tcBorders>
              <w:top w:val="nil"/>
              <w:left w:val="nil"/>
              <w:bottom w:val="single" w:color="000000" w:sz="8" w:space="0"/>
              <w:right w:val="single" w:color="000000" w:sz="8" w:space="0"/>
            </w:tcBorders>
            <w:vAlign w:val="center"/>
          </w:tcPr>
          <w:p w14:paraId="54584441">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筑炉</w:t>
            </w:r>
          </w:p>
        </w:tc>
        <w:tc>
          <w:tcPr>
            <w:tcW w:w="2470" w:type="dxa"/>
            <w:vMerge w:val="restart"/>
            <w:tcBorders>
              <w:top w:val="nil"/>
              <w:left w:val="nil"/>
              <w:bottom w:val="single" w:color="000000" w:sz="8" w:space="0"/>
              <w:right w:val="single" w:color="000000" w:sz="8" w:space="0"/>
            </w:tcBorders>
            <w:vAlign w:val="center"/>
          </w:tcPr>
          <w:p w14:paraId="0A279F52">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 焚烧炉、余热锅炉浇筑料脱落修复。</w:t>
            </w:r>
          </w:p>
        </w:tc>
        <w:tc>
          <w:tcPr>
            <w:tcW w:w="3339" w:type="dxa"/>
            <w:vMerge w:val="restart"/>
            <w:tcBorders>
              <w:top w:val="nil"/>
              <w:left w:val="nil"/>
              <w:bottom w:val="single" w:color="000000" w:sz="8" w:space="0"/>
              <w:right w:val="single" w:color="000000" w:sz="8" w:space="0"/>
            </w:tcBorders>
            <w:vAlign w:val="center"/>
          </w:tcPr>
          <w:p w14:paraId="4BEAF840">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爪钉焊接牢固。</w:t>
            </w:r>
          </w:p>
          <w:p w14:paraId="5FF04E63">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 敷设可塑料牢固可靠，无脱落现场。</w:t>
            </w:r>
          </w:p>
        </w:tc>
        <w:tc>
          <w:tcPr>
            <w:tcW w:w="456" w:type="dxa"/>
            <w:vMerge w:val="restart"/>
            <w:tcBorders>
              <w:top w:val="nil"/>
              <w:left w:val="nil"/>
              <w:bottom w:val="single" w:color="000000" w:sz="8" w:space="0"/>
              <w:right w:val="single" w:color="000000" w:sz="8" w:space="0"/>
            </w:tcBorders>
            <w:vAlign w:val="center"/>
          </w:tcPr>
          <w:p w14:paraId="547750B9">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35F67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C8FA8F5">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26B8C556">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0879084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316F294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BD9D65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599E8B1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DDD3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E363C1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4C62D28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restart"/>
            <w:tcBorders>
              <w:top w:val="nil"/>
              <w:left w:val="nil"/>
              <w:bottom w:val="single" w:color="000000" w:sz="8" w:space="0"/>
              <w:right w:val="single" w:color="000000" w:sz="8" w:space="0"/>
            </w:tcBorders>
            <w:vAlign w:val="center"/>
          </w:tcPr>
          <w:p w14:paraId="396A6696">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除渣机</w:t>
            </w:r>
          </w:p>
        </w:tc>
        <w:tc>
          <w:tcPr>
            <w:tcW w:w="2470" w:type="dxa"/>
            <w:vMerge w:val="restart"/>
            <w:tcBorders>
              <w:top w:val="nil"/>
              <w:left w:val="nil"/>
              <w:bottom w:val="single" w:color="000000" w:sz="8" w:space="0"/>
              <w:right w:val="single" w:color="000000" w:sz="8" w:space="0"/>
            </w:tcBorders>
            <w:vAlign w:val="center"/>
          </w:tcPr>
          <w:p w14:paraId="2E4D49D1">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推头耐磨板。</w:t>
            </w:r>
          </w:p>
          <w:p w14:paraId="5A257211">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底部耐磨板。</w:t>
            </w:r>
          </w:p>
          <w:p w14:paraId="08D006E7">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 人孔门耐磨板更换。</w:t>
            </w:r>
          </w:p>
        </w:tc>
        <w:tc>
          <w:tcPr>
            <w:tcW w:w="3339" w:type="dxa"/>
            <w:vMerge w:val="restart"/>
            <w:tcBorders>
              <w:top w:val="nil"/>
              <w:left w:val="nil"/>
              <w:bottom w:val="single" w:color="000000" w:sz="8" w:space="0"/>
              <w:right w:val="single" w:color="000000" w:sz="8" w:space="0"/>
            </w:tcBorders>
            <w:vAlign w:val="center"/>
          </w:tcPr>
          <w:p w14:paraId="08CB0A77">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除渣机内清理干净整洁。</w:t>
            </w:r>
          </w:p>
          <w:p w14:paraId="0B3E0A70">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壳体安装护板前应涂刷干膜厚度不小于70um的沥青漆。</w:t>
            </w:r>
          </w:p>
          <w:p w14:paraId="2260CC85">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护板安装处的壳体打磨平整，以嵌入轴承座中心为基准，安装护板9（40mm耐磨底板），要求护板圆柱面母线与轴承座中心连接线平行，误差小于2mm。</w:t>
            </w:r>
          </w:p>
          <w:p w14:paraId="355C1A17">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检查推头体推板与护板9（40mm耐磨底板）接触后紧密间隙不得超过2mm。</w:t>
            </w:r>
          </w:p>
          <w:p w14:paraId="787DF1F0">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下部门盖修复：通过增加调整垫片，使得下部门盖护板与推头体间隙为2‐3mm。更换护板安装螺栓及螺栓密封垫，更换门盖密封硅橡胶条，保证除渣机的密封性。</w:t>
            </w:r>
          </w:p>
          <w:p w14:paraId="234FC89E">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 保证下部门盖开闭灵活。</w:t>
            </w:r>
          </w:p>
        </w:tc>
        <w:tc>
          <w:tcPr>
            <w:tcW w:w="456" w:type="dxa"/>
            <w:vMerge w:val="restart"/>
            <w:tcBorders>
              <w:top w:val="nil"/>
              <w:left w:val="nil"/>
              <w:bottom w:val="single" w:color="000000" w:sz="8" w:space="0"/>
              <w:right w:val="single" w:color="000000" w:sz="8" w:space="0"/>
            </w:tcBorders>
            <w:vAlign w:val="center"/>
          </w:tcPr>
          <w:p w14:paraId="749C8B2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2～3年一次</w:t>
            </w:r>
          </w:p>
        </w:tc>
      </w:tr>
      <w:tr w14:paraId="095C2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5E57A4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7F3CA7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077FAA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5A96C3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0B6B4FD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26C78BA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DF6B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7604FF5">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0E2ED66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43DD9E6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752F0A71">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73B182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4DF0DC2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2B07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AFFD877">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3E7D82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613F958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C2CD4D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08E4707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7AB08BE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636E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AB5B7E1">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3128116">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893331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561FE00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059A63B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4F892CE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17F3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974668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18D18B3">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0220FE3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E17F5AF">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BD81BC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15325B5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EA1B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F4EAF4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085BB2A5">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restart"/>
            <w:tcBorders>
              <w:top w:val="nil"/>
              <w:left w:val="nil"/>
              <w:bottom w:val="single" w:color="000000" w:sz="8" w:space="0"/>
              <w:right w:val="single" w:color="000000" w:sz="8" w:space="0"/>
            </w:tcBorders>
            <w:vAlign w:val="center"/>
          </w:tcPr>
          <w:p w14:paraId="77049269">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风室刮板机</w:t>
            </w:r>
          </w:p>
        </w:tc>
        <w:tc>
          <w:tcPr>
            <w:tcW w:w="2470" w:type="dxa"/>
            <w:vMerge w:val="restart"/>
            <w:tcBorders>
              <w:top w:val="nil"/>
              <w:left w:val="nil"/>
              <w:bottom w:val="single" w:color="000000" w:sz="8" w:space="0"/>
              <w:right w:val="single" w:color="000000" w:sz="8" w:space="0"/>
            </w:tcBorders>
            <w:vAlign w:val="center"/>
          </w:tcPr>
          <w:p w14:paraId="523719B3">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刮板链条全部更换。</w:t>
            </w:r>
          </w:p>
          <w:p w14:paraId="442FD79E">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刮板机耐磨条全部更换。</w:t>
            </w:r>
          </w:p>
          <w:p w14:paraId="0A7543BA">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刮板机本体密封条更换。</w:t>
            </w:r>
          </w:p>
          <w:p w14:paraId="111D8500">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刮板机头轮及轴承更换。</w:t>
            </w:r>
          </w:p>
          <w:p w14:paraId="3F3352E8">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刮板机尾轮及轴承更换。</w:t>
            </w:r>
          </w:p>
          <w:p w14:paraId="3D16A31B">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 减速机更换。</w:t>
            </w:r>
          </w:p>
        </w:tc>
        <w:tc>
          <w:tcPr>
            <w:tcW w:w="3339" w:type="dxa"/>
            <w:vMerge w:val="restart"/>
            <w:tcBorders>
              <w:top w:val="nil"/>
              <w:left w:val="nil"/>
              <w:bottom w:val="single" w:color="000000" w:sz="8" w:space="0"/>
              <w:right w:val="single" w:color="000000" w:sz="8" w:space="0"/>
            </w:tcBorders>
            <w:vAlign w:val="center"/>
          </w:tcPr>
          <w:p w14:paraId="5D80C501">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机头架、机尾架、过渡槽、过桥架无开焊。机架两侧板的对中板的垂直度允差不得大于2mm。机头、机尾架上安装传动装置的定位面、孔应符合技术文件的要求。</w:t>
            </w:r>
          </w:p>
          <w:p w14:paraId="61634F05">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机头架、机尾架与过渡槽接口处的上下错口量不得大于2mm，左右错口量不得大于3mm。</w:t>
            </w:r>
          </w:p>
          <w:p w14:paraId="06AE908B">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机头轴、机尾链轮轴应转动灵活，不得有卡碰现象。</w:t>
            </w:r>
          </w:p>
          <w:p w14:paraId="4645821C">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链条组装合格，运转中刮板无跑偏，松紧合适，链条正、反向运行无卡阻现象。</w:t>
            </w:r>
          </w:p>
          <w:p w14:paraId="5A98ABF1">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 刮板机密封严密不得有漏灰现象。</w:t>
            </w:r>
          </w:p>
        </w:tc>
        <w:tc>
          <w:tcPr>
            <w:tcW w:w="456" w:type="dxa"/>
            <w:vMerge w:val="restart"/>
            <w:tcBorders>
              <w:top w:val="nil"/>
              <w:left w:val="nil"/>
              <w:bottom w:val="single" w:color="000000" w:sz="8" w:space="0"/>
              <w:right w:val="single" w:color="000000" w:sz="8" w:space="0"/>
            </w:tcBorders>
            <w:vAlign w:val="center"/>
          </w:tcPr>
          <w:p w14:paraId="52BA828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2～3年一次</w:t>
            </w:r>
          </w:p>
        </w:tc>
      </w:tr>
      <w:tr w14:paraId="5A29F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B753A2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3B3572F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E9F48C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7B4DF5F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E15C6A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63CDBA9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6C46A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D99B21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53038E5">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EC58EB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78A6F50D">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3D08819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2A37AF4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68E00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240AF0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FF26B5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1950CE2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16A2111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1F08399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4CDD60A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47830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8CCEF1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1F13A0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1D252FE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FEC525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11E0C3C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74F7116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DAD5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82D8CF6">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261252D">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D75EDB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DDEBF2E">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3B19A7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1C3494B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182A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31754926">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三</w:t>
            </w:r>
          </w:p>
        </w:tc>
        <w:tc>
          <w:tcPr>
            <w:tcW w:w="514" w:type="dxa"/>
            <w:vMerge w:val="restart"/>
            <w:tcBorders>
              <w:top w:val="nil"/>
              <w:left w:val="nil"/>
              <w:bottom w:val="single" w:color="000000" w:sz="8" w:space="0"/>
              <w:right w:val="single" w:color="000000" w:sz="8" w:space="0"/>
            </w:tcBorders>
            <w:vAlign w:val="center"/>
          </w:tcPr>
          <w:p w14:paraId="42CF5A7C">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转动设备</w:t>
            </w:r>
          </w:p>
        </w:tc>
        <w:tc>
          <w:tcPr>
            <w:tcW w:w="1342" w:type="dxa"/>
            <w:vMerge w:val="restart"/>
            <w:tcBorders>
              <w:top w:val="nil"/>
              <w:left w:val="nil"/>
              <w:bottom w:val="single" w:color="000000" w:sz="8" w:space="0"/>
              <w:right w:val="single" w:color="000000" w:sz="8" w:space="0"/>
            </w:tcBorders>
            <w:vAlign w:val="center"/>
          </w:tcPr>
          <w:p w14:paraId="53D313CB">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风机</w:t>
            </w:r>
          </w:p>
        </w:tc>
        <w:tc>
          <w:tcPr>
            <w:tcW w:w="2470" w:type="dxa"/>
            <w:vMerge w:val="restart"/>
            <w:tcBorders>
              <w:top w:val="nil"/>
              <w:left w:val="nil"/>
              <w:bottom w:val="single" w:color="000000" w:sz="8" w:space="0"/>
              <w:right w:val="single" w:color="000000" w:sz="8" w:space="0"/>
            </w:tcBorders>
            <w:vAlign w:val="center"/>
          </w:tcPr>
          <w:p w14:paraId="4D0391B3">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引风机主轴承更换。</w:t>
            </w:r>
          </w:p>
          <w:p w14:paraId="132A1445">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一次风机主轴承更换。</w:t>
            </w:r>
          </w:p>
          <w:p w14:paraId="38FB0EF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二次风机主轴承更换。</w:t>
            </w:r>
          </w:p>
          <w:p w14:paraId="28D78A11">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4. 辅助、启动燃烧器风机主轴承更换。</w:t>
            </w:r>
          </w:p>
        </w:tc>
        <w:tc>
          <w:tcPr>
            <w:tcW w:w="3339" w:type="dxa"/>
            <w:vMerge w:val="restart"/>
            <w:tcBorders>
              <w:top w:val="nil"/>
              <w:left w:val="nil"/>
              <w:bottom w:val="single" w:color="000000" w:sz="8" w:space="0"/>
              <w:right w:val="single" w:color="000000" w:sz="8" w:space="0"/>
            </w:tcBorders>
            <w:vAlign w:val="center"/>
          </w:tcPr>
          <w:p w14:paraId="1466F1BA">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外观检查无脱皮、磨损、锈蚀、凹坑、裂纹和过热变色缺陷。</w:t>
            </w:r>
          </w:p>
          <w:p w14:paraId="20515B4C">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滑道与滚动体应光滑，保持架应完好无损。</w:t>
            </w:r>
          </w:p>
          <w:p w14:paraId="2656EA9A">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轴承内圈与轴的配合紧力为0.01mm～0.02mm。</w:t>
            </w:r>
          </w:p>
          <w:p w14:paraId="248BD63F">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轴承外圈与孔的配合为过渡配合。</w:t>
            </w:r>
          </w:p>
          <w:p w14:paraId="28614F2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轴承径向游隙小于0.05mm。</w:t>
            </w:r>
          </w:p>
          <w:p w14:paraId="759F556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 试运风机振幅在0.05mm以内，风压达到额定值。</w:t>
            </w:r>
          </w:p>
          <w:p w14:paraId="02B9BC62">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7. 符合厂家风机检修技术规范要求。</w:t>
            </w:r>
          </w:p>
        </w:tc>
        <w:tc>
          <w:tcPr>
            <w:tcW w:w="456" w:type="dxa"/>
            <w:vMerge w:val="restart"/>
            <w:tcBorders>
              <w:top w:val="nil"/>
              <w:left w:val="nil"/>
              <w:bottom w:val="single" w:color="000000" w:sz="8" w:space="0"/>
              <w:right w:val="single" w:color="000000" w:sz="8" w:space="0"/>
            </w:tcBorders>
            <w:vAlign w:val="center"/>
          </w:tcPr>
          <w:p w14:paraId="5086127C">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3～4年一次</w:t>
            </w:r>
          </w:p>
        </w:tc>
      </w:tr>
      <w:tr w14:paraId="74494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DF93D9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5776352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9C171C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3C4B15B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2DC7B9F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24A2E2D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C55D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208559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228EB4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7ABB770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6F103C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0D91973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AC7E3E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4138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252793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23D6967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404FF77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1BDDBE5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E4D659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1C01CD2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EFFB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16CFA2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5ABEB85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F5F902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16C701E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4D96D9D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1FBF05F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5A6F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012305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29C4B87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7234CEF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1CECC45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86DBDB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31CE95C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839F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9EE566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2991A1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1C77025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E99411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6F7DA18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5144DDF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BD65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4880CF48">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四</w:t>
            </w:r>
          </w:p>
        </w:tc>
        <w:tc>
          <w:tcPr>
            <w:tcW w:w="514" w:type="dxa"/>
            <w:vMerge w:val="restart"/>
            <w:tcBorders>
              <w:top w:val="nil"/>
              <w:left w:val="nil"/>
              <w:bottom w:val="single" w:color="000000" w:sz="8" w:space="0"/>
              <w:right w:val="single" w:color="000000" w:sz="8" w:space="0"/>
            </w:tcBorders>
            <w:vAlign w:val="center"/>
          </w:tcPr>
          <w:p w14:paraId="5D2520E8">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烟风系统</w:t>
            </w:r>
          </w:p>
        </w:tc>
        <w:tc>
          <w:tcPr>
            <w:tcW w:w="1342" w:type="dxa"/>
            <w:vMerge w:val="restart"/>
            <w:tcBorders>
              <w:top w:val="nil"/>
              <w:left w:val="nil"/>
              <w:bottom w:val="single" w:color="000000" w:sz="8" w:space="0"/>
              <w:right w:val="single" w:color="000000" w:sz="8" w:space="0"/>
            </w:tcBorders>
            <w:vAlign w:val="center"/>
          </w:tcPr>
          <w:p w14:paraId="5F33E45A">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空预器及烟风道</w:t>
            </w:r>
          </w:p>
        </w:tc>
        <w:tc>
          <w:tcPr>
            <w:tcW w:w="2470" w:type="dxa"/>
            <w:vMerge w:val="restart"/>
            <w:tcBorders>
              <w:top w:val="nil"/>
              <w:left w:val="nil"/>
              <w:bottom w:val="single" w:color="000000" w:sz="8" w:space="0"/>
              <w:right w:val="single" w:color="000000" w:sz="8" w:space="0"/>
            </w:tcBorders>
            <w:vAlign w:val="center"/>
          </w:tcPr>
          <w:p w14:paraId="77AA36B9">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一次风空预器检查清理，管组子更换。</w:t>
            </w:r>
          </w:p>
          <w:p w14:paraId="61778434">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2. 烟风道施工。</w:t>
            </w:r>
          </w:p>
        </w:tc>
        <w:tc>
          <w:tcPr>
            <w:tcW w:w="3339" w:type="dxa"/>
            <w:vMerge w:val="restart"/>
            <w:tcBorders>
              <w:top w:val="nil"/>
              <w:left w:val="nil"/>
              <w:bottom w:val="single" w:color="000000" w:sz="8" w:space="0"/>
              <w:right w:val="single" w:color="000000" w:sz="8" w:space="0"/>
            </w:tcBorders>
            <w:vAlign w:val="center"/>
          </w:tcPr>
          <w:p w14:paraId="49A2ACCC">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滤网干净完整。</w:t>
            </w:r>
          </w:p>
          <w:p w14:paraId="707D2474">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试压无泄漏现象。</w:t>
            </w:r>
          </w:p>
          <w:p w14:paraId="073D04E3">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烟风道杂物清理干净无杂物。</w:t>
            </w:r>
          </w:p>
          <w:p w14:paraId="7E13BC6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4. 膨胀节无泄漏，固定牢固。</w:t>
            </w:r>
          </w:p>
        </w:tc>
        <w:tc>
          <w:tcPr>
            <w:tcW w:w="456" w:type="dxa"/>
            <w:vMerge w:val="restart"/>
            <w:tcBorders>
              <w:top w:val="nil"/>
              <w:left w:val="nil"/>
              <w:bottom w:val="single" w:color="000000" w:sz="8" w:space="0"/>
              <w:right w:val="single" w:color="000000" w:sz="8" w:space="0"/>
            </w:tcBorders>
            <w:vAlign w:val="center"/>
          </w:tcPr>
          <w:p w14:paraId="10534A1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7F42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D618BF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54C076E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C9EE19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2DAD44A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A8DF5A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7D26F28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2121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37A156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4BF67EC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1F84B24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18AD40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3AC1238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43D3F76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0894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C33C20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4E34D3E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2D1FE2F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A17557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6844192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5A29332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5CD8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23B263B5">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五</w:t>
            </w:r>
          </w:p>
        </w:tc>
        <w:tc>
          <w:tcPr>
            <w:tcW w:w="514" w:type="dxa"/>
            <w:vMerge w:val="restart"/>
            <w:tcBorders>
              <w:top w:val="nil"/>
              <w:left w:val="nil"/>
              <w:bottom w:val="single" w:color="000000" w:sz="8" w:space="0"/>
              <w:right w:val="single" w:color="000000" w:sz="8" w:space="0"/>
            </w:tcBorders>
            <w:vAlign w:val="center"/>
          </w:tcPr>
          <w:p w14:paraId="35FDC3C8">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烟气净化系统</w:t>
            </w:r>
          </w:p>
        </w:tc>
        <w:tc>
          <w:tcPr>
            <w:tcW w:w="1342" w:type="dxa"/>
            <w:vMerge w:val="restart"/>
            <w:tcBorders>
              <w:top w:val="nil"/>
              <w:left w:val="nil"/>
              <w:bottom w:val="single" w:color="000000" w:sz="8" w:space="0"/>
              <w:right w:val="single" w:color="000000" w:sz="8" w:space="0"/>
            </w:tcBorders>
            <w:vAlign w:val="center"/>
          </w:tcPr>
          <w:p w14:paraId="6189BE2F">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反应塔</w:t>
            </w:r>
          </w:p>
        </w:tc>
        <w:tc>
          <w:tcPr>
            <w:tcW w:w="2470" w:type="dxa"/>
            <w:vMerge w:val="restart"/>
            <w:tcBorders>
              <w:top w:val="nil"/>
              <w:left w:val="nil"/>
              <w:bottom w:val="single" w:color="000000" w:sz="8" w:space="0"/>
              <w:right w:val="single" w:color="000000" w:sz="8" w:space="0"/>
            </w:tcBorders>
            <w:vAlign w:val="center"/>
          </w:tcPr>
          <w:p w14:paraId="28EACBB1">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反应塔下埋刮板输送机大修（1台）。</w:t>
            </w:r>
          </w:p>
          <w:p w14:paraId="7C80CF0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反应塔内部搭架。</w:t>
            </w:r>
          </w:p>
          <w:p w14:paraId="46B4E0D5">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3. 反应塔内部清灰。</w:t>
            </w:r>
          </w:p>
        </w:tc>
        <w:tc>
          <w:tcPr>
            <w:tcW w:w="3339" w:type="dxa"/>
            <w:vMerge w:val="restart"/>
            <w:tcBorders>
              <w:top w:val="nil"/>
              <w:left w:val="nil"/>
              <w:bottom w:val="single" w:color="000000" w:sz="8" w:space="0"/>
              <w:right w:val="single" w:color="000000" w:sz="8" w:space="0"/>
            </w:tcBorders>
            <w:vAlign w:val="center"/>
          </w:tcPr>
          <w:p w14:paraId="4A36E445">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星型卸灰阀本体清理，无积灰、杂物，整体检查合格，更换润滑油，并加润滑脂。</w:t>
            </w:r>
          </w:p>
          <w:p w14:paraId="10AC3F18">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刮板机换油，油位满足要求。</w:t>
            </w:r>
          </w:p>
          <w:p w14:paraId="75150E8B">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刮板机链条松紧度符合要求。</w:t>
            </w:r>
          </w:p>
          <w:p w14:paraId="47B3E6CF">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刮板机及双侧气动翻板阀加润滑脂。</w:t>
            </w:r>
          </w:p>
          <w:p w14:paraId="4FDD2350">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刮板机及双侧气动翻板阀密封严密，无泄漏。</w:t>
            </w:r>
          </w:p>
          <w:p w14:paraId="55D72FEB">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6. 刮板机链条与地板磨损小于3mm。                                                       </w:t>
            </w:r>
          </w:p>
          <w:p w14:paraId="4309808D">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 xml:space="preserve">7. 反应塔整体清理，无积灰与杂物。                                                      </w:t>
            </w:r>
          </w:p>
          <w:p w14:paraId="563A9BEB">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8. 保温与油漆恢复。</w:t>
            </w:r>
          </w:p>
          <w:p w14:paraId="30AE7D59">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9. 飞灰清理完放至指定位置，工完料尽厂清。</w:t>
            </w:r>
          </w:p>
        </w:tc>
        <w:tc>
          <w:tcPr>
            <w:tcW w:w="456" w:type="dxa"/>
            <w:vMerge w:val="restart"/>
            <w:tcBorders>
              <w:top w:val="nil"/>
              <w:left w:val="nil"/>
              <w:bottom w:val="single" w:color="000000" w:sz="8" w:space="0"/>
              <w:right w:val="single" w:color="000000" w:sz="8" w:space="0"/>
            </w:tcBorders>
            <w:vAlign w:val="center"/>
          </w:tcPr>
          <w:p w14:paraId="767A980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6B371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6F0A1A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2F077DD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32A4EF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22D6B4B6">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F432B8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716F5D5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6B6A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7F4DF1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56E7285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70EEE74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5EB797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FF9AEA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22FDB02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12D72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2204F0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363713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0E0D503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70EB994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2E70708B">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64A5F9A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D166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BD1362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05D0DDA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AB0A99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7B6B43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EBAFE56">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3E6EB8C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23AEC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FBB7BF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1667B4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71A168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60D88D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1C878ECB">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5F74D52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35E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5AFC78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DEC5FC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75AD528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516DBAA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32B9BF81">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30FAE87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474E7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5CBEED9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A17DF9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2EF9FC5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3F79660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0017DB9B">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5F7739C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E9D9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72A19C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2473FB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F94673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24FB862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F5F0CB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33E78BE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C3A4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0DF1B2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79E82A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restart"/>
            <w:tcBorders>
              <w:top w:val="nil"/>
              <w:left w:val="nil"/>
              <w:bottom w:val="single" w:color="000000" w:sz="8" w:space="0"/>
              <w:right w:val="single" w:color="000000" w:sz="8" w:space="0"/>
            </w:tcBorders>
            <w:vAlign w:val="center"/>
          </w:tcPr>
          <w:p w14:paraId="65BB5584">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布袋除尘器</w:t>
            </w:r>
          </w:p>
        </w:tc>
        <w:tc>
          <w:tcPr>
            <w:tcW w:w="2470" w:type="dxa"/>
            <w:vMerge w:val="restart"/>
            <w:tcBorders>
              <w:top w:val="nil"/>
              <w:left w:val="nil"/>
              <w:bottom w:val="single" w:color="000000" w:sz="8" w:space="0"/>
              <w:right w:val="single" w:color="000000" w:sz="8" w:space="0"/>
            </w:tcBorders>
            <w:vAlign w:val="center"/>
          </w:tcPr>
          <w:p w14:paraId="53E7370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检查滤袋和骨架的磨损、腐蚀情况。</w:t>
            </w:r>
          </w:p>
          <w:p w14:paraId="156D91FD">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检查箱体、清洁室花板、喷吹管、盖板烟道腐蚀情况。</w:t>
            </w:r>
          </w:p>
          <w:p w14:paraId="19105B01">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喷吹管补焊及螺栓紧固（如需要）。</w:t>
            </w:r>
          </w:p>
          <w:p w14:paraId="4B330F9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布袋间距调整、更换布袋或笼骨。</w:t>
            </w:r>
          </w:p>
          <w:p w14:paraId="0330D6A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除尘器查漏（包括布袋查漏、箱体查漏）及处理。</w:t>
            </w:r>
          </w:p>
          <w:p w14:paraId="0C3176F4">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6. 布袋除尘器出口密封室防腐刷涂料（采购人提供涂料）。</w:t>
            </w:r>
          </w:p>
          <w:p w14:paraId="55DECC38">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7.除尘器下埋刮板输送机维护消缺。</w:t>
            </w:r>
          </w:p>
          <w:p w14:paraId="7A528C90">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8.出入口挡板门检查消缺、活动性试验（开关灵活、指示正确）</w:t>
            </w:r>
          </w:p>
          <w:p w14:paraId="4CA81FC8">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9、除尘器下埋刮板输送机（2台）</w:t>
            </w:r>
          </w:p>
          <w:p w14:paraId="1D663C52">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10、星型卸灰阀更换及维护（12台）。</w:t>
            </w:r>
          </w:p>
        </w:tc>
        <w:tc>
          <w:tcPr>
            <w:tcW w:w="3339" w:type="dxa"/>
            <w:vMerge w:val="restart"/>
            <w:tcBorders>
              <w:top w:val="nil"/>
              <w:left w:val="nil"/>
              <w:bottom w:val="single" w:color="000000" w:sz="8" w:space="0"/>
              <w:right w:val="single" w:color="000000" w:sz="8" w:space="0"/>
            </w:tcBorders>
            <w:vAlign w:val="center"/>
          </w:tcPr>
          <w:p w14:paraId="7397504C">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布袋及笼骨与花板密封严密，自然垂直，布袋底部不与其它布袋或箱体相碰、摩擦；荧光粉查漏试验合格。</w:t>
            </w:r>
          </w:p>
          <w:p w14:paraId="10169139">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喷吹管、箱体等补焊部位焊口平滑，无焊渣焊瘤。</w:t>
            </w:r>
          </w:p>
          <w:p w14:paraId="5F0E263F">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喷吹管固定符合要求，不得松动或被振动移位，喷吹口正对布袋口。</w:t>
            </w:r>
          </w:p>
          <w:p w14:paraId="787FA573">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脉冲阀膜片自然展开平铺，无泄漏；提升阀密封严密，无泄漏。</w:t>
            </w:r>
          </w:p>
          <w:p w14:paraId="23FC2E3C">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星型卸灰阀运转平稳，振动、温度、电流符合要求，无异响。</w:t>
            </w:r>
          </w:p>
          <w:p w14:paraId="2DC245DC">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 刮板机密封严密，运转平稳，振动、温度、电流符合要求。</w:t>
            </w:r>
          </w:p>
        </w:tc>
        <w:tc>
          <w:tcPr>
            <w:tcW w:w="456" w:type="dxa"/>
            <w:vMerge w:val="restart"/>
            <w:tcBorders>
              <w:top w:val="nil"/>
              <w:left w:val="nil"/>
              <w:bottom w:val="single" w:color="000000" w:sz="8" w:space="0"/>
              <w:right w:val="single" w:color="000000" w:sz="8" w:space="0"/>
            </w:tcBorders>
            <w:vAlign w:val="center"/>
          </w:tcPr>
          <w:p w14:paraId="25A7C9CE">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46574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31B648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3DAB29D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28647DC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0CC36A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3796D93">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66831F2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6F63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51A681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193027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6691DE1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584105B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1A800E6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DB1BEE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32EF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C45A059">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57C4370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tcBorders>
              <w:top w:val="nil"/>
              <w:left w:val="nil"/>
              <w:bottom w:val="single" w:color="000000" w:sz="8" w:space="0"/>
              <w:right w:val="single" w:color="000000" w:sz="8" w:space="0"/>
            </w:tcBorders>
            <w:vAlign w:val="center"/>
          </w:tcPr>
          <w:p w14:paraId="255DE5E9">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GGH1</w:t>
            </w:r>
          </w:p>
        </w:tc>
        <w:tc>
          <w:tcPr>
            <w:tcW w:w="2470" w:type="dxa"/>
            <w:tcBorders>
              <w:top w:val="nil"/>
              <w:left w:val="nil"/>
              <w:bottom w:val="single" w:color="000000" w:sz="8" w:space="0"/>
              <w:right w:val="single" w:color="000000" w:sz="8" w:space="0"/>
            </w:tcBorders>
            <w:vAlign w:val="center"/>
          </w:tcPr>
          <w:p w14:paraId="36CA377A">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1.查漏、破损管修复，内部清洗</w:t>
            </w:r>
          </w:p>
        </w:tc>
        <w:tc>
          <w:tcPr>
            <w:tcW w:w="3339" w:type="dxa"/>
            <w:tcBorders>
              <w:top w:val="nil"/>
              <w:left w:val="nil"/>
              <w:bottom w:val="single" w:color="000000" w:sz="8" w:space="0"/>
              <w:right w:val="single" w:color="000000" w:sz="8" w:space="0"/>
            </w:tcBorders>
            <w:vAlign w:val="center"/>
          </w:tcPr>
          <w:p w14:paraId="7FD2661E">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衬胶完好、设备严密无泄漏、流通面内部干净无结垢。</w:t>
            </w:r>
          </w:p>
        </w:tc>
        <w:tc>
          <w:tcPr>
            <w:tcW w:w="456" w:type="dxa"/>
            <w:tcBorders>
              <w:top w:val="nil"/>
              <w:left w:val="nil"/>
              <w:bottom w:val="single" w:color="000000" w:sz="8" w:space="0"/>
              <w:right w:val="single" w:color="000000" w:sz="8" w:space="0"/>
            </w:tcBorders>
            <w:vAlign w:val="center"/>
          </w:tcPr>
          <w:p w14:paraId="62928956">
            <w:pPr>
              <w:keepNext w:val="0"/>
              <w:keepLines w:val="0"/>
              <w:widowControl/>
              <w:suppressLineNumbers w:val="0"/>
              <w:adjustRightInd/>
              <w:snapToGrid/>
              <w:spacing w:before="0" w:beforeAutospacing="0" w:after="0" w:afterAutospacing="0" w:line="240" w:lineRule="auto"/>
              <w:ind w:left="0" w:leftChars="0" w:right="0" w:rightChars="0"/>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2669D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647CF0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2E355ED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tcBorders>
              <w:top w:val="nil"/>
              <w:left w:val="nil"/>
              <w:bottom w:val="single" w:color="000000" w:sz="8" w:space="0"/>
              <w:right w:val="single" w:color="000000" w:sz="8" w:space="0"/>
            </w:tcBorders>
            <w:vAlign w:val="center"/>
          </w:tcPr>
          <w:p w14:paraId="4B857DAF">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GGH2</w:t>
            </w:r>
          </w:p>
        </w:tc>
        <w:tc>
          <w:tcPr>
            <w:tcW w:w="2470" w:type="dxa"/>
            <w:tcBorders>
              <w:top w:val="nil"/>
              <w:left w:val="nil"/>
              <w:bottom w:val="single" w:color="000000" w:sz="8" w:space="0"/>
              <w:right w:val="single" w:color="000000" w:sz="8" w:space="0"/>
            </w:tcBorders>
            <w:vAlign w:val="center"/>
          </w:tcPr>
          <w:p w14:paraId="6B91ADE9">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查漏、破损管修复，内部清扫、做防腐。</w:t>
            </w:r>
          </w:p>
        </w:tc>
        <w:tc>
          <w:tcPr>
            <w:tcW w:w="3339" w:type="dxa"/>
            <w:tcBorders>
              <w:top w:val="nil"/>
              <w:left w:val="nil"/>
              <w:bottom w:val="single" w:color="000000" w:sz="8" w:space="0"/>
              <w:right w:val="single" w:color="000000" w:sz="8" w:space="0"/>
            </w:tcBorders>
            <w:vAlign w:val="center"/>
          </w:tcPr>
          <w:p w14:paraId="15F27676">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破损处修复，鳞片检查、出口刷高温油漆</w:t>
            </w:r>
          </w:p>
        </w:tc>
        <w:tc>
          <w:tcPr>
            <w:tcW w:w="456" w:type="dxa"/>
            <w:tcBorders>
              <w:top w:val="nil"/>
              <w:left w:val="nil"/>
              <w:bottom w:val="single" w:color="000000" w:sz="8" w:space="0"/>
              <w:right w:val="single" w:color="000000" w:sz="8" w:space="0"/>
            </w:tcBorders>
            <w:vAlign w:val="center"/>
          </w:tcPr>
          <w:p w14:paraId="50AC81ED">
            <w:pPr>
              <w:keepNext w:val="0"/>
              <w:keepLines w:val="0"/>
              <w:widowControl/>
              <w:suppressLineNumbers w:val="0"/>
              <w:adjustRightInd/>
              <w:snapToGrid/>
              <w:spacing w:before="0" w:beforeAutospacing="0" w:after="0" w:afterAutospacing="0" w:line="240" w:lineRule="auto"/>
              <w:ind w:left="0" w:leftChars="0" w:right="0" w:rightChars="0"/>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6C790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1229D57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36CA438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tcBorders>
              <w:top w:val="nil"/>
              <w:left w:val="nil"/>
              <w:bottom w:val="single" w:color="000000" w:sz="8" w:space="0"/>
              <w:right w:val="single" w:color="000000" w:sz="8" w:space="0"/>
            </w:tcBorders>
            <w:vAlign w:val="center"/>
          </w:tcPr>
          <w:p w14:paraId="57697CB7">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湿法塔</w:t>
            </w:r>
          </w:p>
        </w:tc>
        <w:tc>
          <w:tcPr>
            <w:tcW w:w="2470" w:type="dxa"/>
            <w:tcBorders>
              <w:top w:val="nil"/>
              <w:left w:val="nil"/>
              <w:bottom w:val="single" w:color="000000" w:sz="8" w:space="0"/>
              <w:right w:val="single" w:color="000000" w:sz="8" w:space="0"/>
            </w:tcBorders>
            <w:vAlign w:val="center"/>
          </w:tcPr>
          <w:p w14:paraId="381DE043">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snapToGrid/>
                <w:color w:val="auto"/>
                <w:kern w:val="0"/>
                <w:sz w:val="21"/>
                <w:szCs w:val="21"/>
                <w:highlight w:val="none"/>
                <w:u w:val="none"/>
                <w:lang w:val="en-US" w:eastAsia="zh-CN" w:bidi="ar"/>
              </w:rPr>
              <w:t>1.内部清扫、检查鳞片及衬胶管道2.冷却液循环泵检查维护（2台）3.减湿液循环泵检查维护4.板式换热器清洗5.烧碱输送管路清洗6.进出口及旁路挡板门检查维护、消缺</w:t>
            </w:r>
          </w:p>
        </w:tc>
        <w:tc>
          <w:tcPr>
            <w:tcW w:w="3339" w:type="dxa"/>
            <w:tcBorders>
              <w:top w:val="nil"/>
              <w:left w:val="nil"/>
              <w:bottom w:val="single" w:color="000000" w:sz="8" w:space="0"/>
              <w:right w:val="single" w:color="000000" w:sz="8" w:space="0"/>
            </w:tcBorders>
            <w:vAlign w:val="center"/>
          </w:tcPr>
          <w:p w14:paraId="48EE0C10">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rPr>
            </w:pPr>
          </w:p>
        </w:tc>
        <w:tc>
          <w:tcPr>
            <w:tcW w:w="456" w:type="dxa"/>
            <w:tcBorders>
              <w:top w:val="nil"/>
              <w:left w:val="nil"/>
              <w:bottom w:val="single" w:color="000000" w:sz="8" w:space="0"/>
              <w:right w:val="single" w:color="000000" w:sz="8" w:space="0"/>
            </w:tcBorders>
            <w:vAlign w:val="center"/>
          </w:tcPr>
          <w:p w14:paraId="12592C0F">
            <w:pPr>
              <w:keepNext w:val="0"/>
              <w:keepLines w:val="0"/>
              <w:widowControl/>
              <w:suppressLineNumbers w:val="0"/>
              <w:adjustRightInd/>
              <w:snapToGrid/>
              <w:spacing w:before="0" w:beforeAutospacing="0" w:after="0" w:afterAutospacing="0" w:line="240" w:lineRule="auto"/>
              <w:ind w:left="0" w:leftChars="0" w:right="0" w:rightChars="0"/>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根据运行情况确定</w:t>
            </w:r>
          </w:p>
        </w:tc>
      </w:tr>
      <w:tr w14:paraId="0A70F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DC5B41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50A8292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tcBorders>
              <w:top w:val="nil"/>
              <w:left w:val="nil"/>
              <w:bottom w:val="single" w:color="000000" w:sz="8" w:space="0"/>
              <w:right w:val="single" w:color="000000" w:sz="8" w:space="0"/>
            </w:tcBorders>
            <w:vAlign w:val="center"/>
          </w:tcPr>
          <w:p w14:paraId="36BFA84F">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rPr>
            </w:pPr>
            <w:r>
              <w:rPr>
                <w:rFonts w:hint="eastAsia" w:ascii="宋体" w:hAnsi="宋体" w:eastAsia="宋体" w:cs="宋体"/>
                <w:snapToGrid/>
                <w:color w:val="auto"/>
                <w:kern w:val="0"/>
                <w:sz w:val="21"/>
                <w:szCs w:val="21"/>
                <w:highlight w:val="none"/>
                <w:u w:val="none"/>
                <w:lang w:val="en-US" w:eastAsia="zh-CN" w:bidi="ar"/>
              </w:rPr>
              <w:t>SCR反应器</w:t>
            </w:r>
          </w:p>
        </w:tc>
        <w:tc>
          <w:tcPr>
            <w:tcW w:w="2470" w:type="dxa"/>
            <w:tcBorders>
              <w:top w:val="nil"/>
              <w:left w:val="nil"/>
              <w:bottom w:val="single" w:color="000000" w:sz="8" w:space="0"/>
              <w:right w:val="single" w:color="000000" w:sz="8" w:space="0"/>
            </w:tcBorders>
            <w:vAlign w:val="center"/>
          </w:tcPr>
          <w:p w14:paraId="6C94ECDF">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rPr>
            </w:pPr>
            <w:r>
              <w:rPr>
                <w:rFonts w:hint="eastAsia" w:ascii="宋体" w:hAnsi="宋体" w:eastAsia="宋体" w:cs="宋体"/>
                <w:snapToGrid/>
                <w:color w:val="auto"/>
                <w:kern w:val="0"/>
                <w:sz w:val="21"/>
                <w:szCs w:val="21"/>
                <w:highlight w:val="none"/>
                <w:u w:val="none"/>
                <w:lang w:val="en-US" w:eastAsia="zh-CN" w:bidi="ar"/>
              </w:rPr>
              <w:t>1.催化剂表面积灰清理2.进出口及旁路挡板门检查维护、消缺</w:t>
            </w:r>
          </w:p>
        </w:tc>
        <w:tc>
          <w:tcPr>
            <w:tcW w:w="3339" w:type="dxa"/>
            <w:tcBorders>
              <w:top w:val="nil"/>
              <w:left w:val="nil"/>
              <w:bottom w:val="single" w:color="000000" w:sz="8" w:space="0"/>
              <w:right w:val="single" w:color="000000" w:sz="8" w:space="0"/>
            </w:tcBorders>
            <w:vAlign w:val="center"/>
          </w:tcPr>
          <w:p w14:paraId="2DC62460">
            <w:pPr>
              <w:keepNext w:val="0"/>
              <w:keepLines w:val="0"/>
              <w:widowControl/>
              <w:suppressLineNumbers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rPr>
            </w:pPr>
          </w:p>
        </w:tc>
        <w:tc>
          <w:tcPr>
            <w:tcW w:w="456" w:type="dxa"/>
            <w:tcBorders>
              <w:top w:val="nil"/>
              <w:left w:val="nil"/>
              <w:bottom w:val="single" w:color="000000" w:sz="8" w:space="0"/>
              <w:right w:val="single" w:color="000000" w:sz="8" w:space="0"/>
            </w:tcBorders>
            <w:vAlign w:val="center"/>
          </w:tcPr>
          <w:p w14:paraId="2971D1B5">
            <w:pPr>
              <w:keepNext w:val="0"/>
              <w:keepLines w:val="0"/>
              <w:widowControl/>
              <w:suppressLineNumbers w:val="0"/>
              <w:adjustRightInd/>
              <w:snapToGrid/>
              <w:spacing w:before="0" w:beforeAutospacing="0" w:after="0" w:afterAutospacing="0" w:line="240" w:lineRule="auto"/>
              <w:ind w:left="0" w:leftChars="0" w:right="0" w:rightChars="0"/>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2"/>
                <w:sz w:val="21"/>
                <w:szCs w:val="21"/>
                <w:highlight w:val="none"/>
                <w:u w:val="none"/>
              </w:rPr>
              <w:t>根据运行情况确定</w:t>
            </w:r>
          </w:p>
        </w:tc>
      </w:tr>
      <w:tr w14:paraId="7224F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6DAC5EEB">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六</w:t>
            </w:r>
          </w:p>
        </w:tc>
        <w:tc>
          <w:tcPr>
            <w:tcW w:w="514" w:type="dxa"/>
            <w:vMerge w:val="restart"/>
            <w:tcBorders>
              <w:top w:val="nil"/>
              <w:left w:val="nil"/>
              <w:bottom w:val="single" w:color="000000" w:sz="8" w:space="0"/>
              <w:right w:val="single" w:color="000000" w:sz="8" w:space="0"/>
            </w:tcBorders>
            <w:vAlign w:val="center"/>
          </w:tcPr>
          <w:p w14:paraId="388B9EE3">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搭架子</w:t>
            </w:r>
          </w:p>
        </w:tc>
        <w:tc>
          <w:tcPr>
            <w:tcW w:w="1342" w:type="dxa"/>
            <w:vMerge w:val="restart"/>
            <w:tcBorders>
              <w:top w:val="nil"/>
              <w:left w:val="nil"/>
              <w:bottom w:val="single" w:color="000000" w:sz="8" w:space="0"/>
              <w:right w:val="single" w:color="000000" w:sz="8" w:space="0"/>
            </w:tcBorders>
            <w:vAlign w:val="center"/>
          </w:tcPr>
          <w:p w14:paraId="550E33FD">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搭架子检修设备</w:t>
            </w:r>
          </w:p>
        </w:tc>
        <w:tc>
          <w:tcPr>
            <w:tcW w:w="2470" w:type="dxa"/>
            <w:vMerge w:val="restart"/>
            <w:tcBorders>
              <w:top w:val="nil"/>
              <w:left w:val="nil"/>
              <w:bottom w:val="single" w:color="000000" w:sz="8" w:space="0"/>
              <w:right w:val="single" w:color="000000" w:sz="8" w:space="0"/>
            </w:tcBorders>
            <w:vAlign w:val="center"/>
          </w:tcPr>
          <w:p w14:paraId="42C866CB">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第一通道搭钢管架至炉顶。</w:t>
            </w:r>
          </w:p>
          <w:p w14:paraId="01B93B64">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第二通道搭钢管架至炉顶。</w:t>
            </w:r>
          </w:p>
          <w:p w14:paraId="53F96870">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第三通道搭钢管架至炉顶。</w:t>
            </w:r>
          </w:p>
          <w:p w14:paraId="3DAFAD60">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4. 水平烟道搭钢管架至炉顶。</w:t>
            </w:r>
          </w:p>
        </w:tc>
        <w:tc>
          <w:tcPr>
            <w:tcW w:w="3339" w:type="dxa"/>
            <w:vMerge w:val="restart"/>
            <w:tcBorders>
              <w:top w:val="nil"/>
              <w:left w:val="nil"/>
              <w:bottom w:val="single" w:color="000000" w:sz="8" w:space="0"/>
              <w:right w:val="single" w:color="000000" w:sz="8" w:space="0"/>
            </w:tcBorders>
            <w:vAlign w:val="center"/>
          </w:tcPr>
          <w:p w14:paraId="748A7EB2">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卡扣采用金属卡扣牢固可靠，严禁用铁丝、塑料带捆绑代替。</w:t>
            </w:r>
          </w:p>
          <w:p w14:paraId="6F8C0967">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符合《电业安全工作规程》（热力和机械部分）的脚手架安装和使用要求。</w:t>
            </w:r>
          </w:p>
          <w:p w14:paraId="4C7A9BF5">
            <w:pPr>
              <w:pStyle w:val="10"/>
              <w:spacing w:line="240" w:lineRule="auto"/>
              <w:rPr>
                <w:rFonts w:hint="eastAsia"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SA"/>
              </w:rPr>
              <w:t>3、脚手架搭设满足筑炉、打焦及受热面测厚等作业需求，并视需要使部分区域具备承重平台功能。</w:t>
            </w:r>
          </w:p>
        </w:tc>
        <w:tc>
          <w:tcPr>
            <w:tcW w:w="456" w:type="dxa"/>
            <w:vMerge w:val="restart"/>
            <w:tcBorders>
              <w:top w:val="nil"/>
              <w:left w:val="nil"/>
              <w:bottom w:val="single" w:color="000000" w:sz="8" w:space="0"/>
              <w:right w:val="single" w:color="000000" w:sz="8" w:space="0"/>
            </w:tcBorders>
            <w:vAlign w:val="center"/>
          </w:tcPr>
          <w:p w14:paraId="3639CCC4">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07E6A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606AD8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BC0B50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2B3C0FB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43670DD">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3929C7B3">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253E415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0B45E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782F16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1BF88E0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7FA0C78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C32A032">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2D4B9B9C">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796AADC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49E92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E363E7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A4754CD">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70A924D7">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6DDFEC9">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5BC94203">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2CB138D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37C1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restart"/>
            <w:tcBorders>
              <w:top w:val="nil"/>
              <w:left w:val="single" w:color="000000" w:sz="8" w:space="0"/>
              <w:bottom w:val="single" w:color="000000" w:sz="8" w:space="0"/>
              <w:right w:val="single" w:color="000000" w:sz="8" w:space="0"/>
            </w:tcBorders>
            <w:vAlign w:val="center"/>
          </w:tcPr>
          <w:p w14:paraId="3A9D1E25">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七</w:t>
            </w:r>
          </w:p>
        </w:tc>
        <w:tc>
          <w:tcPr>
            <w:tcW w:w="514" w:type="dxa"/>
            <w:vMerge w:val="restart"/>
            <w:tcBorders>
              <w:top w:val="nil"/>
              <w:left w:val="nil"/>
              <w:bottom w:val="single" w:color="000000" w:sz="8" w:space="0"/>
              <w:right w:val="single" w:color="000000" w:sz="8" w:space="0"/>
            </w:tcBorders>
            <w:vAlign w:val="center"/>
          </w:tcPr>
          <w:p w14:paraId="7E4E942B">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炉膛、烟气净化系统设备清扫</w:t>
            </w:r>
          </w:p>
        </w:tc>
        <w:tc>
          <w:tcPr>
            <w:tcW w:w="1342" w:type="dxa"/>
            <w:vMerge w:val="restart"/>
            <w:tcBorders>
              <w:top w:val="nil"/>
              <w:left w:val="nil"/>
              <w:bottom w:val="single" w:color="000000" w:sz="8" w:space="0"/>
              <w:right w:val="single" w:color="000000" w:sz="8" w:space="0"/>
            </w:tcBorders>
            <w:vAlign w:val="center"/>
          </w:tcPr>
          <w:p w14:paraId="3B639FAE">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打焦</w:t>
            </w:r>
          </w:p>
        </w:tc>
        <w:tc>
          <w:tcPr>
            <w:tcW w:w="2470" w:type="dxa"/>
            <w:vMerge w:val="restart"/>
            <w:tcBorders>
              <w:top w:val="nil"/>
              <w:left w:val="nil"/>
              <w:bottom w:val="single" w:color="000000" w:sz="8" w:space="0"/>
              <w:right w:val="single" w:color="000000" w:sz="8" w:space="0"/>
            </w:tcBorders>
            <w:vAlign w:val="center"/>
          </w:tcPr>
          <w:p w14:paraId="59B6590A">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1.焚烧炉打焦。</w:t>
            </w:r>
          </w:p>
        </w:tc>
        <w:tc>
          <w:tcPr>
            <w:tcW w:w="3339" w:type="dxa"/>
            <w:vMerge w:val="restart"/>
            <w:tcBorders>
              <w:top w:val="nil"/>
              <w:left w:val="nil"/>
              <w:bottom w:val="single" w:color="000000" w:sz="8" w:space="0"/>
              <w:right w:val="single" w:color="000000" w:sz="8" w:space="0"/>
            </w:tcBorders>
            <w:vAlign w:val="center"/>
          </w:tcPr>
          <w:p w14:paraId="19C53029">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打焦过程不得损坏焚烧炉耐火浇筑料。</w:t>
            </w:r>
          </w:p>
          <w:p w14:paraId="358EEABA">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打焦质量严格按照锅炉打焦要求验收，烟道壁、观火孔、燃烧器等部位无明显焦块残留。</w:t>
            </w:r>
          </w:p>
          <w:p w14:paraId="09E73888">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炉排上应有防止大焦块砸落造成炉排片损坏的防护措施。</w:t>
            </w:r>
          </w:p>
          <w:p w14:paraId="18BA8C89">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材料进出作业现场应严格遵守现场作业要求，做好地面保护措施，施工材料堆放在指定区域，自行清理废弃材料。</w:t>
            </w:r>
          </w:p>
          <w:p w14:paraId="556BE832">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 焚烧炉前、后拱及左右两侧炉墙打焦后，剩余结焦厚度不得超过80mm。</w:t>
            </w:r>
          </w:p>
        </w:tc>
        <w:tc>
          <w:tcPr>
            <w:tcW w:w="456" w:type="dxa"/>
            <w:vMerge w:val="restart"/>
            <w:tcBorders>
              <w:top w:val="nil"/>
              <w:left w:val="nil"/>
              <w:bottom w:val="single" w:color="000000" w:sz="8" w:space="0"/>
              <w:right w:val="single" w:color="000000" w:sz="8" w:space="0"/>
            </w:tcBorders>
            <w:vAlign w:val="center"/>
          </w:tcPr>
          <w:p w14:paraId="02FC34EA">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51779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69EC94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0170EDB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4D3E6B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1893537">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7B43EC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B0C1B2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D216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85EADC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5A47AC0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CDA950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20D70285">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F57D63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813AFE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7B3AE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C099E6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320ADE6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3363E9B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A22621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6FBADA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041A12AC">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5B33D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7E5188B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2CA068F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064BE3D1">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714B33B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62560CC6">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2902A3F8">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r>
      <w:tr w14:paraId="6B884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3936092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4DD1766A">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restart"/>
            <w:tcBorders>
              <w:top w:val="nil"/>
              <w:left w:val="nil"/>
              <w:bottom w:val="single" w:color="000000" w:sz="8" w:space="0"/>
              <w:right w:val="single" w:color="000000" w:sz="8" w:space="0"/>
            </w:tcBorders>
            <w:vAlign w:val="center"/>
          </w:tcPr>
          <w:p w14:paraId="213014E4">
            <w:pPr>
              <w:widowControl/>
              <w:adjustRightInd/>
              <w:snapToGrid/>
              <w:spacing w:line="240" w:lineRule="auto"/>
              <w:jc w:val="center"/>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清灰</w:t>
            </w:r>
          </w:p>
        </w:tc>
        <w:tc>
          <w:tcPr>
            <w:tcW w:w="2470" w:type="dxa"/>
            <w:vMerge w:val="restart"/>
            <w:tcBorders>
              <w:top w:val="nil"/>
              <w:left w:val="nil"/>
              <w:bottom w:val="single" w:color="000000" w:sz="8" w:space="0"/>
              <w:right w:val="single" w:color="000000" w:sz="8" w:space="0"/>
            </w:tcBorders>
            <w:vAlign w:val="center"/>
          </w:tcPr>
          <w:p w14:paraId="01F93936">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受热面（1、2、3烟道，水平烟道）。</w:t>
            </w:r>
          </w:p>
          <w:p w14:paraId="578E5E54">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布袋除尘器灰斗清灰。</w:t>
            </w:r>
          </w:p>
          <w:p w14:paraId="384F3B1C">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2、3烟道灰斗清灰，水平烟道灰斗清灰。</w:t>
            </w:r>
          </w:p>
          <w:p w14:paraId="0F3A57F5">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布袋除尘器主路进口及灰斗清灰。</w:t>
            </w:r>
          </w:p>
          <w:p w14:paraId="694380E2">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5. 反应塔锥斗、破碎机清灰。</w:t>
            </w:r>
          </w:p>
        </w:tc>
        <w:tc>
          <w:tcPr>
            <w:tcW w:w="3339" w:type="dxa"/>
            <w:vMerge w:val="restart"/>
            <w:tcBorders>
              <w:top w:val="nil"/>
              <w:left w:val="nil"/>
              <w:bottom w:val="single" w:color="000000" w:sz="8" w:space="0"/>
              <w:right w:val="single" w:color="000000" w:sz="8" w:space="0"/>
            </w:tcBorders>
            <w:vAlign w:val="center"/>
          </w:tcPr>
          <w:p w14:paraId="38F6493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清理管子外壁、焦渣和积灰使管子表面光洁，无积灰积渣。</w:t>
            </w:r>
          </w:p>
          <w:p w14:paraId="743F76C4">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2. 烟道清灰时严禁使用锐器，铁器强力敲击、撞击受热面管壁。</w:t>
            </w:r>
          </w:p>
          <w:p w14:paraId="4326AC79">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3. 锅炉Ⅱ烟道内及三片屏式蒸发受热面表面无积灰，并能看见管子90%以上外壁，视为清灰合格。</w:t>
            </w:r>
          </w:p>
          <w:p w14:paraId="685B85D2">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4. 主路进口、灰斗、清洁室、箱体内部清扫干净。</w:t>
            </w:r>
          </w:p>
          <w:p w14:paraId="51C5778C">
            <w:pPr>
              <w:widowControl/>
              <w:adjustRightInd/>
              <w:snapToGrid/>
              <w:spacing w:line="240" w:lineRule="auto"/>
              <w:jc w:val="both"/>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5. 锥斗、破碎机本体清理干净，无积灰及杂物。</w:t>
            </w:r>
          </w:p>
          <w:p w14:paraId="44A69930">
            <w:pPr>
              <w:widowControl/>
              <w:adjustRightInd/>
              <w:snapToGrid/>
              <w:spacing w:line="240" w:lineRule="auto"/>
              <w:jc w:val="both"/>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6. 放灰到指定位置，现场清理干净。</w:t>
            </w:r>
          </w:p>
        </w:tc>
        <w:tc>
          <w:tcPr>
            <w:tcW w:w="456" w:type="dxa"/>
            <w:vMerge w:val="restart"/>
            <w:tcBorders>
              <w:top w:val="nil"/>
              <w:left w:val="nil"/>
              <w:bottom w:val="single" w:color="000000" w:sz="8" w:space="0"/>
              <w:right w:val="single" w:color="000000" w:sz="8" w:space="0"/>
            </w:tcBorders>
            <w:vAlign w:val="center"/>
          </w:tcPr>
          <w:p w14:paraId="2F2F0609">
            <w:pPr>
              <w:widowControl/>
              <w:adjustRightInd/>
              <w:snapToGrid/>
              <w:spacing w:line="240" w:lineRule="auto"/>
              <w:jc w:val="left"/>
              <w:textAlignment w:val="center"/>
              <w:rPr>
                <w:rFonts w:hint="eastAsia" w:ascii="宋体" w:hAnsi="宋体" w:eastAsia="宋体" w:cs="宋体"/>
                <w:i w:val="0"/>
                <w:iCs w:val="0"/>
                <w:color w:val="auto"/>
                <w:kern w:val="2"/>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rPr>
              <w:t>根据停炉情况确定</w:t>
            </w:r>
          </w:p>
        </w:tc>
      </w:tr>
      <w:tr w14:paraId="42DEE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EACDCF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6D94008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7C65F3F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D54EB4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BE3BCC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59F86441">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4BAC2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0856098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46209F2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2BF985E9">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59F34893">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002C0740">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696C0B4D">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14452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6484E50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F28AE94">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509A8578">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4B2DFF32">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376C375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4B323BF7">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3743A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2515A71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C41D6C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47C916C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06743A5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34584A1F">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387A6718">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11B80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000000" w:sz="8" w:space="0"/>
              <w:right w:val="single" w:color="000000" w:sz="8" w:space="0"/>
            </w:tcBorders>
            <w:vAlign w:val="center"/>
          </w:tcPr>
          <w:p w14:paraId="476E4356">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000000" w:sz="8" w:space="0"/>
              <w:right w:val="single" w:color="000000" w:sz="8" w:space="0"/>
            </w:tcBorders>
            <w:vAlign w:val="center"/>
          </w:tcPr>
          <w:p w14:paraId="76146F9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000000" w:sz="8" w:space="0"/>
              <w:right w:val="single" w:color="000000" w:sz="8" w:space="0"/>
            </w:tcBorders>
            <w:vAlign w:val="center"/>
          </w:tcPr>
          <w:p w14:paraId="03BDC555">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000000" w:sz="8" w:space="0"/>
              <w:right w:val="single" w:color="000000" w:sz="8" w:space="0"/>
            </w:tcBorders>
            <w:vAlign w:val="center"/>
          </w:tcPr>
          <w:p w14:paraId="6438250E">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000000" w:sz="8" w:space="0"/>
              <w:right w:val="single" w:color="000000" w:sz="8" w:space="0"/>
            </w:tcBorders>
            <w:vAlign w:val="center"/>
          </w:tcPr>
          <w:p w14:paraId="754BB521">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single" w:color="000000" w:sz="8" w:space="0"/>
              <w:right w:val="single" w:color="000000" w:sz="8" w:space="0"/>
            </w:tcBorders>
            <w:vAlign w:val="center"/>
          </w:tcPr>
          <w:p w14:paraId="5CB9C995">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2486F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vMerge w:val="continue"/>
            <w:tcBorders>
              <w:top w:val="nil"/>
              <w:left w:val="single" w:color="000000" w:sz="8" w:space="0"/>
              <w:bottom w:val="single" w:color="auto" w:sz="4" w:space="0"/>
              <w:right w:val="single" w:color="000000" w:sz="8" w:space="0"/>
            </w:tcBorders>
            <w:vAlign w:val="center"/>
          </w:tcPr>
          <w:p w14:paraId="504795CB">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514" w:type="dxa"/>
            <w:vMerge w:val="continue"/>
            <w:tcBorders>
              <w:top w:val="nil"/>
              <w:left w:val="nil"/>
              <w:bottom w:val="single" w:color="auto" w:sz="4" w:space="0"/>
              <w:right w:val="single" w:color="000000" w:sz="8" w:space="0"/>
            </w:tcBorders>
            <w:vAlign w:val="center"/>
          </w:tcPr>
          <w:p w14:paraId="6BD287D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1342" w:type="dxa"/>
            <w:vMerge w:val="continue"/>
            <w:tcBorders>
              <w:top w:val="nil"/>
              <w:left w:val="nil"/>
              <w:bottom w:val="single" w:color="auto" w:sz="4" w:space="0"/>
              <w:right w:val="single" w:color="000000" w:sz="8" w:space="0"/>
            </w:tcBorders>
            <w:vAlign w:val="center"/>
          </w:tcPr>
          <w:p w14:paraId="52D20270">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rPr>
            </w:pPr>
          </w:p>
        </w:tc>
        <w:tc>
          <w:tcPr>
            <w:tcW w:w="2470" w:type="dxa"/>
            <w:vMerge w:val="continue"/>
            <w:tcBorders>
              <w:top w:val="nil"/>
              <w:left w:val="nil"/>
              <w:bottom w:val="single" w:color="auto" w:sz="4" w:space="0"/>
              <w:right w:val="single" w:color="000000" w:sz="8" w:space="0"/>
            </w:tcBorders>
            <w:vAlign w:val="center"/>
          </w:tcPr>
          <w:p w14:paraId="634B2954">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3339" w:type="dxa"/>
            <w:vMerge w:val="continue"/>
            <w:tcBorders>
              <w:top w:val="nil"/>
              <w:left w:val="nil"/>
              <w:bottom w:val="single" w:color="auto" w:sz="4" w:space="0"/>
              <w:right w:val="single" w:color="000000" w:sz="8" w:space="0"/>
            </w:tcBorders>
            <w:vAlign w:val="center"/>
          </w:tcPr>
          <w:p w14:paraId="6974014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rPr>
            </w:pPr>
          </w:p>
        </w:tc>
        <w:tc>
          <w:tcPr>
            <w:tcW w:w="456" w:type="dxa"/>
            <w:vMerge w:val="continue"/>
            <w:tcBorders>
              <w:top w:val="nil"/>
              <w:left w:val="nil"/>
              <w:bottom w:val="nil"/>
              <w:right w:val="single" w:color="000000" w:sz="8" w:space="0"/>
            </w:tcBorders>
            <w:vAlign w:val="center"/>
          </w:tcPr>
          <w:p w14:paraId="4B7FB564">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18611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tcBorders>
              <w:top w:val="single" w:color="auto" w:sz="4" w:space="0"/>
              <w:left w:val="single" w:color="auto" w:sz="4" w:space="0"/>
              <w:bottom w:val="single" w:color="auto" w:sz="4" w:space="0"/>
              <w:right w:val="single" w:color="auto" w:sz="4" w:space="0"/>
            </w:tcBorders>
            <w:shd w:val="clear" w:color="auto" w:fill="auto"/>
            <w:vAlign w:val="center"/>
          </w:tcPr>
          <w:p w14:paraId="624193E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rPr>
              <w:t>八</w:t>
            </w:r>
          </w:p>
        </w:tc>
        <w:tc>
          <w:tcPr>
            <w:tcW w:w="514" w:type="dxa"/>
            <w:tcBorders>
              <w:top w:val="single" w:color="auto" w:sz="4" w:space="0"/>
              <w:left w:val="single" w:color="auto" w:sz="4" w:space="0"/>
              <w:bottom w:val="single" w:color="auto" w:sz="4" w:space="0"/>
              <w:right w:val="single" w:color="auto" w:sz="4" w:space="0"/>
            </w:tcBorders>
            <w:shd w:val="clear" w:color="auto" w:fill="auto"/>
            <w:vAlign w:val="center"/>
          </w:tcPr>
          <w:p w14:paraId="3427E3ED">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炉外脚手架搭设</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14:paraId="5AB73693">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炉外脚手架搭设</w:t>
            </w:r>
          </w:p>
        </w:tc>
        <w:tc>
          <w:tcPr>
            <w:tcW w:w="2470" w:type="dxa"/>
            <w:tcBorders>
              <w:top w:val="single" w:color="auto" w:sz="4" w:space="0"/>
              <w:left w:val="single" w:color="auto" w:sz="4" w:space="0"/>
              <w:bottom w:val="single" w:color="auto" w:sz="4" w:space="0"/>
              <w:right w:val="single" w:color="auto" w:sz="4" w:space="0"/>
            </w:tcBorders>
            <w:shd w:val="clear" w:color="auto" w:fill="auto"/>
            <w:vAlign w:val="center"/>
          </w:tcPr>
          <w:p w14:paraId="3D9D1CCA">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炉外脚手架搭设</w:t>
            </w:r>
          </w:p>
        </w:tc>
        <w:tc>
          <w:tcPr>
            <w:tcW w:w="3339" w:type="dxa"/>
            <w:tcBorders>
              <w:top w:val="single" w:color="auto" w:sz="4" w:space="0"/>
              <w:left w:val="single" w:color="auto" w:sz="4" w:space="0"/>
              <w:bottom w:val="single" w:color="auto" w:sz="4" w:space="0"/>
              <w:right w:val="single" w:color="auto" w:sz="4" w:space="0"/>
            </w:tcBorders>
            <w:shd w:val="clear" w:color="auto" w:fill="auto"/>
            <w:vAlign w:val="center"/>
          </w:tcPr>
          <w:p w14:paraId="3E9D77FE">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 脚手架扣件需采用牢固可靠的金属扣件，严禁用铁丝、塑料带捆绑代替。</w:t>
            </w:r>
          </w:p>
          <w:p w14:paraId="1B4DD6ED">
            <w:pPr>
              <w:widowControl w:val="0"/>
              <w:adjustRightInd/>
              <w:snapToGrid/>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rPr>
              <w:t>2. 符合《电业安全工作规程》（热力和机械部分）的脚手架安装和使用要求。</w:t>
            </w:r>
          </w:p>
        </w:tc>
        <w:tc>
          <w:tcPr>
            <w:tcW w:w="456" w:type="dxa"/>
            <w:tcBorders>
              <w:top w:val="nil"/>
              <w:left w:val="single" w:color="auto" w:sz="4" w:space="0"/>
              <w:bottom w:val="nil"/>
              <w:right w:val="single" w:color="000000" w:sz="8" w:space="0"/>
            </w:tcBorders>
            <w:vAlign w:val="center"/>
          </w:tcPr>
          <w:p w14:paraId="6B4E34F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rPr>
            </w:pPr>
          </w:p>
        </w:tc>
      </w:tr>
      <w:tr w14:paraId="3E7F2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5" w:type="dxa"/>
            <w:tcBorders>
              <w:top w:val="single" w:color="auto" w:sz="4" w:space="0"/>
              <w:left w:val="single" w:color="auto" w:sz="4" w:space="0"/>
              <w:bottom w:val="single" w:color="auto" w:sz="4" w:space="0"/>
              <w:right w:val="single" w:color="auto" w:sz="4" w:space="0"/>
            </w:tcBorders>
            <w:shd w:val="clear" w:color="auto" w:fill="auto"/>
            <w:vAlign w:val="center"/>
          </w:tcPr>
          <w:p w14:paraId="768C1452">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bidi="ar-SA"/>
              </w:rPr>
              <w:t>九</w:t>
            </w:r>
          </w:p>
        </w:tc>
        <w:tc>
          <w:tcPr>
            <w:tcW w:w="514" w:type="dxa"/>
            <w:tcBorders>
              <w:top w:val="single" w:color="auto" w:sz="4" w:space="0"/>
              <w:left w:val="single" w:color="auto" w:sz="4" w:space="0"/>
              <w:bottom w:val="single" w:color="auto" w:sz="4" w:space="0"/>
              <w:right w:val="single" w:color="auto" w:sz="4" w:space="0"/>
            </w:tcBorders>
            <w:shd w:val="clear" w:color="auto" w:fill="auto"/>
            <w:vAlign w:val="center"/>
          </w:tcPr>
          <w:p w14:paraId="04A7C29E">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大修安全文明施工措施费</w:t>
            </w:r>
          </w:p>
        </w:tc>
        <w:tc>
          <w:tcPr>
            <w:tcW w:w="1342" w:type="dxa"/>
            <w:tcBorders>
              <w:top w:val="single" w:color="auto" w:sz="4" w:space="0"/>
              <w:left w:val="single" w:color="auto" w:sz="4" w:space="0"/>
              <w:bottom w:val="single" w:color="auto" w:sz="4" w:space="0"/>
              <w:right w:val="single" w:color="auto" w:sz="4" w:space="0"/>
            </w:tcBorders>
            <w:shd w:val="clear" w:color="auto" w:fill="auto"/>
            <w:vAlign w:val="center"/>
          </w:tcPr>
          <w:p w14:paraId="042ED7CC">
            <w:pPr>
              <w:widowControl w:val="0"/>
              <w:adjustRightInd/>
              <w:snapToGrid/>
              <w:spacing w:line="240" w:lineRule="auto"/>
              <w:jc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大修安全文明施工措施费</w:t>
            </w:r>
          </w:p>
        </w:tc>
        <w:tc>
          <w:tcPr>
            <w:tcW w:w="2470" w:type="dxa"/>
            <w:tcBorders>
              <w:top w:val="single" w:color="auto" w:sz="4" w:space="0"/>
              <w:left w:val="single" w:color="auto" w:sz="4" w:space="0"/>
              <w:bottom w:val="single" w:color="auto" w:sz="4" w:space="0"/>
              <w:right w:val="single" w:color="auto" w:sz="4" w:space="0"/>
            </w:tcBorders>
            <w:shd w:val="clear" w:color="auto" w:fill="auto"/>
            <w:vAlign w:val="center"/>
          </w:tcPr>
          <w:p w14:paraId="2C5C89EB">
            <w:pPr>
              <w:widowControl w:val="0"/>
              <w:adjustRightInd/>
              <w:snapToGrid/>
              <w:spacing w:line="240" w:lineRule="auto"/>
              <w:jc w:val="both"/>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大修安全文明施工措施费</w:t>
            </w:r>
          </w:p>
        </w:tc>
        <w:tc>
          <w:tcPr>
            <w:tcW w:w="3339" w:type="dxa"/>
            <w:tcBorders>
              <w:top w:val="single" w:color="auto" w:sz="4" w:space="0"/>
              <w:left w:val="single" w:color="auto" w:sz="4" w:space="0"/>
              <w:bottom w:val="single" w:color="auto" w:sz="4" w:space="0"/>
              <w:right w:val="single" w:color="auto" w:sz="4" w:space="0"/>
            </w:tcBorders>
            <w:shd w:val="clear" w:color="auto" w:fill="auto"/>
            <w:vAlign w:val="center"/>
          </w:tcPr>
          <w:p w14:paraId="1822B923">
            <w:pPr>
              <w:widowControl w:val="0"/>
              <w:numPr>
                <w:ilvl w:val="0"/>
                <w:numId w:val="1"/>
              </w:numPr>
              <w:adjustRightInd/>
              <w:snapToGrid/>
              <w:spacing w:line="240" w:lineRule="auto"/>
              <w:jc w:val="both"/>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与邻炉之间需设置警戒隔离防止走错间隔。</w:t>
            </w:r>
          </w:p>
          <w:p w14:paraId="1B315C30">
            <w:pPr>
              <w:widowControl w:val="0"/>
              <w:numPr>
                <w:ilvl w:val="0"/>
                <w:numId w:val="1"/>
              </w:numPr>
              <w:adjustRightInd/>
              <w:snapToGrid/>
              <w:spacing w:line="240" w:lineRule="auto"/>
              <w:jc w:val="both"/>
              <w:rPr>
                <w:rFonts w:hint="eastAsia" w:ascii="宋体" w:hAnsi="宋体" w:eastAsia="宋体" w:cs="宋体"/>
                <w:i w:val="0"/>
                <w:iCs w:val="0"/>
                <w:color w:val="auto"/>
                <w:kern w:val="0"/>
                <w:sz w:val="21"/>
                <w:szCs w:val="21"/>
                <w:highlight w:val="none"/>
                <w:u w:val="none"/>
                <w:lang w:val="en-US" w:eastAsia="zh-CN" w:bidi="ar-SA"/>
              </w:rPr>
            </w:pPr>
            <w:r>
              <w:rPr>
                <w:rFonts w:hint="eastAsia" w:ascii="宋体" w:hAnsi="宋体" w:eastAsia="宋体" w:cs="宋体"/>
                <w:i w:val="0"/>
                <w:color w:val="auto"/>
                <w:kern w:val="0"/>
                <w:sz w:val="21"/>
                <w:szCs w:val="21"/>
                <w:highlight w:val="none"/>
                <w:u w:val="none"/>
                <w:lang w:val="en-US" w:eastAsia="zh-CN" w:bidi="ar"/>
              </w:rPr>
              <w:t>尾气处理车间布袋除尘器正下方及四周2米范围内均需铺设防止污染地面的防火布，尾气处理车间布袋除尘器两侧需拉设防止灰尘污染检修区域以外的防尘措施，所有防尘措施均需使用防火布，不得使用可燃的彩条布。</w:t>
            </w:r>
          </w:p>
        </w:tc>
        <w:tc>
          <w:tcPr>
            <w:tcW w:w="456" w:type="dxa"/>
            <w:tcBorders>
              <w:top w:val="nil"/>
              <w:left w:val="single" w:color="auto" w:sz="4" w:space="0"/>
              <w:bottom w:val="single" w:color="000000" w:sz="8" w:space="0"/>
              <w:right w:val="single" w:color="000000" w:sz="8" w:space="0"/>
            </w:tcBorders>
            <w:shd w:val="clear" w:color="auto" w:fill="auto"/>
            <w:vAlign w:val="center"/>
          </w:tcPr>
          <w:p w14:paraId="778F3F80">
            <w:pPr>
              <w:widowControl w:val="0"/>
              <w:adjustRightInd/>
              <w:snapToGrid/>
              <w:spacing w:line="240" w:lineRule="auto"/>
              <w:jc w:val="left"/>
              <w:rPr>
                <w:rFonts w:hint="eastAsia" w:ascii="宋体" w:hAnsi="宋体" w:eastAsia="宋体" w:cs="宋体"/>
                <w:i w:val="0"/>
                <w:iCs w:val="0"/>
                <w:color w:val="auto"/>
                <w:kern w:val="2"/>
                <w:sz w:val="21"/>
                <w:szCs w:val="21"/>
                <w:highlight w:val="none"/>
                <w:u w:val="none"/>
                <w:lang w:val="en-US" w:eastAsia="zh-CN" w:bidi="ar-SA"/>
              </w:rPr>
            </w:pPr>
          </w:p>
        </w:tc>
      </w:tr>
    </w:tbl>
    <w:p w14:paraId="55931D3E">
      <w:pPr>
        <w:widowControl w:val="0"/>
        <w:autoSpaceDE w:val="0"/>
        <w:autoSpaceDN w:val="0"/>
        <w:adjustRightInd w:val="0"/>
        <w:snapToGrid/>
        <w:spacing w:line="360" w:lineRule="auto"/>
        <w:jc w:val="left"/>
        <w:rPr>
          <w:rFonts w:hint="eastAsia" w:ascii="宋体" w:hAnsi="宋体" w:eastAsia="宋体" w:cs="宋体"/>
          <w:bCs/>
          <w:color w:val="auto"/>
          <w:kern w:val="0"/>
          <w:szCs w:val="21"/>
          <w:highlight w:val="none"/>
          <w:lang w:val="zh-CN"/>
        </w:rPr>
      </w:pPr>
    </w:p>
    <w:p w14:paraId="7218A4F1">
      <w:pPr>
        <w:bidi w:val="0"/>
        <w:rPr>
          <w:rFonts w:hint="eastAsia" w:ascii="宋体" w:hAnsi="宋体" w:eastAsia="宋体" w:cs="宋体"/>
          <w:b/>
          <w:bCs/>
          <w:color w:val="auto"/>
          <w:kern w:val="2"/>
          <w:szCs w:val="21"/>
          <w:highlight w:val="none"/>
        </w:rPr>
      </w:pPr>
      <w:r>
        <w:rPr>
          <w:rFonts w:hint="eastAsia" w:ascii="宋体" w:hAnsi="宋体" w:eastAsia="宋体" w:cs="宋体"/>
          <w:b/>
          <w:bCs/>
          <w:color w:val="auto"/>
          <w:kern w:val="2"/>
          <w:szCs w:val="21"/>
          <w:highlight w:val="none"/>
        </w:rPr>
        <w:br w:type="page"/>
      </w:r>
      <w:bookmarkStart w:id="271" w:name="_Toc25337"/>
      <w:bookmarkStart w:id="272" w:name="_Toc131690857"/>
      <w:r>
        <w:rPr>
          <w:rFonts w:hint="eastAsia" w:ascii="宋体" w:hAnsi="宋体" w:eastAsia="宋体" w:cs="宋体"/>
          <w:b/>
          <w:bCs/>
          <w:color w:val="auto"/>
          <w:kern w:val="2"/>
          <w:szCs w:val="21"/>
          <w:highlight w:val="none"/>
        </w:rPr>
        <w:t>附件五：施工项目及服务内容</w:t>
      </w:r>
      <w:bookmarkEnd w:id="271"/>
      <w:bookmarkEnd w:id="272"/>
    </w:p>
    <w:p w14:paraId="75C83100">
      <w:pPr>
        <w:bidi w:val="0"/>
        <w:rPr>
          <w:rFonts w:hint="eastAsia" w:ascii="宋体" w:hAnsi="宋体" w:eastAsia="宋体" w:cs="宋体"/>
          <w:b/>
          <w:bCs/>
          <w:color w:val="auto"/>
          <w:kern w:val="44"/>
          <w:szCs w:val="21"/>
          <w:highlight w:val="none"/>
          <w:lang w:val="zh-CN"/>
        </w:rPr>
      </w:pPr>
      <w:bookmarkStart w:id="273" w:name="_Toc13330"/>
      <w:bookmarkStart w:id="274" w:name="_Toc131690859"/>
      <w:r>
        <w:rPr>
          <w:rFonts w:hint="eastAsia" w:ascii="宋体" w:hAnsi="宋体" w:eastAsia="宋体" w:cs="宋体"/>
          <w:b/>
          <w:bCs/>
          <w:color w:val="auto"/>
          <w:kern w:val="44"/>
          <w:szCs w:val="21"/>
          <w:highlight w:val="none"/>
          <w:lang w:val="zh-CN"/>
        </w:rPr>
        <w:t>（1）锅炉与尾气系统常规项目固定</w:t>
      </w:r>
      <w:r>
        <w:rPr>
          <w:rFonts w:hint="eastAsia" w:ascii="宋体" w:hAnsi="宋体" w:eastAsia="宋体" w:cs="宋体"/>
          <w:b/>
          <w:bCs/>
          <w:color w:val="auto"/>
          <w:kern w:val="44"/>
          <w:szCs w:val="21"/>
          <w:highlight w:val="none"/>
          <w:lang w:val="en-US" w:eastAsia="zh-CN"/>
        </w:rPr>
        <w:t>总价综合单价清单</w:t>
      </w:r>
      <w:r>
        <w:rPr>
          <w:rFonts w:hint="eastAsia" w:ascii="宋体" w:hAnsi="宋体" w:eastAsia="宋体" w:cs="宋体"/>
          <w:b/>
          <w:bCs/>
          <w:color w:val="auto"/>
          <w:kern w:val="44"/>
          <w:szCs w:val="21"/>
          <w:highlight w:val="none"/>
          <w:lang w:val="zh-CN"/>
        </w:rPr>
        <w:t>（按</w:t>
      </w:r>
      <w:r>
        <w:rPr>
          <w:rFonts w:hint="eastAsia" w:ascii="宋体" w:hAnsi="宋体" w:eastAsia="宋体" w:cs="宋体"/>
          <w:b/>
          <w:bCs/>
          <w:color w:val="auto"/>
          <w:kern w:val="44"/>
          <w:szCs w:val="21"/>
          <w:highlight w:val="none"/>
          <w:lang w:val="en-US" w:eastAsia="zh-CN"/>
        </w:rPr>
        <w:t>总价包干</w:t>
      </w:r>
      <w:r>
        <w:rPr>
          <w:rFonts w:hint="eastAsia" w:ascii="宋体" w:hAnsi="宋体" w:eastAsia="宋体" w:cs="宋体"/>
          <w:b/>
          <w:bCs/>
          <w:color w:val="auto"/>
          <w:kern w:val="44"/>
          <w:szCs w:val="21"/>
          <w:highlight w:val="none"/>
          <w:lang w:val="zh-CN"/>
        </w:rPr>
        <w:t>结算）：</w:t>
      </w:r>
      <w:bookmarkEnd w:id="273"/>
    </w:p>
    <w:tbl>
      <w:tblPr>
        <w:tblStyle w:val="31"/>
        <w:tblW w:w="83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6"/>
        <w:gridCol w:w="1294"/>
        <w:gridCol w:w="1254"/>
        <w:gridCol w:w="2527"/>
        <w:gridCol w:w="1102"/>
        <w:gridCol w:w="1609"/>
      </w:tblGrid>
      <w:tr w14:paraId="5B2C8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5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BB90FD3">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序号</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420F1D9">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系统名称</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71965D">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部件名称</w:t>
            </w:r>
          </w:p>
        </w:tc>
        <w:tc>
          <w:tcPr>
            <w:tcW w:w="252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112A10B">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常规项目</w:t>
            </w:r>
          </w:p>
        </w:tc>
        <w:tc>
          <w:tcPr>
            <w:tcW w:w="271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5D4FCD9">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常规项目单项价格（元）</w:t>
            </w:r>
          </w:p>
        </w:tc>
      </w:tr>
      <w:tr w14:paraId="25B7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9F1837">
            <w:pPr>
              <w:jc w:val="center"/>
              <w:rPr>
                <w:rFonts w:hint="eastAsia" w:ascii="宋体" w:hAnsi="宋体" w:eastAsia="宋体" w:cs="宋体"/>
                <w:b/>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B2D8271">
            <w:pPr>
              <w:jc w:val="center"/>
              <w:rPr>
                <w:rFonts w:hint="eastAsia" w:ascii="宋体" w:hAnsi="宋体" w:eastAsia="宋体" w:cs="宋体"/>
                <w:b/>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7B5AA57">
            <w:pPr>
              <w:jc w:val="center"/>
              <w:rPr>
                <w:rFonts w:hint="eastAsia" w:ascii="宋体" w:hAnsi="宋体" w:eastAsia="宋体" w:cs="宋体"/>
                <w:b/>
                <w:i w:val="0"/>
                <w:color w:val="auto"/>
                <w:sz w:val="22"/>
                <w:szCs w:val="22"/>
                <w:highlight w:val="none"/>
                <w:u w:val="none"/>
              </w:rPr>
            </w:pPr>
          </w:p>
        </w:tc>
        <w:tc>
          <w:tcPr>
            <w:tcW w:w="252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D48E87">
            <w:pPr>
              <w:jc w:val="center"/>
              <w:rPr>
                <w:rFonts w:hint="eastAsia" w:ascii="宋体" w:hAnsi="宋体" w:eastAsia="宋体" w:cs="宋体"/>
                <w:b/>
                <w:i w:val="0"/>
                <w:color w:val="auto"/>
                <w:sz w:val="22"/>
                <w:szCs w:val="22"/>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172F90">
            <w:pPr>
              <w:keepNext w:val="0"/>
              <w:keepLines w:val="0"/>
              <w:widowControl/>
              <w:suppressLineNumbers w:val="0"/>
              <w:jc w:val="center"/>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单位</w:t>
            </w:r>
          </w:p>
        </w:tc>
        <w:tc>
          <w:tcPr>
            <w:tcW w:w="16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3BFAD6">
            <w:pPr>
              <w:keepNext w:val="0"/>
              <w:keepLines w:val="0"/>
              <w:widowControl/>
              <w:suppressLineNumbers w:val="0"/>
              <w:jc w:val="center"/>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综合单价包干</w:t>
            </w:r>
          </w:p>
        </w:tc>
      </w:tr>
      <w:tr w14:paraId="24CC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516" w:type="dxa"/>
            <w:vMerge w:val="restart"/>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F215D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一、</w:t>
            </w:r>
          </w:p>
        </w:tc>
        <w:tc>
          <w:tcPr>
            <w:tcW w:w="1294" w:type="dxa"/>
            <w:vMerge w:val="restart"/>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B8562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余热锅炉本体</w:t>
            </w:r>
          </w:p>
        </w:tc>
        <w:tc>
          <w:tcPr>
            <w:tcW w:w="1254" w:type="dxa"/>
            <w:vMerge w:val="restart"/>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912C19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水冷系统</w:t>
            </w:r>
          </w:p>
        </w:tc>
        <w:tc>
          <w:tcPr>
            <w:tcW w:w="2527" w:type="dxa"/>
            <w:tcBorders>
              <w:top w:val="nil"/>
              <w:left w:val="nil"/>
              <w:bottom w:val="nil"/>
              <w:right w:val="nil"/>
            </w:tcBorders>
            <w:shd w:val="clear" w:color="auto" w:fill="auto"/>
            <w:noWrap/>
            <w:tcMar>
              <w:top w:w="10" w:type="dxa"/>
              <w:left w:w="10" w:type="dxa"/>
              <w:right w:w="10" w:type="dxa"/>
            </w:tcMar>
            <w:vAlign w:val="center"/>
          </w:tcPr>
          <w:p w14:paraId="7D88C23F">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1.一通道炉膛内壁焦块和积灰清理，消缺及更换受热面管；（包括膨胀节联箱以上的部分结焦清理）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C2CBD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A8198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9010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3622EE">
            <w:pPr>
              <w:jc w:val="center"/>
              <w:rPr>
                <w:rFonts w:hint="eastAsia" w:ascii="宋体" w:hAnsi="宋体" w:eastAsia="宋体" w:cs="宋体"/>
                <w:i w:val="0"/>
                <w:color w:val="auto"/>
                <w:sz w:val="22"/>
                <w:szCs w:val="22"/>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E397C6">
            <w:pPr>
              <w:jc w:val="center"/>
              <w:rPr>
                <w:rFonts w:hint="eastAsia" w:ascii="宋体" w:hAnsi="宋体" w:eastAsia="宋体" w:cs="宋体"/>
                <w:i w:val="0"/>
                <w:color w:val="auto"/>
                <w:sz w:val="22"/>
                <w:szCs w:val="22"/>
                <w:highlight w:val="none"/>
                <w:u w:val="none"/>
              </w:rPr>
            </w:pPr>
          </w:p>
        </w:tc>
        <w:tc>
          <w:tcPr>
            <w:tcW w:w="1254"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8EF72C7">
            <w:pPr>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0BD27AF">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2.防磨瓦检查；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1B631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6FFF8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F6BB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C43426">
            <w:pPr>
              <w:jc w:val="center"/>
              <w:rPr>
                <w:rFonts w:hint="eastAsia" w:ascii="宋体" w:hAnsi="宋体" w:eastAsia="宋体" w:cs="宋体"/>
                <w:i w:val="0"/>
                <w:color w:val="auto"/>
                <w:sz w:val="22"/>
                <w:szCs w:val="22"/>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DAF254">
            <w:pPr>
              <w:jc w:val="center"/>
              <w:rPr>
                <w:rFonts w:hint="eastAsia" w:ascii="宋体" w:hAnsi="宋体" w:eastAsia="宋体" w:cs="宋体"/>
                <w:i w:val="0"/>
                <w:color w:val="auto"/>
                <w:sz w:val="22"/>
                <w:szCs w:val="22"/>
                <w:highlight w:val="none"/>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D26FE0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省煤器系统</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52857E">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3.a.检查管子磨损、变形、腐蚀、必要时割管检查；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10403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72C0D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12CD3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02B27E">
            <w:pPr>
              <w:jc w:val="center"/>
              <w:rPr>
                <w:rFonts w:hint="eastAsia" w:ascii="宋体" w:hAnsi="宋体" w:eastAsia="宋体" w:cs="宋体"/>
                <w:i w:val="0"/>
                <w:color w:val="auto"/>
                <w:sz w:val="22"/>
                <w:szCs w:val="22"/>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42286B">
            <w:pPr>
              <w:jc w:val="center"/>
              <w:rPr>
                <w:rFonts w:hint="eastAsia" w:ascii="宋体" w:hAnsi="宋体" w:eastAsia="宋体" w:cs="宋体"/>
                <w:i w:val="0"/>
                <w:color w:val="auto"/>
                <w:sz w:val="22"/>
                <w:szCs w:val="22"/>
                <w:highlight w:val="none"/>
                <w:u w:val="none"/>
              </w:rPr>
            </w:pPr>
          </w:p>
        </w:tc>
        <w:tc>
          <w:tcPr>
            <w:tcW w:w="1254" w:type="dxa"/>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0F20071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空气预热器</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5840CAC">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4.漏风试验，积灰清理，护板防腐，并处理各漏点；</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C42C2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370569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21DD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D333D29">
            <w:pPr>
              <w:jc w:val="center"/>
              <w:rPr>
                <w:rFonts w:hint="eastAsia" w:ascii="宋体" w:hAnsi="宋体" w:eastAsia="宋体" w:cs="宋体"/>
                <w:i w:val="0"/>
                <w:color w:val="auto"/>
                <w:sz w:val="22"/>
                <w:szCs w:val="22"/>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5FC83D">
            <w:pPr>
              <w:jc w:val="center"/>
              <w:rPr>
                <w:rFonts w:hint="eastAsia" w:ascii="宋体" w:hAnsi="宋体" w:eastAsia="宋体" w:cs="宋体"/>
                <w:i w:val="0"/>
                <w:color w:val="auto"/>
                <w:sz w:val="22"/>
                <w:szCs w:val="22"/>
                <w:highlight w:val="none"/>
                <w:u w:val="none"/>
              </w:rPr>
            </w:pPr>
          </w:p>
        </w:tc>
        <w:tc>
          <w:tcPr>
            <w:tcW w:w="1254" w:type="dxa"/>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60735C0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钢架炉墙保温</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D8E87B">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5.看火门、人孔门、防爆门、伸缩节、炉墙消缺、积灰清理，各类跑冒滴漏处理；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5DF72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644A6E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61382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D7A1A9E">
            <w:pPr>
              <w:jc w:val="center"/>
              <w:rPr>
                <w:rFonts w:hint="eastAsia" w:ascii="宋体" w:hAnsi="宋体" w:eastAsia="宋体" w:cs="宋体"/>
                <w:i w:val="0"/>
                <w:color w:val="auto"/>
                <w:sz w:val="22"/>
                <w:szCs w:val="22"/>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4D1845">
            <w:pPr>
              <w:jc w:val="center"/>
              <w:rPr>
                <w:rFonts w:hint="eastAsia" w:ascii="宋体" w:hAnsi="宋体" w:eastAsia="宋体" w:cs="宋体"/>
                <w:i w:val="0"/>
                <w:color w:val="auto"/>
                <w:sz w:val="22"/>
                <w:szCs w:val="22"/>
                <w:highlight w:val="none"/>
                <w:u w:val="none"/>
              </w:rPr>
            </w:pP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9407C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其他</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CB4B4D">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6.锅炉整体水压试验，检查承压部件的严密性，含汽水系统消缺；</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42995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C7369B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1444A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7F274C">
            <w:pPr>
              <w:jc w:val="center"/>
              <w:rPr>
                <w:rFonts w:hint="eastAsia" w:ascii="宋体" w:hAnsi="宋体" w:eastAsia="宋体" w:cs="宋体"/>
                <w:i w:val="0"/>
                <w:color w:val="auto"/>
                <w:sz w:val="22"/>
                <w:szCs w:val="22"/>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61FA91">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4358D3B">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661332">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7.处理漏风试验漏点；（由于项目施工造成的由施工方负责恢复，不另外进行结算）</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DA2C7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B47537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1725D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12E0F22">
            <w:pPr>
              <w:jc w:val="center"/>
              <w:rPr>
                <w:rFonts w:hint="eastAsia" w:ascii="宋体" w:hAnsi="宋体" w:eastAsia="宋体" w:cs="宋体"/>
                <w:i w:val="0"/>
                <w:color w:val="auto"/>
                <w:sz w:val="22"/>
                <w:szCs w:val="22"/>
                <w:highlight w:val="none"/>
                <w:u w:val="none"/>
              </w:rPr>
            </w:pPr>
          </w:p>
        </w:tc>
        <w:tc>
          <w:tcPr>
            <w:tcW w:w="1294" w:type="dxa"/>
            <w:vMerge w:val="continue"/>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D0FF9F">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D820FB8">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258CF9">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8.锅炉本体中其它附属管道（如压缩空气管）漏点处理；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4E783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4BC11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1012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5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AD9F7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二、</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B8B1FC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炉排本体</w:t>
            </w:r>
          </w:p>
        </w:tc>
        <w:tc>
          <w:tcPr>
            <w:tcW w:w="1254"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6C43180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给料系统</w:t>
            </w: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E4E7B4B">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9.给料小车及小车导轨、加油模块、液压缸周边及渗滤液收集箱杂物清理、卫生清洁；</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6ADD5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82252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4F74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B17F162">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0AC9E6">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381C3CDE">
            <w:pPr>
              <w:jc w:val="center"/>
              <w:rPr>
                <w:rFonts w:hint="eastAsia" w:ascii="宋体" w:hAnsi="宋体" w:eastAsia="宋体" w:cs="宋体"/>
                <w:i w:val="0"/>
                <w:color w:val="auto"/>
                <w:sz w:val="22"/>
                <w:szCs w:val="22"/>
                <w:highlight w:val="none"/>
                <w:u w:val="none"/>
              </w:rPr>
            </w:pPr>
          </w:p>
        </w:tc>
        <w:tc>
          <w:tcPr>
            <w:tcW w:w="2527" w:type="dxa"/>
            <w:tcBorders>
              <w:top w:val="nil"/>
              <w:left w:val="nil"/>
              <w:bottom w:val="nil"/>
              <w:right w:val="nil"/>
            </w:tcBorders>
            <w:shd w:val="clear" w:color="auto" w:fill="auto"/>
            <w:noWrap/>
            <w:tcMar>
              <w:top w:w="10" w:type="dxa"/>
              <w:left w:w="10" w:type="dxa"/>
              <w:right w:w="10" w:type="dxa"/>
            </w:tcMar>
            <w:vAlign w:val="center"/>
          </w:tcPr>
          <w:p w14:paraId="0CB2F5E6">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10.驱动轮、导向轮、行走钢轨检查、加油、维护及调整处理；支点加油系统维护；</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426F2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2E2EF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3D3C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CB2F75">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73BCCB2">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3E005AC">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18D6B2">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11.检查中间框架耐磨板及铸件检查、消缺、更换处理；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EED45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21B21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04A4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4A22EA5">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3CACFA">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8EA501B">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9B3D23">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12.检查各类铸件是否出现断裂、下沉、上翘、松动、铸件间间隙大缝隙等现象；</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1D230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1C3B9D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01DA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C20E006">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2D44A6">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599CFFD1">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3AE2456">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13.检查滑动平台铸件平面度、相邻铸件平面度等；</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B9099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E04B2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10DD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5D74647">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00F541">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44A0279F">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5923FC">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14.溜槽处防磨钢板磨损检查、缺陷处理；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19E49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441016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CFF7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4846D7">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4752EB">
            <w:pPr>
              <w:jc w:val="center"/>
              <w:rPr>
                <w:rFonts w:hint="eastAsia" w:ascii="宋体" w:hAnsi="宋体" w:eastAsia="宋体" w:cs="宋体"/>
                <w:i w:val="0"/>
                <w:color w:val="auto"/>
                <w:sz w:val="22"/>
                <w:szCs w:val="22"/>
                <w:highlight w:val="none"/>
                <w:u w:val="none"/>
              </w:rPr>
            </w:pPr>
          </w:p>
        </w:tc>
        <w:tc>
          <w:tcPr>
            <w:tcW w:w="1254"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09BEF5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炉排系统</w:t>
            </w: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ED40B7A">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15.炉排残渣清理，炉排间隙检查、测量、调整（出现生料情况，清理以外判另计）；</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05C4B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79DFD4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8F30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B80490">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03C04F7">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FF89F51">
            <w:pPr>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42EC2496">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16.炉排垫片处理或更换、连接螺栓检查，缺陷处理；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BE3FA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94940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6B26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5C56A8">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65FC06">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2BE5E24">
            <w:pPr>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ABC14CE">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17.驱动梁维护、密封盒维护；轴承、压紧轮、导向轮等磨损检查、维护。油质检查。托辊维护；</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5B9DB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27C8E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3AC1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C74EBF">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961AC9B">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53CC5C4D">
            <w:pPr>
              <w:jc w:val="center"/>
              <w:rPr>
                <w:rFonts w:hint="eastAsia" w:ascii="宋体" w:hAnsi="宋体" w:eastAsia="宋体" w:cs="宋体"/>
                <w:i w:val="0"/>
                <w:color w:val="auto"/>
                <w:sz w:val="21"/>
                <w:szCs w:val="21"/>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C00966C">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18.各受力部位连接件检查消缺；定位块检查；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D1BBD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6AADB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4A0C9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D09EE5A">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D6E4DBD">
            <w:pPr>
              <w:jc w:val="center"/>
              <w:rPr>
                <w:rFonts w:hint="eastAsia" w:ascii="宋体" w:hAnsi="宋体" w:eastAsia="宋体" w:cs="宋体"/>
                <w:i w:val="0"/>
                <w:color w:val="auto"/>
                <w:sz w:val="22"/>
                <w:szCs w:val="22"/>
                <w:highlight w:val="none"/>
                <w:u w:val="none"/>
              </w:rPr>
            </w:pPr>
          </w:p>
        </w:tc>
        <w:tc>
          <w:tcPr>
            <w:tcW w:w="1254"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278D43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除渣机</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355DD9">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19.人孔门开启、封闭以及密封条更换；捞渣机清理；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82481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6929A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9BED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78A4F9">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3A38DC">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3AE432E2">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50498A">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20.各受力部位连接件及定位块检查消缺；</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5FB72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1BF822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66767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59015A2">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F7F09D">
            <w:pPr>
              <w:jc w:val="center"/>
              <w:rPr>
                <w:rFonts w:hint="eastAsia" w:ascii="宋体" w:hAnsi="宋体" w:eastAsia="宋体" w:cs="宋体"/>
                <w:i w:val="0"/>
                <w:color w:val="auto"/>
                <w:sz w:val="22"/>
                <w:szCs w:val="22"/>
                <w:highlight w:val="none"/>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0B086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刮板机</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4D4CAA">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21.输灰刮板机维护、链条调整、密封消缺；磨损检查；减速机及轴承解体检查；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7D0A3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7F938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71E41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restart"/>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403AAC0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四、</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9BBE89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烟风系统</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C247F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反应塔</w:t>
            </w: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2767D3B">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22.破碎机维护</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AF99B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0FD6AF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76E1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54D4A14C">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B865D2D">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FF90D6">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099B9D08">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23.星型卸灰阀维护、检修；</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13608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2B4F7C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77620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6B20B0D1">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4EB0BF0">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1748D23">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76D4285">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24.反应塔下埋刮板输送机维护、链条调整、密封修补、磨损检查；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E0C5E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41A31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806F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3BD0AE7D">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17C0D0">
            <w:pPr>
              <w:jc w:val="center"/>
              <w:rPr>
                <w:rFonts w:hint="eastAsia" w:ascii="宋体" w:hAnsi="宋体" w:eastAsia="宋体" w:cs="宋体"/>
                <w:i w:val="0"/>
                <w:color w:val="auto"/>
                <w:sz w:val="22"/>
                <w:szCs w:val="22"/>
                <w:highlight w:val="none"/>
                <w:u w:val="none"/>
              </w:rPr>
            </w:pP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6CBF1A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布袋除尘器</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6F11E5">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25.检查滤袋和骨架的磨损、腐蚀情况；</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776C6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B441A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69B50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1A57BC88">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BF918D">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8FD913">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EB3BF2">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26.检查箱体、清洁室花板、喷吹管、盖板烟道腐蚀情况；</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674A4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0FA58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C2F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301C20D2">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B2359F1">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1CE2DC5">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AAE978">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27.喷吹管补焊及螺栓紧固；</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0FAFE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A01294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478A9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08193503">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C7C68E">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251248F">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09333A">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28.提升阀严密性检查；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501D0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1F4BA7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153C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2ABCB431">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851BAD">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751A18C">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05FAE7">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29.全部星型卸灰阀维护、检修；</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61985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8E272C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87A0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2BA3B2A3">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9C4AE8">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DD4FE3F">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BC5F70">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30.除尘器下埋刮板输送机维护、链条调整、密封修补；磨损检查；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41646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CBA91F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2542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45906002">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DAE14E1">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45B0DD5">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8833CD">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31.除尘器查漏（包括布袋查漏、箱体查漏）及处理；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8E446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DACE18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2DF18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1AB61D04">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84B0DD7">
            <w:pPr>
              <w:jc w:val="center"/>
              <w:rPr>
                <w:rFonts w:hint="eastAsia" w:ascii="宋体" w:hAnsi="宋体" w:eastAsia="宋体" w:cs="宋体"/>
                <w:i w:val="0"/>
                <w:color w:val="auto"/>
                <w:sz w:val="22"/>
                <w:szCs w:val="22"/>
                <w:highlight w:val="none"/>
                <w:u w:val="none"/>
              </w:rPr>
            </w:pP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8B8DB6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各类风机</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1DDF67">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32.风机内部清灰、检查叶轮磨损；</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269F7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50C4C1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790E0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38ADAA02">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DADE2B">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5596E00">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EE1A1B">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33.修补磨损外壳、衬板、轴承保护套；</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E8BB0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969E6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0DAA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5484EFED">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8B1976">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F52CCE">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C96F1B">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34.清理及检修入口调节挡板；</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D5558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FA9C6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7D4C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2A38E6C0">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0F7E50">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66C12E">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B4A528">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35.轴承维护及润滑油系统，换油；</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E9378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B6E507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07B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6B947ED1">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8840774">
            <w:pPr>
              <w:jc w:val="center"/>
              <w:rPr>
                <w:rFonts w:hint="eastAsia" w:ascii="宋体" w:hAnsi="宋体" w:eastAsia="宋体" w:cs="宋体"/>
                <w:i w:val="0"/>
                <w:color w:val="auto"/>
                <w:sz w:val="22"/>
                <w:szCs w:val="22"/>
                <w:highlight w:val="none"/>
                <w:u w:val="none"/>
              </w:rPr>
            </w:pP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74827A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烟风管路</w:t>
            </w: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548D16">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36.检查管路系统磨损、变形腐蚀、支吊架；</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FBB25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48A3F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242F8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44D4D482">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FFEBD4">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C090B0">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A07F1F">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37.管路内部清灰、破损油漆修补；</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038F8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5EEC1F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2C2F7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16" w:type="dxa"/>
            <w:vMerge w:val="continue"/>
            <w:tcBorders>
              <w:top w:val="nil"/>
              <w:left w:val="single" w:color="000000" w:sz="4" w:space="0"/>
              <w:bottom w:val="single" w:color="000000" w:sz="4" w:space="0"/>
              <w:right w:val="nil"/>
            </w:tcBorders>
            <w:shd w:val="clear" w:color="auto" w:fill="auto"/>
            <w:noWrap/>
            <w:tcMar>
              <w:top w:w="10" w:type="dxa"/>
              <w:left w:w="10" w:type="dxa"/>
              <w:right w:w="10" w:type="dxa"/>
            </w:tcMar>
            <w:vAlign w:val="center"/>
          </w:tcPr>
          <w:p w14:paraId="639A9B6C">
            <w:pPr>
              <w:jc w:val="center"/>
              <w:rPr>
                <w:rFonts w:hint="eastAsia" w:ascii="宋体" w:hAnsi="宋体" w:eastAsia="宋体" w:cs="宋体"/>
                <w:i w:val="0"/>
                <w:color w:val="auto"/>
                <w:sz w:val="22"/>
                <w:szCs w:val="22"/>
                <w:highlight w:val="none"/>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7F3AFF">
            <w:pPr>
              <w:jc w:val="center"/>
              <w:rPr>
                <w:rFonts w:hint="eastAsia" w:ascii="宋体" w:hAnsi="宋体" w:eastAsia="宋体" w:cs="宋体"/>
                <w:i w:val="0"/>
                <w:color w:val="auto"/>
                <w:sz w:val="22"/>
                <w:szCs w:val="22"/>
                <w:highlight w:val="none"/>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26C2CEB">
            <w:pPr>
              <w:jc w:val="center"/>
              <w:rPr>
                <w:rFonts w:hint="eastAsia" w:ascii="宋体" w:hAnsi="宋体" w:eastAsia="宋体" w:cs="宋体"/>
                <w:i w:val="0"/>
                <w:color w:val="auto"/>
                <w:sz w:val="22"/>
                <w:szCs w:val="22"/>
                <w:highlight w:val="none"/>
                <w:u w:val="none"/>
              </w:rPr>
            </w:pPr>
          </w:p>
        </w:tc>
        <w:tc>
          <w:tcPr>
            <w:tcW w:w="2527" w:type="dxa"/>
            <w:tcBorders>
              <w:top w:val="nil"/>
              <w:left w:val="nil"/>
              <w:bottom w:val="nil"/>
              <w:right w:val="nil"/>
            </w:tcBorders>
            <w:shd w:val="clear" w:color="auto" w:fill="auto"/>
            <w:noWrap/>
            <w:tcMar>
              <w:top w:w="10" w:type="dxa"/>
              <w:left w:w="10" w:type="dxa"/>
              <w:right w:w="10" w:type="dxa"/>
            </w:tcMar>
            <w:vAlign w:val="center"/>
          </w:tcPr>
          <w:p w14:paraId="55ECE609">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38.膨胀节检查与修复；</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9BD4A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DB0C79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79101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516"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E8726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五、</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0B148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卫生清扫零星用工</w:t>
            </w:r>
          </w:p>
        </w:tc>
        <w:tc>
          <w:tcPr>
            <w:tcW w:w="125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A643FE">
            <w:pPr>
              <w:jc w:val="center"/>
              <w:rPr>
                <w:rFonts w:hint="eastAsia" w:ascii="宋体" w:hAnsi="宋体" w:eastAsia="宋体" w:cs="宋体"/>
                <w:i w:val="0"/>
                <w:color w:val="auto"/>
                <w:sz w:val="22"/>
                <w:szCs w:val="22"/>
                <w:highlight w:val="none"/>
                <w:u w:val="none"/>
              </w:rPr>
            </w:pPr>
          </w:p>
        </w:tc>
        <w:tc>
          <w:tcPr>
            <w:tcW w:w="252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51A8DC">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39.施工完成后现场卫生清理。</w:t>
            </w:r>
          </w:p>
        </w:tc>
        <w:tc>
          <w:tcPr>
            <w:tcW w:w="1102"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0BBB8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元/项</w:t>
            </w:r>
          </w:p>
        </w:tc>
        <w:tc>
          <w:tcPr>
            <w:tcW w:w="16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EB535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116F1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591" w:type="dxa"/>
            <w:gridSpan w:val="4"/>
            <w:tcBorders>
              <w:top w:val="single" w:color="000000" w:sz="4" w:space="0"/>
              <w:left w:val="single" w:color="000000" w:sz="4" w:space="0"/>
              <w:bottom w:val="single" w:color="000000" w:sz="4" w:space="0"/>
              <w:right w:val="single" w:color="000000" w:sz="4" w:space="0"/>
            </w:tcBorders>
            <w:shd w:val="clear" w:color="auto" w:fill="D9E1F4"/>
            <w:noWrap/>
            <w:tcMar>
              <w:top w:w="10" w:type="dxa"/>
              <w:left w:w="10" w:type="dxa"/>
              <w:right w:w="10" w:type="dxa"/>
            </w:tcMar>
            <w:vAlign w:val="center"/>
          </w:tcPr>
          <w:p w14:paraId="49874544">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常规项目合计</w:t>
            </w:r>
          </w:p>
        </w:tc>
        <w:tc>
          <w:tcPr>
            <w:tcW w:w="1102" w:type="dxa"/>
            <w:tcBorders>
              <w:top w:val="single" w:color="000000" w:sz="4" w:space="0"/>
              <w:left w:val="single" w:color="000000" w:sz="4" w:space="0"/>
              <w:bottom w:val="single" w:color="000000" w:sz="4" w:space="0"/>
              <w:right w:val="single" w:color="000000" w:sz="4" w:space="0"/>
            </w:tcBorders>
            <w:shd w:val="clear" w:color="auto" w:fill="D9E1F4"/>
            <w:noWrap/>
            <w:tcMar>
              <w:top w:w="10" w:type="dxa"/>
              <w:left w:w="10" w:type="dxa"/>
              <w:right w:w="10" w:type="dxa"/>
            </w:tcMar>
            <w:vAlign w:val="center"/>
          </w:tcPr>
          <w:p w14:paraId="2E7F301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元/含税</w:t>
            </w:r>
          </w:p>
        </w:tc>
        <w:tc>
          <w:tcPr>
            <w:tcW w:w="1609" w:type="dxa"/>
            <w:tcBorders>
              <w:top w:val="single" w:color="000000" w:sz="4" w:space="0"/>
              <w:left w:val="single" w:color="000000" w:sz="4" w:space="0"/>
              <w:bottom w:val="single" w:color="000000" w:sz="4" w:space="0"/>
              <w:right w:val="single" w:color="000000" w:sz="4" w:space="0"/>
            </w:tcBorders>
            <w:shd w:val="clear" w:color="auto" w:fill="D9E1F4"/>
            <w:noWrap/>
            <w:tcMar>
              <w:top w:w="10" w:type="dxa"/>
              <w:left w:w="10" w:type="dxa"/>
              <w:right w:w="10" w:type="dxa"/>
            </w:tcMar>
            <w:vAlign w:val="center"/>
          </w:tcPr>
          <w:p w14:paraId="0EA725CF">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p>
        </w:tc>
      </w:tr>
    </w:tbl>
    <w:p w14:paraId="3AE9482B">
      <w:pPr>
        <w:widowControl/>
        <w:adjustRightInd/>
        <w:snapToGrid/>
        <w:spacing w:line="240" w:lineRule="auto"/>
        <w:jc w:val="left"/>
        <w:outlineLvl w:val="9"/>
        <w:rPr>
          <w:rFonts w:hint="eastAsia" w:ascii="宋体" w:hAnsi="宋体" w:eastAsia="宋体" w:cs="宋体"/>
          <w:color w:val="auto"/>
          <w:highlight w:val="none"/>
        </w:rPr>
      </w:pPr>
    </w:p>
    <w:p w14:paraId="22E3927A">
      <w:pPr>
        <w:bidi w:val="0"/>
        <w:rPr>
          <w:rFonts w:hint="eastAsia" w:ascii="宋体" w:hAnsi="宋体" w:eastAsia="宋体" w:cs="宋体"/>
          <w:color w:val="auto"/>
          <w:highlight w:val="none"/>
        </w:rPr>
      </w:pPr>
      <w:bookmarkStart w:id="275" w:name="_Toc20790"/>
      <w:r>
        <w:rPr>
          <w:rFonts w:hint="eastAsia" w:ascii="宋体" w:hAnsi="宋体" w:eastAsia="宋体" w:cs="宋体"/>
          <w:color w:val="auto"/>
          <w:highlight w:val="none"/>
        </w:rPr>
        <w:t>（2）锅炉与尾气系统特殊项目单项综合单价包干价格：</w:t>
      </w:r>
      <w:bookmarkEnd w:id="274"/>
      <w:bookmarkEnd w:id="275"/>
    </w:p>
    <w:p w14:paraId="192479A9">
      <w:pPr>
        <w:widowControl w:val="0"/>
        <w:adjustRightInd/>
        <w:snapToGrid/>
        <w:spacing w:line="360" w:lineRule="auto"/>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lang w:val="en-US" w:eastAsia="zh-CN"/>
        </w:rPr>
        <w:t>特殊项目</w:t>
      </w:r>
      <w:r>
        <w:rPr>
          <w:rFonts w:hint="eastAsia" w:ascii="宋体" w:hAnsi="宋体" w:eastAsia="宋体" w:cs="宋体"/>
          <w:color w:val="auto"/>
          <w:kern w:val="2"/>
          <w:szCs w:val="21"/>
          <w:highlight w:val="none"/>
        </w:rPr>
        <w:t>由</w:t>
      </w:r>
      <w:r>
        <w:rPr>
          <w:rFonts w:hint="eastAsia" w:ascii="宋体" w:hAnsi="宋体" w:cs="宋体"/>
          <w:color w:val="auto"/>
          <w:kern w:val="2"/>
          <w:szCs w:val="21"/>
          <w:highlight w:val="none"/>
          <w:lang w:val="en-US" w:eastAsia="zh-CN"/>
        </w:rPr>
        <w:t>甲方</w:t>
      </w:r>
      <w:r>
        <w:rPr>
          <w:rFonts w:hint="eastAsia" w:ascii="宋体" w:hAnsi="宋体" w:eastAsia="宋体" w:cs="宋体"/>
          <w:color w:val="auto"/>
          <w:kern w:val="2"/>
          <w:szCs w:val="21"/>
          <w:highlight w:val="none"/>
        </w:rPr>
        <w:t>根据项目实际情况决定是否交由</w:t>
      </w:r>
      <w:r>
        <w:rPr>
          <w:rFonts w:hint="eastAsia" w:ascii="宋体" w:hAnsi="宋体" w:cs="宋体"/>
          <w:color w:val="auto"/>
          <w:kern w:val="2"/>
          <w:szCs w:val="21"/>
          <w:highlight w:val="none"/>
          <w:lang w:val="en-US" w:eastAsia="zh-CN"/>
        </w:rPr>
        <w:t>乙方</w:t>
      </w:r>
      <w:r>
        <w:rPr>
          <w:rFonts w:hint="eastAsia" w:ascii="宋体" w:hAnsi="宋体" w:eastAsia="宋体" w:cs="宋体"/>
          <w:color w:val="auto"/>
          <w:kern w:val="2"/>
          <w:szCs w:val="21"/>
          <w:highlight w:val="none"/>
        </w:rPr>
        <w:t>施工。</w:t>
      </w:r>
    </w:p>
    <w:tbl>
      <w:tblPr>
        <w:tblStyle w:val="31"/>
        <w:tblW w:w="83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91"/>
        <w:gridCol w:w="1300"/>
        <w:gridCol w:w="1309"/>
        <w:gridCol w:w="2464"/>
        <w:gridCol w:w="1155"/>
        <w:gridCol w:w="1607"/>
      </w:tblGrid>
      <w:tr w14:paraId="7DE5C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4B4AF6">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序号</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4A8F14">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系统名称</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5788F2">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部件名称</w:t>
            </w:r>
          </w:p>
        </w:tc>
        <w:tc>
          <w:tcPr>
            <w:tcW w:w="24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AEB143">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特殊项目</w:t>
            </w:r>
          </w:p>
        </w:tc>
        <w:tc>
          <w:tcPr>
            <w:tcW w:w="27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1FB96A0">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特殊项目单项报价（元）</w:t>
            </w:r>
          </w:p>
        </w:tc>
      </w:tr>
      <w:tr w14:paraId="425AF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22364A9">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6954A4">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82ECCBF">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p>
        </w:tc>
        <w:tc>
          <w:tcPr>
            <w:tcW w:w="24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570D84">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25BDAD">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单位</w:t>
            </w:r>
          </w:p>
        </w:tc>
        <w:tc>
          <w:tcPr>
            <w:tcW w:w="160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350F60">
            <w:pPr>
              <w:keepNext w:val="0"/>
              <w:keepLines w:val="0"/>
              <w:widowControl/>
              <w:suppressLineNumbers w:val="0"/>
              <w:jc w:val="center"/>
              <w:textAlignment w:val="center"/>
              <w:rPr>
                <w:rFonts w:hint="eastAsia" w:ascii="宋体" w:hAnsi="宋体" w:eastAsia="宋体" w:cs="宋体"/>
                <w:b/>
                <w:i w:val="0"/>
                <w:color w:val="auto"/>
                <w:kern w:val="0"/>
                <w:sz w:val="21"/>
                <w:szCs w:val="21"/>
                <w:highlight w:val="none"/>
                <w:u w:val="none"/>
                <w:lang w:val="en-US" w:eastAsia="zh-CN" w:bidi="ar"/>
              </w:rPr>
            </w:pPr>
            <w:r>
              <w:rPr>
                <w:rFonts w:hint="eastAsia" w:ascii="宋体" w:hAnsi="宋体" w:eastAsia="宋体" w:cs="宋体"/>
                <w:b/>
                <w:i w:val="0"/>
                <w:color w:val="auto"/>
                <w:kern w:val="0"/>
                <w:sz w:val="21"/>
                <w:szCs w:val="21"/>
                <w:highlight w:val="none"/>
                <w:u w:val="none"/>
                <w:lang w:val="en-US" w:eastAsia="zh-CN" w:bidi="ar"/>
              </w:rPr>
              <w:t>综合单价包干</w:t>
            </w:r>
          </w:p>
        </w:tc>
      </w:tr>
      <w:tr w14:paraId="1F484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restart"/>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25F002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一、</w:t>
            </w:r>
          </w:p>
        </w:tc>
        <w:tc>
          <w:tcPr>
            <w:tcW w:w="1300" w:type="dxa"/>
            <w:vMerge w:val="restart"/>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67C4D7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余热锅炉本体</w:t>
            </w:r>
          </w:p>
        </w:tc>
        <w:tc>
          <w:tcPr>
            <w:tcW w:w="1309" w:type="dxa"/>
            <w:tcBorders>
              <w:top w:val="nil"/>
              <w:left w:val="nil"/>
              <w:bottom w:val="single" w:color="000000" w:sz="4" w:space="0"/>
              <w:right w:val="single" w:color="000000" w:sz="4" w:space="0"/>
            </w:tcBorders>
            <w:shd w:val="clear" w:color="auto" w:fill="auto"/>
            <w:tcMar>
              <w:top w:w="10" w:type="dxa"/>
              <w:left w:w="10" w:type="dxa"/>
              <w:right w:w="10" w:type="dxa"/>
            </w:tcMar>
            <w:vAlign w:val="center"/>
          </w:tcPr>
          <w:p w14:paraId="0DD08CE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协助内检</w:t>
            </w:r>
          </w:p>
        </w:tc>
        <w:tc>
          <w:tcPr>
            <w:tcW w:w="2464"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BA4EE7">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1.协助内检工作，拆除保温、打磨及恢复，根据现场需要搭设脚手架；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59D75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1D5E02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7EDBE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0919EAEE">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76B1FBE1">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77710D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汽包</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9AB401">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2.检查和清理汽包内部的腐蚀和结垢；</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1EDC3A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B4C690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81DB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2AC02B0">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4410A56">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7C6EEA5">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0CE109">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3.检查汽水分离器及附件的完整性、严密性和固定情况；</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E5FD6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1047F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39E3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4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F381C6C">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CDDA0A5">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0BC4884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A7B82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4.检查内部进水管、事故放水管、取样管、下降管、加药管、排污管、各水位计、压力表接口腐蚀，污垢，裂纹及焊口磨损并恢复；</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56CA3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6062B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F0B1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0ED1754">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0B8C1F2D">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08E6965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水冷系统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767762">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5.打开联箱手孔或割下封头、检查清理腐蚀、结垢；</w:t>
            </w:r>
          </w:p>
        </w:tc>
        <w:tc>
          <w:tcPr>
            <w:tcW w:w="1155" w:type="dxa"/>
            <w:tcBorders>
              <w:top w:val="nil"/>
              <w:left w:val="nil"/>
              <w:bottom w:val="nil"/>
              <w:right w:val="nil"/>
            </w:tcBorders>
            <w:shd w:val="clear" w:color="auto" w:fill="auto"/>
            <w:noWrap/>
            <w:tcMar>
              <w:top w:w="10" w:type="dxa"/>
              <w:left w:w="10" w:type="dxa"/>
              <w:right w:w="10" w:type="dxa"/>
            </w:tcMar>
            <w:vAlign w:val="center"/>
          </w:tcPr>
          <w:p w14:paraId="50AFAFF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128D81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EB5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D9249B3">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9EF22DF">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4CC1D3D">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CFEA6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6.更换管子，每根管子长度6米以内，含检查管子外壁磨损、胀粗，变形和损伤，割管检查水冷壁管内部状况；（每根超过6米的按比例结算）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C4FDD5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935BE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3914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81077FD">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7AF0E2EB">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C39C436">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59C3A6A">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7.防磨瓦更换（按实际更换比例结算）；</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D42DC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A2A00A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1D1D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0A7288F7">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0A4846D">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306E57B">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BBBFC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8.蒸发器整组更换（含拆除、包括施工需要搭设各类的架子及平台）；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24C5C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E42DA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726E7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3AA767E">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51644FD">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039E7C64">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2E0677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9.第一通道搭钢管架至炉顶（不含前拱、后拱工作面）；</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32317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7EB91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4E89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A07FCCC">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C19932B">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5E098AE">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C1576A">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10.第二通道搭钢管架至炉顶；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6B890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410568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A355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C84E07A">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2448787">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43DFA34">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813A9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11.第三烟道搭钢管架至炉顶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E8DAD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1A2BE8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9A2B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0F904689">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0A23A993">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88BD5A8">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047208">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12.水平烟道搭钢管架至炉顶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0EDD2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45EF7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4209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0515A88">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4CBA5BE">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EE7A15A">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22AAA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13.管子检查测厚</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D9DB5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FEC6C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66EE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0FEA0E4A">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EC8A516">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1648F6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过热器系统</w:t>
            </w: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1B75A273">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14.打开联箱手孔或割下封头，检查并清理内部；</w:t>
            </w:r>
          </w:p>
        </w:tc>
        <w:tc>
          <w:tcPr>
            <w:tcW w:w="1155" w:type="dxa"/>
            <w:tcBorders>
              <w:top w:val="nil"/>
              <w:left w:val="nil"/>
              <w:bottom w:val="nil"/>
              <w:right w:val="nil"/>
            </w:tcBorders>
            <w:shd w:val="clear" w:color="auto" w:fill="auto"/>
            <w:noWrap/>
            <w:tcMar>
              <w:top w:w="10" w:type="dxa"/>
              <w:left w:w="10" w:type="dxa"/>
              <w:right w:w="10" w:type="dxa"/>
            </w:tcMar>
            <w:vAlign w:val="center"/>
          </w:tcPr>
          <w:p w14:paraId="33609AB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02F697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5F4C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2231866">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1A54083">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2DD0E111">
            <w:pPr>
              <w:jc w:val="center"/>
              <w:rPr>
                <w:rFonts w:hint="eastAsia" w:ascii="宋体" w:hAnsi="宋体" w:eastAsia="宋体" w:cs="宋体"/>
                <w:i w:val="0"/>
                <w:color w:val="auto"/>
                <w:sz w:val="21"/>
                <w:szCs w:val="21"/>
                <w:highlight w:val="none"/>
                <w:u w:val="none"/>
              </w:rPr>
            </w:pPr>
          </w:p>
        </w:tc>
        <w:tc>
          <w:tcPr>
            <w:tcW w:w="2464" w:type="dxa"/>
            <w:tcBorders>
              <w:top w:val="nil"/>
              <w:left w:val="nil"/>
              <w:bottom w:val="nil"/>
              <w:right w:val="nil"/>
            </w:tcBorders>
            <w:shd w:val="clear" w:color="auto" w:fill="auto"/>
            <w:noWrap/>
            <w:tcMar>
              <w:top w:w="10" w:type="dxa"/>
              <w:left w:w="10" w:type="dxa"/>
              <w:right w:w="10" w:type="dxa"/>
            </w:tcMar>
            <w:vAlign w:val="center"/>
          </w:tcPr>
          <w:p w14:paraId="22D4ECE6">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15.更换管子，每根管子长度6米以内；（每根超过6米的按比例结算）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D6704D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409A6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AAAF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ABECDFF">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E76584C">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0C11D93">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C7F416F">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16.整组更换过热器（含拆除、包括施工需要搭设各类的架子及平台）；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6BEA0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B43B0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6FCD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F9C7055">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6CDE044">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2DF84D58">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F1A7D7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17.整排更换过热器支座或管卡；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E8F3C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元/排</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73C960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3A9E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0764297">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73B4AFF3">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5A403FD1">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96BE68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18.防磨瓦更换（按实际更换比例结算）；</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39556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4200F4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DEBA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1641A437">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6E656DF">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B75E919">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B6BCF85">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19.割管检查；</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1C2C62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84B19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94FF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2D61569">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39A1DCBC">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134609D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FF49CEB">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20.检查管子磨损、胀粗、弯曲情况；</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25E45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240E1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8C9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090494D">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8D2C87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0E15588E">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6EA4198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21.管子检查测厚</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48014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364F8C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08A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798D818">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46D1AA08">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03F4925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省煤器及联箱</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60CCBA">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22.打开联箱手孔或割下封头，检查腐蚀结垢，清理内部；</w:t>
            </w:r>
          </w:p>
        </w:tc>
        <w:tc>
          <w:tcPr>
            <w:tcW w:w="1155" w:type="dxa"/>
            <w:tcBorders>
              <w:top w:val="nil"/>
              <w:left w:val="nil"/>
              <w:bottom w:val="nil"/>
              <w:right w:val="nil"/>
            </w:tcBorders>
            <w:shd w:val="clear" w:color="auto" w:fill="auto"/>
            <w:noWrap/>
            <w:tcMar>
              <w:top w:w="10" w:type="dxa"/>
              <w:left w:w="10" w:type="dxa"/>
              <w:right w:w="10" w:type="dxa"/>
            </w:tcMar>
            <w:vAlign w:val="center"/>
          </w:tcPr>
          <w:p w14:paraId="4EB30F2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F77F9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DE7B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CABE777">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7169B225">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7F1BEC45">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FB7CB2">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23.更换管子，每根管子长度6米以内；（每根超过6米的按比例结算）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BA16B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CF8792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0613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36B8952F">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14CA943">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9748E95">
            <w:pPr>
              <w:jc w:val="center"/>
              <w:rPr>
                <w:rFonts w:hint="eastAsia" w:ascii="宋体" w:hAnsi="宋体" w:eastAsia="宋体" w:cs="宋体"/>
                <w:i w:val="0"/>
                <w:color w:val="auto"/>
                <w:sz w:val="21"/>
                <w:szCs w:val="21"/>
                <w:highlight w:val="none"/>
                <w:u w:val="none"/>
              </w:rPr>
            </w:pPr>
          </w:p>
        </w:tc>
        <w:tc>
          <w:tcPr>
            <w:tcW w:w="2464" w:type="dxa"/>
            <w:tcBorders>
              <w:top w:val="nil"/>
              <w:left w:val="nil"/>
              <w:bottom w:val="nil"/>
              <w:right w:val="nil"/>
            </w:tcBorders>
            <w:shd w:val="clear" w:color="auto" w:fill="auto"/>
            <w:noWrap/>
            <w:tcMar>
              <w:top w:w="10" w:type="dxa"/>
              <w:left w:w="10" w:type="dxa"/>
              <w:right w:w="10" w:type="dxa"/>
            </w:tcMar>
            <w:vAlign w:val="center"/>
          </w:tcPr>
          <w:p w14:paraId="354EE1B4">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24.整组更换省煤器（含拆除、包括施工需要搭设各类的架子及平台）；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F5DF9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EF06C4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A563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0AF3342A">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0F4520BD">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0047C907">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67957C4">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25.整排更换省煤器支座或管卡；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58255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元/排</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6E84C9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4344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11B4061D">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CB82850">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6A3D6C1F">
            <w:pPr>
              <w:jc w:val="center"/>
              <w:rPr>
                <w:rFonts w:hint="eastAsia" w:ascii="宋体" w:hAnsi="宋体" w:eastAsia="宋体" w:cs="宋体"/>
                <w:i w:val="0"/>
                <w:color w:val="auto"/>
                <w:sz w:val="21"/>
                <w:szCs w:val="21"/>
                <w:highlight w:val="none"/>
                <w:u w:val="none"/>
              </w:rPr>
            </w:pPr>
          </w:p>
        </w:tc>
        <w:tc>
          <w:tcPr>
            <w:tcW w:w="2464" w:type="dxa"/>
            <w:tcBorders>
              <w:top w:val="nil"/>
              <w:left w:val="nil"/>
              <w:bottom w:val="nil"/>
              <w:right w:val="nil"/>
            </w:tcBorders>
            <w:shd w:val="clear" w:color="auto" w:fill="auto"/>
            <w:noWrap/>
            <w:tcMar>
              <w:top w:w="10" w:type="dxa"/>
              <w:left w:w="10" w:type="dxa"/>
              <w:right w:w="10" w:type="dxa"/>
            </w:tcMar>
            <w:vAlign w:val="center"/>
          </w:tcPr>
          <w:p w14:paraId="01855952">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26.防磨瓦更换（按实际更换比例结算）；</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E89DF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3FCAF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C1C3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95A1A14">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6260C1A">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252F6CE1">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BE7F74">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27.管子检查测厚；</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CFB41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77FC3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BAFC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0014779C">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4190051">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32A74F3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汽水系统</w:t>
            </w: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4F7EC7A5">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28.更换阀门或阀门更换垫子；（因更换阀门而更换垫片的不计垫片数）</w:t>
            </w:r>
          </w:p>
        </w:tc>
        <w:tc>
          <w:tcPr>
            <w:tcW w:w="1155" w:type="dxa"/>
            <w:tcBorders>
              <w:top w:val="nil"/>
              <w:left w:val="nil"/>
              <w:bottom w:val="nil"/>
              <w:right w:val="nil"/>
            </w:tcBorders>
            <w:shd w:val="clear" w:color="auto" w:fill="auto"/>
            <w:noWrap/>
            <w:tcMar>
              <w:top w:w="10" w:type="dxa"/>
              <w:left w:w="10" w:type="dxa"/>
              <w:right w:w="10" w:type="dxa"/>
            </w:tcMar>
            <w:vAlign w:val="center"/>
          </w:tcPr>
          <w:p w14:paraId="05A0710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4FF3B0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97AE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FB2BC68">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9575FF8">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F20C820">
            <w:pPr>
              <w:jc w:val="center"/>
              <w:rPr>
                <w:rFonts w:hint="eastAsia" w:ascii="宋体" w:hAnsi="宋体" w:eastAsia="宋体" w:cs="宋体"/>
                <w:i w:val="0"/>
                <w:color w:val="auto"/>
                <w:sz w:val="21"/>
                <w:szCs w:val="21"/>
                <w:highlight w:val="none"/>
                <w:u w:val="none"/>
              </w:rPr>
            </w:pPr>
          </w:p>
        </w:tc>
        <w:tc>
          <w:tcPr>
            <w:tcW w:w="2464" w:type="dxa"/>
            <w:tcBorders>
              <w:top w:val="nil"/>
              <w:left w:val="nil"/>
              <w:bottom w:val="nil"/>
              <w:right w:val="nil"/>
            </w:tcBorders>
            <w:shd w:val="clear" w:color="auto" w:fill="auto"/>
            <w:noWrap/>
            <w:tcMar>
              <w:top w:w="10" w:type="dxa"/>
              <w:left w:w="10" w:type="dxa"/>
              <w:right w:w="10" w:type="dxa"/>
            </w:tcMar>
            <w:vAlign w:val="center"/>
          </w:tcPr>
          <w:p w14:paraId="7A51C336">
            <w:pPr>
              <w:keepNext w:val="0"/>
              <w:keepLines w:val="0"/>
              <w:widowControl/>
              <w:suppressLineNumbers w:val="0"/>
              <w:jc w:val="both"/>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29.消除系统中的漏点；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4FA14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F1C69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4756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43E6E46C">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1A2292E6">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49D26AAB">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3E4EB08">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30.阀门添加或更换填料；</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63B96E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D3DE0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BED8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E3F323F">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0BD1C43">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noWrap/>
            <w:tcMar>
              <w:top w:w="10" w:type="dxa"/>
              <w:left w:w="10" w:type="dxa"/>
              <w:right w:w="10" w:type="dxa"/>
            </w:tcMar>
            <w:vAlign w:val="center"/>
          </w:tcPr>
          <w:p w14:paraId="70F42FC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6BD6746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31.过热器省煤器蛇形管支撑架调整</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AB578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14FED9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72F36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E55A267">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636AF377">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05FEA4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空气预热器</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3A8957">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32.打开联箱手孔或割下封头，检查腐蚀结垢，清理内部；</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1DE691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08DFB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4A8E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633EC342">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816F43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372D2B58">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85AD6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33.更换管子，每根管子长度6米以内；（每根超过6米的按比例结算）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56040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973DA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AE03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71E8D715">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082E3C52">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single" w:color="000000" w:sz="4" w:space="0"/>
              <w:right w:val="single" w:color="000000" w:sz="4" w:space="0"/>
            </w:tcBorders>
            <w:shd w:val="clear" w:color="auto" w:fill="auto"/>
            <w:tcMar>
              <w:top w:w="10" w:type="dxa"/>
              <w:left w:w="10" w:type="dxa"/>
              <w:right w:w="10" w:type="dxa"/>
            </w:tcMar>
            <w:vAlign w:val="center"/>
          </w:tcPr>
          <w:p w14:paraId="56341D9A">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AEFDEB">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34.整组更换蛇形管（含拆除、包括施工需要搭设各类的架子及平台）；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A6A51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26CEB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B5B8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861DC19">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7E4F4389">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nil"/>
              <w:bottom w:val="nil"/>
              <w:right w:val="single" w:color="000000" w:sz="4" w:space="0"/>
            </w:tcBorders>
            <w:shd w:val="clear" w:color="auto" w:fill="auto"/>
            <w:tcMar>
              <w:top w:w="10" w:type="dxa"/>
              <w:left w:w="10" w:type="dxa"/>
              <w:right w:w="10" w:type="dxa"/>
            </w:tcMar>
            <w:vAlign w:val="center"/>
          </w:tcPr>
          <w:p w14:paraId="34B2B6E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吹灰器</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2D6880">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35.提升阀更换；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981F3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88F703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95FB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BD150AD">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206A8AB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nil"/>
              <w:right w:val="single" w:color="000000" w:sz="4" w:space="0"/>
            </w:tcBorders>
            <w:shd w:val="clear" w:color="auto" w:fill="auto"/>
            <w:tcMar>
              <w:top w:w="10" w:type="dxa"/>
              <w:left w:w="10" w:type="dxa"/>
              <w:right w:w="10" w:type="dxa"/>
            </w:tcMar>
            <w:vAlign w:val="center"/>
          </w:tcPr>
          <w:p w14:paraId="16B7F91F">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F1E3C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36.长伸缩吹灰器更换外套管；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E18C7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BBC81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C351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270E515D">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D551F4F">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nil"/>
              <w:right w:val="single" w:color="000000" w:sz="4" w:space="0"/>
            </w:tcBorders>
            <w:shd w:val="clear" w:color="auto" w:fill="auto"/>
            <w:tcMar>
              <w:top w:w="10" w:type="dxa"/>
              <w:left w:w="10" w:type="dxa"/>
              <w:right w:w="10" w:type="dxa"/>
            </w:tcMar>
            <w:vAlign w:val="center"/>
          </w:tcPr>
          <w:p w14:paraId="6AA087DA">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6AF1CC">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37.半伸缩吹灰器更换外套管；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B8ED76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B4C512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D4E5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nil"/>
              <w:left w:val="single" w:color="000000" w:sz="4" w:space="0"/>
              <w:bottom w:val="nil"/>
              <w:right w:val="single" w:color="000000" w:sz="4" w:space="0"/>
            </w:tcBorders>
            <w:shd w:val="clear" w:color="auto" w:fill="auto"/>
            <w:noWrap/>
            <w:tcMar>
              <w:top w:w="10" w:type="dxa"/>
              <w:left w:w="10" w:type="dxa"/>
              <w:right w:w="10" w:type="dxa"/>
            </w:tcMar>
            <w:vAlign w:val="center"/>
          </w:tcPr>
          <w:p w14:paraId="59220B83">
            <w:pPr>
              <w:jc w:val="center"/>
              <w:rPr>
                <w:rFonts w:hint="eastAsia" w:ascii="宋体" w:hAnsi="宋体" w:eastAsia="宋体" w:cs="宋体"/>
                <w:i w:val="0"/>
                <w:color w:val="auto"/>
                <w:sz w:val="21"/>
                <w:szCs w:val="21"/>
                <w:highlight w:val="none"/>
                <w:u w:val="none"/>
              </w:rPr>
            </w:pPr>
          </w:p>
        </w:tc>
        <w:tc>
          <w:tcPr>
            <w:tcW w:w="1300" w:type="dxa"/>
            <w:vMerge w:val="continue"/>
            <w:tcBorders>
              <w:top w:val="nil"/>
              <w:left w:val="single" w:color="000000" w:sz="4" w:space="0"/>
              <w:bottom w:val="nil"/>
              <w:right w:val="single" w:color="000000" w:sz="4" w:space="0"/>
            </w:tcBorders>
            <w:shd w:val="clear" w:color="auto" w:fill="auto"/>
            <w:tcMar>
              <w:top w:w="10" w:type="dxa"/>
              <w:left w:w="10" w:type="dxa"/>
              <w:right w:w="10" w:type="dxa"/>
            </w:tcMar>
            <w:vAlign w:val="center"/>
          </w:tcPr>
          <w:p w14:paraId="586ECEE0">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nil"/>
              <w:bottom w:val="nil"/>
              <w:right w:val="single" w:color="000000" w:sz="4" w:space="0"/>
            </w:tcBorders>
            <w:shd w:val="clear" w:color="auto" w:fill="auto"/>
            <w:tcMar>
              <w:top w:w="10" w:type="dxa"/>
              <w:left w:w="10" w:type="dxa"/>
              <w:right w:w="10" w:type="dxa"/>
            </w:tcMar>
            <w:vAlign w:val="center"/>
          </w:tcPr>
          <w:p w14:paraId="1EC0216E">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0F0F2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38.更换吹灰器电机或密封风机减速电机；</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85A09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A04695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5B11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36E68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二、</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CDAA9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焚烧炉</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BE326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给料系统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15E647">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39.落料口防磨钢板更换（含措施费、作业平台）；</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029E1C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16311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5523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D3774A">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BF18DE">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FB2ED0">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EC4F6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40.给料小车铸件或耐磨铁更换（按需更换；若因更换需要拆除其他铸件，其他铸件不再另行计费）；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7D77A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BFD31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DC07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15871F">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61D0CD">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9342ED">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E854BA">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41.给料小车滑座更换；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08AAB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63C103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6C31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BCC7DDD">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3F9330">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BE2836">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1CAB34">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42.给料小车底部铜滑板更换；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04719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1ECB1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E471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DF92C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534F8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25F30A">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576FBA">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43.整台炉前拱保护附件更换</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4A501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A4F64F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4437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323767">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2E9C0C">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ADE43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驱动液压缸更换</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7A304A">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44.液压缸本体密封油封更换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97161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BCE2A3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5B1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E21F5D">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7CC3EF">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D66D97">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96C1C0">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45.液压缸整体更换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267BAC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9F8DBE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C50C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F87CAB">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5E09E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51393">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8D632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46.摇臂连接驱动梁的销轴拆除或驱动梁拉杆支撑轴承更换；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D2CF4E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6E8162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0FBA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0ADC93D">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C282E4">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776C41">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1D5AAF">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47.液压缸油管更换；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F795E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85AAB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25DB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B85AC9">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0BB3C5">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52BE6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炉排系统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76BA7F">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48.拉杆导向轮更换（单个驱动轮底座为一组）；</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2BCCA0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46E3D3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AB0E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CA9C85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51E4F3">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CBF683">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F89EA8">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49.密封盒铜块更换；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875826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5EEE4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6105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4671A43">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EE714D">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376447">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BB3AB4">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50.炉排片或铸件更换；（按需更换；若因更换需要拆除其他铸件或炉排，其他铸件或炉排不再另行计费）</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D6D5B1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57C23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F3E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B49358">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1FB1E4">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F37403">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59EA91">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51.托辊更换；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9D4A5B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DF1FA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B9CD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175AD6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F79FAA">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2ACAAF">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52A451">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52.导向轮更换；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C0858A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92955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1F2E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DC284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5527B8">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C3F1B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风室刮板机/水平烟道输灰刮板机</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481E15">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53.刮板机链条更换；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921173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A546F2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D1F8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1408AE7">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312CC6">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20C62D">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146E51">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54.刮板机上、下耐磨条更换；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71A68D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BB0A9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0A14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464F35">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67E3A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CB2F84">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F5EFB7">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55.刮板机头轮及轴承更换（仅换轴承按50%计）；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6D354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B4D66E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7B0E0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7A413F">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212F3D">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9C3445">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C5F31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56.刮板机尾轮及轴承更换（仅换轴承按50%计）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823ED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94ED01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DC5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37BD16D">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658271">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9BC18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D879D8">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57.减速机更换；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FA760F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4A1FFA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9DC8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834F40">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CC24FA2">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E56F0C">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C32D7B">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58.刮板机下料溜管更换；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B7C638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86A5C7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4779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3EED65D">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3CD8B">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AFE60A">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8E8ECA1">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59.气动翻板阀轴承消缺、更换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27910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9BD1E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F99A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378AD13">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987151">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74B61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除渣机</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AA6F3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60.除渣机更换耐磨侧板</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A4BB15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5DF1BE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6F75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94566C">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4763FB">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BE721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02AC3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61.除渣机更换耐磨底板</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4453D6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4F7D1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8B06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0201AA7">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9CD1FA">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0947DF">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4007CA">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62. 除渣机更换大轴、大轴承及推头轴承更换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9288D8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元/轴</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EF4516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D072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117C94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三、</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82CE3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尾气系统</w:t>
            </w: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9489C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反应塔</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D10F2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63.内部重做防腐（按防腐面积比例结算）；</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4E846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2FF05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3E96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D1B3B92">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187941">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B27A3C">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73F148">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64.反应塔内筒清灰；</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4A437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BE06F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BC6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251D19">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C413DC">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6FFF7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A86B080">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65.反应塔内部搭钢管架；</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869B2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07C106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0A8C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360FD2A">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EF473C">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78DF1F">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8093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66.雾化盘更换；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41FA76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B0BA20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74544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04787B">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3291D1">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D3D6EC">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24A78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67.刮板机链条更换；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0D759D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981BD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9277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C6AF11">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AC1D7E">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B43DD7">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99C5B4">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68.刮板机耐磨条更换；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56EB77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125B8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E08E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D15214F">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5D5A896">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549CBD8">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29798">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69.刮板机头轮及轴承更换（仅换轴承按50%计）；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DF9C42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20D64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1AE5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EED5B9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98442E">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85B76C">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BFA570">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70.刮板机尾轮及轴承更换（仅换轴承按50%计）；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F05B47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8251C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77109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AF93DC">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6B078B">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5778E60">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217E0F">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71.卸灰阀整体更换；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70AC5D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4A71C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35AD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164E7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86454B">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5DE66E">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778A3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72.破碎机整体更换；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CC4F83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520603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3F67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D8445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FD6DA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C46FA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FD434A">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73.破碎机轴承更换；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18723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0594CB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47EC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C948F2">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AD8386">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2109D6">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F7D32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74.减速机更换；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552CAB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004186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1E1C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D1E9AB">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E693B9">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71588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布袋除尘器</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3DF0C6F">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75.更换布袋笼骨（含布袋间距调整）；</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91DD71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元/套</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F1AE1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BC1B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89F77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AD90AA">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433310">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01118C">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76.清洁室重做防腐；（按防腐面积比例结算）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FE552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112B3C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2B9A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460A8B3">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1BD110">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016CB8">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E10BC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77.烟道内部重做防腐；（按防腐面积比例结算）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F82B78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D4AFA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816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194B248">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1BB5742">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6AFBCCE">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10AF02">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78.脉冲阀膜片更换；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110BB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BFD729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D976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E6A7697">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B9E6CA">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341137">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BE1126">
            <w:pPr>
              <w:keepNext w:val="0"/>
              <w:keepLines w:val="0"/>
              <w:widowControl/>
              <w:suppressLineNumbers w:val="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79、密封板下保温棉更换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3965BE0">
            <w:pPr>
              <w:keepNext w:val="0"/>
              <w:keepLines w:val="0"/>
              <w:widowControl/>
              <w:suppressLineNumbers w:val="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元/仓</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58A612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72BF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17DC91C">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D78A5F">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F688EB">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CCA74B">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80.气动阀更换；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3A40CD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F63ED4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131C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B5AAFEC">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D93C2C">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A2AE3C">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B09E72">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81.卸灰阀整体更换；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8F3984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270104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8E5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35E10A">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89FC2">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3AAB1A">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2DEDE5">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82.提升阀及清洁仓盖板密封垫更换；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2C175B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元/个</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F50C6F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77DE8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6E6F602">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88110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CC50A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1C1B39">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83.刮板机链条更换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3E5D3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69206C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19D4E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1C24FF1">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A79BC1">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4942A2">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C54E95">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84.刮板机耐磨条更换；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780F6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E7739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91AD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076090">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01CE02">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D8CCD8">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F5200C">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85.刮板机头轮及轴承更换（仅换轴承按50%计）；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3FE66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6AFAF4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499C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B1D157">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645B79">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2AE054">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69D501">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86.刮板机尾轮及轴承更换（仅换轴承按50%计）；</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F116D3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4D45C8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2968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F826A4D">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17E27D">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450A2F">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4A6C15">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87.减速机更换；</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3168A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元/组</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FFAE01">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D8A4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620292C">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AC9A19">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B598B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湿法系统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76081F">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88.开内部检查、管道检查、喷嘴装复；</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36D94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04F564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B81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B1097D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0E21AE">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A52D00">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0430AF">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89.板式换热器清洗；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B6B369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1BD288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8863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02E885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C8AC5F">
            <w:pPr>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88DBD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GGH1/GGH2</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80D5FE">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90.开人孔内部检查、清理积灰；</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1C1E1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C0FDA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F063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B519507">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F62E3E">
            <w:pPr>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DA34B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SCR系统</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952C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91.SCR设备系统开人孔检查、清理积灰检查。密封风机加热器检查维护、保养。</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AE3C5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65DF0F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0C143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085741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四、</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CE08F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烟风系统</w:t>
            </w: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E20EEA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其他</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AAA61D">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92.烟风系统中所有跑冒滴漏处理；</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EE274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091224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6D3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7F1B72D">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5BAAF3">
            <w:pPr>
              <w:jc w:val="center"/>
              <w:rPr>
                <w:rFonts w:hint="eastAsia" w:ascii="宋体" w:hAnsi="宋体" w:eastAsia="宋体" w:cs="宋体"/>
                <w:i w:val="0"/>
                <w:color w:val="auto"/>
                <w:sz w:val="21"/>
                <w:szCs w:val="21"/>
                <w:highlight w:val="none"/>
                <w:u w:val="none"/>
              </w:rPr>
            </w:pPr>
          </w:p>
        </w:tc>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E316A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各类风机</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833465">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93.靠背轮中心复查并重新调整；</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303E39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E293E8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3FF56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1F9949">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1A18B0">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A7696F">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41BBDB">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94.各类风机更换主轴承（引风机除外）；</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217CC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63F6ED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2A8F9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F31B24">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D9728D">
            <w:pPr>
              <w:jc w:val="center"/>
              <w:rPr>
                <w:rFonts w:hint="eastAsia" w:ascii="宋体" w:hAnsi="宋体" w:eastAsia="宋体" w:cs="宋体"/>
                <w:i w:val="0"/>
                <w:color w:val="auto"/>
                <w:sz w:val="21"/>
                <w:szCs w:val="21"/>
                <w:highlight w:val="none"/>
                <w:u w:val="none"/>
              </w:rPr>
            </w:pPr>
          </w:p>
        </w:tc>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15748F">
            <w:pPr>
              <w:jc w:val="center"/>
              <w:rPr>
                <w:rFonts w:hint="eastAsia" w:ascii="宋体" w:hAnsi="宋体" w:eastAsia="宋体" w:cs="宋体"/>
                <w:i w:val="0"/>
                <w:color w:val="auto"/>
                <w:sz w:val="21"/>
                <w:szCs w:val="21"/>
                <w:highlight w:val="none"/>
                <w:u w:val="none"/>
              </w:rPr>
            </w:pP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C64156">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95.引风机更换主轴承；</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A6A161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8D4D4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9690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0824BA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五、</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93AF5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保温防腐</w:t>
            </w: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87E57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修补保温</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E797E0">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96.修补保温；</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0B8D9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97C9D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E876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4E9ACF1">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DB22A0">
            <w:pPr>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FF975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补刷残缺油漆</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807C30">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97.补刷残缺油漆；</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B25F70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670CA2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5C4FE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0E274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六、</w:t>
            </w:r>
          </w:p>
        </w:tc>
        <w:tc>
          <w:tcPr>
            <w:tcW w:w="130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54CE7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检查门</w:t>
            </w: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11B46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腐蚀严重的门类更换或修复，按实际发生结算</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764961">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98.腐蚀严重的门类更换或修复，按实际发生结算；</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CCC02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元/扇门</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E1D3B6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AF5B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vMerge w:val="restart"/>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0264D63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七、</w:t>
            </w:r>
          </w:p>
        </w:tc>
        <w:tc>
          <w:tcPr>
            <w:tcW w:w="1300" w:type="dxa"/>
            <w:vMerge w:val="restart"/>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6DA07F3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清灰及放灰</w:t>
            </w: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65BF3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受热面清灰</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13F7BD2">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lang w:val="en-US"/>
              </w:rPr>
            </w:pPr>
            <w:r>
              <w:rPr>
                <w:rFonts w:hint="eastAsia" w:ascii="宋体" w:hAnsi="宋体" w:eastAsia="宋体" w:cs="宋体"/>
                <w:i w:val="0"/>
                <w:color w:val="auto"/>
                <w:kern w:val="0"/>
                <w:sz w:val="21"/>
                <w:szCs w:val="21"/>
                <w:highlight w:val="none"/>
                <w:u w:val="none"/>
                <w:lang w:val="en-US" w:eastAsia="zh-CN" w:bidi="ar"/>
              </w:rPr>
              <w:t>99.受热面（1、2、3烟道，水平烟道、空预器）清灰及放灰；一通道</w:t>
            </w:r>
            <w:r>
              <w:rPr>
                <w:rFonts w:hint="eastAsia" w:ascii="宋体" w:hAnsi="宋体" w:cs="宋体"/>
                <w:i w:val="0"/>
                <w:color w:val="auto"/>
                <w:kern w:val="0"/>
                <w:sz w:val="21"/>
                <w:szCs w:val="21"/>
                <w:highlight w:val="none"/>
                <w:u w:val="none"/>
                <w:lang w:val="en-US" w:eastAsia="zh-CN" w:bidi="ar"/>
              </w:rPr>
              <w:t>具备机械清焦作业设备及能力（按甲方指令选择清焦方式）</w:t>
            </w:r>
            <w:r>
              <w:rPr>
                <w:rFonts w:hint="eastAsia" w:ascii="宋体" w:hAnsi="宋体" w:eastAsia="宋体" w:cs="宋体"/>
                <w:i w:val="0"/>
                <w:color w:val="auto"/>
                <w:kern w:val="0"/>
                <w:sz w:val="21"/>
                <w:szCs w:val="21"/>
                <w:highlight w:val="none"/>
                <w:u w:val="none"/>
                <w:lang w:val="en-US" w:eastAsia="zh-CN" w:bidi="ar"/>
              </w:rPr>
              <w:t>。</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5A5483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元/烟道</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F6B89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396B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491" w:type="dxa"/>
            <w:vMerge w:val="continue"/>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0865F613">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7FD31D47">
            <w:pPr>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7FE8D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受热面喷砂</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10D77B">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100.受热面（1、2、3烟道，水平烟道、空预器）喷砂；</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EEFA1D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元/烟道</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B31918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5F23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33600D5A">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33D09AA3">
            <w:pPr>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1D949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反应塔锥斗、破碎机清灰及放灰</w:t>
            </w:r>
          </w:p>
        </w:tc>
        <w:tc>
          <w:tcPr>
            <w:tcW w:w="246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C7768B">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101.反应塔锥斗、破碎机清灰及放灰；</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06A04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BFD5D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6CCC9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vMerge w:val="continue"/>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5E8160FC">
            <w:pPr>
              <w:jc w:val="center"/>
              <w:rPr>
                <w:rFonts w:hint="eastAsia" w:ascii="宋体" w:hAnsi="宋体" w:eastAsia="宋体" w:cs="宋体"/>
                <w:i w:val="0"/>
                <w:color w:val="auto"/>
                <w:sz w:val="21"/>
                <w:szCs w:val="21"/>
                <w:highlight w:val="none"/>
                <w:u w:val="none"/>
              </w:rPr>
            </w:pPr>
          </w:p>
        </w:tc>
        <w:tc>
          <w:tcPr>
            <w:tcW w:w="1300" w:type="dxa"/>
            <w:vMerge w:val="continue"/>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5959D3D7">
            <w:pPr>
              <w:jc w:val="center"/>
              <w:rPr>
                <w:rFonts w:hint="eastAsia" w:ascii="宋体" w:hAnsi="宋体" w:eastAsia="宋体" w:cs="宋体"/>
                <w:i w:val="0"/>
                <w:color w:val="auto"/>
                <w:sz w:val="21"/>
                <w:szCs w:val="21"/>
                <w:highlight w:val="none"/>
                <w:u w:val="none"/>
              </w:rPr>
            </w:pPr>
          </w:p>
        </w:tc>
        <w:tc>
          <w:tcPr>
            <w:tcW w:w="1309"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1D6D1B32">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布袋除尘器主路进口及灰斗清灰放灰</w:t>
            </w:r>
          </w:p>
        </w:tc>
        <w:tc>
          <w:tcPr>
            <w:tcW w:w="2464"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5C7EBCA0">
            <w:pPr>
              <w:keepNext w:val="0"/>
              <w:keepLines w:val="0"/>
              <w:widowControl/>
              <w:suppressLineNumbers w:val="0"/>
              <w:jc w:val="left"/>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102.布袋除尘器主路进口及灰斗清灰放灰。</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DCF17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5C084D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r>
      <w:tr w14:paraId="490C8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0" w:hRule="atLeast"/>
        </w:trPr>
        <w:tc>
          <w:tcPr>
            <w:tcW w:w="491" w:type="dxa"/>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354E7CC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八、</w:t>
            </w:r>
          </w:p>
        </w:tc>
        <w:tc>
          <w:tcPr>
            <w:tcW w:w="1300"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54D7AD6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炉外脚手架</w:t>
            </w:r>
          </w:p>
        </w:tc>
        <w:tc>
          <w:tcPr>
            <w:tcW w:w="1309"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745A1E89">
            <w:pPr>
              <w:keepNext w:val="0"/>
              <w:keepLines w:val="0"/>
              <w:widowControl/>
              <w:suppressLineNumbers w:val="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炉外脚手架搭设（含溜槽竖井及灰斗）</w:t>
            </w:r>
          </w:p>
        </w:tc>
        <w:tc>
          <w:tcPr>
            <w:tcW w:w="2464"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12D24530">
            <w:pPr>
              <w:widowControl/>
              <w:adjustRightInd/>
              <w:snapToGrid/>
              <w:spacing w:line="240" w:lineRule="auto"/>
              <w:jc w:val="left"/>
              <w:textAlignment w:val="center"/>
              <w:rPr>
                <w:rFonts w:hint="eastAsia" w:ascii="宋体" w:hAnsi="宋体" w:eastAsia="宋体" w:cs="宋体"/>
                <w:i w:val="0"/>
                <w:iCs w:val="0"/>
                <w:color w:val="auto"/>
                <w:kern w:val="0"/>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rPr>
              <w:t>103. 卡扣采用金属卡扣牢固可靠，严禁用铁丝、塑料带捆绑代替。</w:t>
            </w:r>
          </w:p>
          <w:p w14:paraId="75A4C3F4">
            <w:pPr>
              <w:keepNext w:val="0"/>
              <w:keepLines w:val="0"/>
              <w:widowControl/>
              <w:suppressLineNumbers w:val="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rPr>
              <w:t>2. 符合《电业安全工作规程》（热力和机械部分）的脚手架安装和使用要求。</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4C4E86">
            <w:pPr>
              <w:keepNext w:val="0"/>
              <w:keepLines w:val="0"/>
              <w:widowControl/>
              <w:suppressLineNumbers w:val="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元/立方</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9CA9E47">
            <w:pPr>
              <w:keepNext w:val="0"/>
              <w:keepLines w:val="0"/>
              <w:widowControl/>
              <w:suppressLineNumbers w:val="0"/>
              <w:jc w:val="center"/>
              <w:textAlignment w:val="center"/>
              <w:rPr>
                <w:rFonts w:hint="eastAsia" w:ascii="宋体" w:hAnsi="宋体" w:eastAsia="宋体" w:cs="宋体"/>
                <w:i w:val="0"/>
                <w:color w:val="auto"/>
                <w:kern w:val="0"/>
                <w:sz w:val="21"/>
                <w:szCs w:val="21"/>
                <w:highlight w:val="none"/>
                <w:u w:val="none"/>
                <w:lang w:val="en-US" w:eastAsia="zh-CN" w:bidi="ar"/>
              </w:rPr>
            </w:pPr>
          </w:p>
        </w:tc>
      </w:tr>
      <w:tr w14:paraId="76E94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0" w:hRule="atLeast"/>
        </w:trPr>
        <w:tc>
          <w:tcPr>
            <w:tcW w:w="491" w:type="dxa"/>
            <w:tcBorders>
              <w:top w:val="single" w:color="000000" w:sz="4" w:space="0"/>
              <w:left w:val="single" w:color="000000" w:sz="4" w:space="0"/>
              <w:bottom w:val="nil"/>
              <w:right w:val="single" w:color="000000" w:sz="4" w:space="0"/>
            </w:tcBorders>
            <w:shd w:val="clear" w:color="auto" w:fill="auto"/>
            <w:noWrap/>
            <w:tcMar>
              <w:top w:w="10" w:type="dxa"/>
              <w:left w:w="10" w:type="dxa"/>
              <w:right w:w="10" w:type="dxa"/>
            </w:tcMar>
            <w:vAlign w:val="center"/>
          </w:tcPr>
          <w:p w14:paraId="24BC19D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九、</w:t>
            </w:r>
          </w:p>
        </w:tc>
        <w:tc>
          <w:tcPr>
            <w:tcW w:w="1300"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3812BDB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bidi="ar-SA"/>
              </w:rPr>
            </w:pPr>
            <w:r>
              <w:rPr>
                <w:rFonts w:hint="eastAsia" w:ascii="宋体" w:hAnsi="宋体" w:eastAsia="宋体" w:cs="宋体"/>
                <w:i w:val="0"/>
                <w:color w:val="auto"/>
                <w:sz w:val="21"/>
                <w:szCs w:val="21"/>
                <w:highlight w:val="none"/>
                <w:u w:val="none"/>
                <w:lang w:val="en-US" w:eastAsia="zh-CN"/>
              </w:rPr>
              <w:t>大修安全文明施工措施费</w:t>
            </w:r>
          </w:p>
        </w:tc>
        <w:tc>
          <w:tcPr>
            <w:tcW w:w="1309"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479A278C">
            <w:pPr>
              <w:keepNext w:val="0"/>
              <w:keepLines w:val="0"/>
              <w:widowControl/>
              <w:suppressLineNumbers w:val="0"/>
              <w:jc w:val="left"/>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大修安全文明施工措施费</w:t>
            </w:r>
          </w:p>
        </w:tc>
        <w:tc>
          <w:tcPr>
            <w:tcW w:w="2464"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1BB87D18">
            <w:pPr>
              <w:keepNext w:val="0"/>
              <w:keepLines w:val="0"/>
              <w:widowControl/>
              <w:suppressLineNumbers w:val="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104、包括但不限于设置施工围挡及警示标识，材料定置堆放，废料及时清运，采取降尘降噪措施，炉间防护及防尘措施要求使用防火毯，每日工完场清（不符合要求按比例扣除或进行考核）</w:t>
            </w:r>
          </w:p>
        </w:tc>
        <w:tc>
          <w:tcPr>
            <w:tcW w:w="1155" w:type="dxa"/>
            <w:tcBorders>
              <w:top w:val="nil"/>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3F652CB">
            <w:pPr>
              <w:keepNext w:val="0"/>
              <w:keepLines w:val="0"/>
              <w:widowControl/>
              <w:suppressLineNumbers w:val="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元/台</w:t>
            </w:r>
          </w:p>
        </w:tc>
        <w:tc>
          <w:tcPr>
            <w:tcW w:w="1607"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18BD519">
            <w:pPr>
              <w:keepNext w:val="0"/>
              <w:keepLines w:val="0"/>
              <w:widowControl/>
              <w:suppressLineNumbers w:val="0"/>
              <w:jc w:val="center"/>
              <w:textAlignment w:val="center"/>
              <w:rPr>
                <w:rFonts w:hint="eastAsia" w:ascii="宋体" w:hAnsi="宋体" w:eastAsia="宋体" w:cs="宋体"/>
                <w:i w:val="0"/>
                <w:color w:val="auto"/>
                <w:kern w:val="0"/>
                <w:sz w:val="21"/>
                <w:szCs w:val="21"/>
                <w:highlight w:val="none"/>
                <w:u w:val="none"/>
                <w:lang w:val="en-US" w:eastAsia="zh-CN" w:bidi="ar"/>
              </w:rPr>
            </w:pPr>
          </w:p>
        </w:tc>
      </w:tr>
      <w:tr w14:paraId="5E232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5564" w:type="dxa"/>
            <w:gridSpan w:val="4"/>
            <w:tcBorders>
              <w:top w:val="single" w:color="000000" w:sz="4" w:space="0"/>
              <w:left w:val="single" w:color="000000" w:sz="4" w:space="0"/>
              <w:bottom w:val="nil"/>
              <w:right w:val="single" w:color="000000" w:sz="4" w:space="0"/>
            </w:tcBorders>
            <w:shd w:val="clear" w:color="auto" w:fill="D9E1F4"/>
            <w:noWrap/>
            <w:tcMar>
              <w:top w:w="10" w:type="dxa"/>
              <w:left w:w="10" w:type="dxa"/>
              <w:right w:w="10" w:type="dxa"/>
            </w:tcMar>
            <w:vAlign w:val="center"/>
          </w:tcPr>
          <w:p w14:paraId="25158194">
            <w:pPr>
              <w:keepNext w:val="0"/>
              <w:keepLines w:val="0"/>
              <w:widowControl/>
              <w:suppressLineNumbers w:val="0"/>
              <w:jc w:val="center"/>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特殊项目合计</w:t>
            </w:r>
          </w:p>
        </w:tc>
        <w:tc>
          <w:tcPr>
            <w:tcW w:w="1155" w:type="dxa"/>
            <w:tcBorders>
              <w:top w:val="single" w:color="000000" w:sz="4" w:space="0"/>
              <w:left w:val="single" w:color="000000" w:sz="4" w:space="0"/>
              <w:bottom w:val="nil"/>
              <w:right w:val="single" w:color="000000" w:sz="4" w:space="0"/>
            </w:tcBorders>
            <w:shd w:val="clear" w:color="auto" w:fill="D9E1F4"/>
            <w:noWrap/>
            <w:tcMar>
              <w:top w:w="10" w:type="dxa"/>
              <w:left w:w="10" w:type="dxa"/>
              <w:right w:w="10" w:type="dxa"/>
            </w:tcMar>
            <w:vAlign w:val="center"/>
          </w:tcPr>
          <w:p w14:paraId="5FB61D6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元/含税</w:t>
            </w:r>
          </w:p>
        </w:tc>
        <w:tc>
          <w:tcPr>
            <w:tcW w:w="1607" w:type="dxa"/>
            <w:tcBorders>
              <w:top w:val="single" w:color="000000" w:sz="4" w:space="0"/>
              <w:left w:val="single" w:color="000000" w:sz="4" w:space="0"/>
              <w:bottom w:val="single" w:color="000000" w:sz="4" w:space="0"/>
              <w:right w:val="single" w:color="000000" w:sz="4" w:space="0"/>
            </w:tcBorders>
            <w:shd w:val="clear" w:color="auto" w:fill="D9E1F4"/>
            <w:noWrap/>
            <w:tcMar>
              <w:top w:w="10" w:type="dxa"/>
              <w:left w:w="10" w:type="dxa"/>
              <w:right w:w="10" w:type="dxa"/>
            </w:tcMar>
            <w:vAlign w:val="center"/>
          </w:tcPr>
          <w:p w14:paraId="3736F491">
            <w:pPr>
              <w:keepNext w:val="0"/>
              <w:keepLines w:val="0"/>
              <w:widowControl/>
              <w:suppressLineNumbers w:val="0"/>
              <w:jc w:val="center"/>
              <w:textAlignment w:val="center"/>
              <w:rPr>
                <w:rFonts w:hint="eastAsia" w:ascii="宋体" w:hAnsi="宋体" w:eastAsia="宋体" w:cs="宋体"/>
                <w:b/>
                <w:i w:val="0"/>
                <w:color w:val="auto"/>
                <w:sz w:val="21"/>
                <w:szCs w:val="21"/>
                <w:highlight w:val="none"/>
                <w:u w:val="none"/>
              </w:rPr>
            </w:pPr>
          </w:p>
        </w:tc>
      </w:tr>
      <w:tr w14:paraId="395EF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40" w:hRule="atLeast"/>
        </w:trPr>
        <w:tc>
          <w:tcPr>
            <w:tcW w:w="8326" w:type="dxa"/>
            <w:gridSpan w:val="6"/>
            <w:tcBorders>
              <w:top w:val="single" w:color="000000" w:sz="4" w:space="0"/>
              <w:left w:val="single" w:color="000000" w:sz="4" w:space="0"/>
              <w:bottom w:val="single" w:color="000000" w:sz="4" w:space="0"/>
              <w:right w:val="single" w:color="000000" w:sz="4" w:space="0"/>
            </w:tcBorders>
            <w:shd w:val="clear" w:color="auto" w:fill="D9E1F4"/>
            <w:tcMar>
              <w:top w:w="10" w:type="dxa"/>
              <w:left w:w="10" w:type="dxa"/>
              <w:right w:w="10" w:type="dxa"/>
            </w:tcMar>
            <w:vAlign w:val="center"/>
          </w:tcPr>
          <w:p w14:paraId="739C509C">
            <w:pPr>
              <w:keepNext w:val="0"/>
              <w:keepLines w:val="0"/>
              <w:widowControl/>
              <w:suppressLineNumbers w:val="0"/>
              <w:jc w:val="left"/>
              <w:textAlignment w:val="center"/>
              <w:rPr>
                <w:rFonts w:hint="eastAsia" w:ascii="宋体" w:hAnsi="宋体" w:eastAsia="宋体" w:cs="宋体"/>
                <w:b/>
                <w:i w:val="0"/>
                <w:color w:val="auto"/>
                <w:sz w:val="21"/>
                <w:szCs w:val="21"/>
                <w:highlight w:val="none"/>
                <w:u w:val="none"/>
              </w:rPr>
            </w:pPr>
            <w:r>
              <w:rPr>
                <w:rFonts w:hint="eastAsia" w:ascii="宋体" w:hAnsi="宋体" w:eastAsia="宋体" w:cs="宋体"/>
                <w:b/>
                <w:i w:val="0"/>
                <w:color w:val="auto"/>
                <w:kern w:val="0"/>
                <w:sz w:val="21"/>
                <w:szCs w:val="21"/>
                <w:highlight w:val="none"/>
                <w:u w:val="none"/>
                <w:lang w:val="en-US" w:eastAsia="zh-CN" w:bidi="ar"/>
              </w:rPr>
              <w:t>注：因施工需要但表格中没有罗列出来的项目参照技改工程或相近单项综合单价进行结算。</w:t>
            </w:r>
          </w:p>
        </w:tc>
      </w:tr>
    </w:tbl>
    <w:p w14:paraId="544D11F0">
      <w:pPr>
        <w:pStyle w:val="10"/>
        <w:ind w:left="0"/>
        <w:rPr>
          <w:rFonts w:hint="eastAsia" w:ascii="宋体" w:hAnsi="宋体" w:eastAsia="宋体" w:cs="宋体"/>
          <w:color w:val="auto"/>
          <w:highlight w:val="none"/>
        </w:rPr>
      </w:pPr>
    </w:p>
    <w:p w14:paraId="41DD750E">
      <w:pPr>
        <w:bidi w:val="0"/>
        <w:rPr>
          <w:rFonts w:hint="eastAsia" w:ascii="宋体" w:hAnsi="宋体" w:eastAsia="宋体" w:cs="宋体"/>
          <w:color w:val="auto"/>
          <w:highlight w:val="none"/>
          <w:lang w:val="zh-CN"/>
        </w:rPr>
      </w:pPr>
      <w:bookmarkStart w:id="276" w:name="_Toc7474"/>
      <w:r>
        <w:rPr>
          <w:rFonts w:hint="eastAsia" w:ascii="宋体" w:hAnsi="宋体" w:eastAsia="宋体" w:cs="宋体"/>
          <w:color w:val="auto"/>
          <w:highlight w:val="none"/>
          <w:lang w:val="zh-CN"/>
        </w:rPr>
        <w:t>（3）日常配合项目及单项综合单价包干价格：</w:t>
      </w:r>
      <w:bookmarkEnd w:id="276"/>
    </w:p>
    <w:tbl>
      <w:tblPr>
        <w:tblStyle w:val="31"/>
        <w:tblW w:w="82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62"/>
        <w:gridCol w:w="1384"/>
        <w:gridCol w:w="3018"/>
        <w:gridCol w:w="1414"/>
        <w:gridCol w:w="1614"/>
      </w:tblGrid>
      <w:tr w14:paraId="096B1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A6DA0F">
            <w:pPr>
              <w:keepNext w:val="0"/>
              <w:keepLines w:val="0"/>
              <w:widowControl/>
              <w:suppressLineNumbers w:val="0"/>
              <w:jc w:val="center"/>
              <w:textAlignment w:val="center"/>
              <w:rPr>
                <w:rFonts w:hint="eastAsia" w:ascii="宋体" w:hAnsi="宋体" w:eastAsia="宋体" w:cs="宋体"/>
                <w:b/>
                <w:i w:val="0"/>
                <w:color w:val="auto"/>
                <w:sz w:val="20"/>
                <w:szCs w:val="20"/>
                <w:highlight w:val="none"/>
                <w:u w:val="none"/>
              </w:rPr>
            </w:pPr>
            <w:bookmarkStart w:id="277" w:name="OLE_LINK2"/>
            <w:r>
              <w:rPr>
                <w:rFonts w:hint="eastAsia" w:ascii="宋体" w:hAnsi="宋体" w:eastAsia="宋体" w:cs="宋体"/>
                <w:b/>
                <w:i w:val="0"/>
                <w:color w:val="auto"/>
                <w:kern w:val="0"/>
                <w:sz w:val="20"/>
                <w:szCs w:val="20"/>
                <w:highlight w:val="none"/>
                <w:u w:val="none"/>
                <w:lang w:val="en-US" w:eastAsia="zh-CN" w:bidi="ar"/>
              </w:rPr>
              <w:t>序号</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C5D94E">
            <w:pPr>
              <w:keepNext w:val="0"/>
              <w:keepLines w:val="0"/>
              <w:widowControl/>
              <w:suppressLineNumbers w:val="0"/>
              <w:jc w:val="center"/>
              <w:textAlignment w:val="center"/>
              <w:rPr>
                <w:rFonts w:hint="eastAsia" w:ascii="宋体" w:hAnsi="宋体" w:eastAsia="宋体" w:cs="宋体"/>
                <w:b/>
                <w:i w:val="0"/>
                <w:color w:val="auto"/>
                <w:sz w:val="20"/>
                <w:szCs w:val="20"/>
                <w:highlight w:val="none"/>
                <w:u w:val="none"/>
              </w:rPr>
            </w:pPr>
            <w:r>
              <w:rPr>
                <w:rFonts w:hint="eastAsia" w:ascii="宋体" w:hAnsi="宋体" w:eastAsia="宋体" w:cs="宋体"/>
                <w:b/>
                <w:i w:val="0"/>
                <w:color w:val="auto"/>
                <w:kern w:val="0"/>
                <w:sz w:val="20"/>
                <w:szCs w:val="20"/>
                <w:highlight w:val="none"/>
                <w:u w:val="none"/>
                <w:lang w:val="en-US" w:eastAsia="zh-CN" w:bidi="ar"/>
              </w:rPr>
              <w:t>系统名称</w:t>
            </w:r>
          </w:p>
        </w:tc>
        <w:tc>
          <w:tcPr>
            <w:tcW w:w="3018"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710450">
            <w:pPr>
              <w:keepNext w:val="0"/>
              <w:keepLines w:val="0"/>
              <w:widowControl/>
              <w:suppressLineNumbers w:val="0"/>
              <w:jc w:val="center"/>
              <w:textAlignment w:val="center"/>
              <w:rPr>
                <w:rFonts w:hint="eastAsia" w:ascii="宋体" w:hAnsi="宋体" w:eastAsia="宋体" w:cs="宋体"/>
                <w:b/>
                <w:i w:val="0"/>
                <w:color w:val="auto"/>
                <w:sz w:val="20"/>
                <w:szCs w:val="20"/>
                <w:highlight w:val="none"/>
                <w:u w:val="none"/>
              </w:rPr>
            </w:pPr>
            <w:r>
              <w:rPr>
                <w:rFonts w:hint="eastAsia" w:ascii="宋体" w:hAnsi="宋体" w:eastAsia="宋体" w:cs="宋体"/>
                <w:b/>
                <w:i w:val="0"/>
                <w:color w:val="auto"/>
                <w:kern w:val="0"/>
                <w:sz w:val="20"/>
                <w:szCs w:val="20"/>
                <w:highlight w:val="none"/>
                <w:u w:val="none"/>
                <w:lang w:val="en-US" w:eastAsia="zh-CN" w:bidi="ar"/>
              </w:rPr>
              <w:t>内容</w:t>
            </w:r>
          </w:p>
        </w:tc>
        <w:tc>
          <w:tcPr>
            <w:tcW w:w="1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291354">
            <w:pPr>
              <w:keepNext w:val="0"/>
              <w:keepLines w:val="0"/>
              <w:widowControl/>
              <w:suppressLineNumbers w:val="0"/>
              <w:jc w:val="center"/>
              <w:textAlignment w:val="center"/>
              <w:rPr>
                <w:rFonts w:hint="eastAsia" w:ascii="宋体" w:hAnsi="宋体" w:eastAsia="宋体" w:cs="宋体"/>
                <w:b/>
                <w:i w:val="0"/>
                <w:color w:val="auto"/>
                <w:sz w:val="20"/>
                <w:szCs w:val="20"/>
                <w:highlight w:val="none"/>
                <w:u w:val="none"/>
              </w:rPr>
            </w:pPr>
            <w:r>
              <w:rPr>
                <w:rFonts w:hint="eastAsia" w:ascii="宋体" w:hAnsi="宋体" w:eastAsia="宋体" w:cs="宋体"/>
                <w:b/>
                <w:i w:val="0"/>
                <w:color w:val="auto"/>
                <w:kern w:val="0"/>
                <w:sz w:val="20"/>
                <w:szCs w:val="20"/>
                <w:highlight w:val="none"/>
                <w:u w:val="none"/>
                <w:lang w:val="en-US" w:eastAsia="zh-CN" w:bidi="ar"/>
              </w:rPr>
              <w:t>单位</w:t>
            </w:r>
          </w:p>
        </w:tc>
        <w:tc>
          <w:tcPr>
            <w:tcW w:w="1614"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2F6F9611">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日常配合项目单项价格（元）</w:t>
            </w:r>
          </w:p>
        </w:tc>
      </w:tr>
      <w:tr w14:paraId="5235C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C41C5F">
            <w:pPr>
              <w:jc w:val="center"/>
              <w:rPr>
                <w:rFonts w:hint="eastAsia" w:ascii="宋体" w:hAnsi="宋体" w:eastAsia="宋体" w:cs="宋体"/>
                <w:b/>
                <w:i w:val="0"/>
                <w:color w:val="auto"/>
                <w:sz w:val="20"/>
                <w:szCs w:val="20"/>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0A5745">
            <w:pPr>
              <w:jc w:val="center"/>
              <w:rPr>
                <w:rFonts w:hint="eastAsia" w:ascii="宋体" w:hAnsi="宋体" w:eastAsia="宋体" w:cs="宋体"/>
                <w:b/>
                <w:i w:val="0"/>
                <w:color w:val="auto"/>
                <w:sz w:val="20"/>
                <w:szCs w:val="20"/>
                <w:highlight w:val="none"/>
                <w:u w:val="none"/>
              </w:rPr>
            </w:pPr>
          </w:p>
        </w:tc>
        <w:tc>
          <w:tcPr>
            <w:tcW w:w="30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D5442A">
            <w:pPr>
              <w:jc w:val="center"/>
              <w:rPr>
                <w:rFonts w:hint="eastAsia" w:ascii="宋体" w:hAnsi="宋体" w:eastAsia="宋体" w:cs="宋体"/>
                <w:b/>
                <w:i w:val="0"/>
                <w:color w:val="auto"/>
                <w:sz w:val="20"/>
                <w:szCs w:val="20"/>
                <w:highlight w:val="none"/>
                <w:u w:val="none"/>
              </w:rPr>
            </w:pPr>
          </w:p>
        </w:tc>
        <w:tc>
          <w:tcPr>
            <w:tcW w:w="1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5B4F1F">
            <w:pPr>
              <w:jc w:val="center"/>
              <w:rPr>
                <w:rFonts w:hint="eastAsia" w:ascii="宋体" w:hAnsi="宋体" w:eastAsia="宋体" w:cs="宋体"/>
                <w:b/>
                <w:i w:val="0"/>
                <w:color w:val="auto"/>
                <w:sz w:val="20"/>
                <w:szCs w:val="20"/>
                <w:highlight w:val="none"/>
                <w:u w:val="none"/>
              </w:rPr>
            </w:pPr>
          </w:p>
        </w:tc>
        <w:tc>
          <w:tcPr>
            <w:tcW w:w="1614" w:type="dxa"/>
            <w:vMerge w:val="restart"/>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14:paraId="67315813">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1"/>
                <w:szCs w:val="21"/>
                <w:highlight w:val="none"/>
                <w:u w:val="none"/>
                <w:lang w:val="en-US" w:eastAsia="zh-CN" w:bidi="ar"/>
              </w:rPr>
              <w:t>综合单价</w:t>
            </w:r>
            <w:r>
              <w:rPr>
                <w:rFonts w:hint="eastAsia" w:ascii="宋体" w:hAnsi="宋体" w:cs="宋体"/>
                <w:b/>
                <w:i w:val="0"/>
                <w:color w:val="auto"/>
                <w:kern w:val="0"/>
                <w:sz w:val="21"/>
                <w:szCs w:val="21"/>
                <w:highlight w:val="none"/>
                <w:u w:val="none"/>
                <w:lang w:val="en-US" w:eastAsia="zh-CN" w:bidi="ar"/>
              </w:rPr>
              <w:t>包干</w:t>
            </w:r>
          </w:p>
        </w:tc>
      </w:tr>
      <w:tr w14:paraId="417E5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2"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C30AAB">
            <w:pPr>
              <w:jc w:val="center"/>
              <w:rPr>
                <w:rFonts w:hint="eastAsia" w:ascii="宋体" w:hAnsi="宋体" w:eastAsia="宋体" w:cs="宋体"/>
                <w:b/>
                <w:i w:val="0"/>
                <w:color w:val="auto"/>
                <w:sz w:val="20"/>
                <w:szCs w:val="20"/>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841AA7">
            <w:pPr>
              <w:jc w:val="center"/>
              <w:rPr>
                <w:rFonts w:hint="eastAsia" w:ascii="宋体" w:hAnsi="宋体" w:eastAsia="宋体" w:cs="宋体"/>
                <w:b/>
                <w:i w:val="0"/>
                <w:color w:val="auto"/>
                <w:sz w:val="20"/>
                <w:szCs w:val="20"/>
                <w:highlight w:val="none"/>
                <w:u w:val="none"/>
              </w:rPr>
            </w:pPr>
          </w:p>
        </w:tc>
        <w:tc>
          <w:tcPr>
            <w:tcW w:w="30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1E0811">
            <w:pPr>
              <w:jc w:val="center"/>
              <w:rPr>
                <w:rFonts w:hint="eastAsia" w:ascii="宋体" w:hAnsi="宋体" w:eastAsia="宋体" w:cs="宋体"/>
                <w:b/>
                <w:i w:val="0"/>
                <w:color w:val="auto"/>
                <w:sz w:val="20"/>
                <w:szCs w:val="20"/>
                <w:highlight w:val="none"/>
                <w:u w:val="none"/>
              </w:rPr>
            </w:pPr>
          </w:p>
        </w:tc>
        <w:tc>
          <w:tcPr>
            <w:tcW w:w="1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D1D3BF">
            <w:pPr>
              <w:jc w:val="center"/>
              <w:rPr>
                <w:rFonts w:hint="eastAsia" w:ascii="宋体" w:hAnsi="宋体" w:eastAsia="宋体" w:cs="宋体"/>
                <w:b/>
                <w:i w:val="0"/>
                <w:color w:val="auto"/>
                <w:sz w:val="20"/>
                <w:szCs w:val="20"/>
                <w:highlight w:val="none"/>
                <w:u w:val="none"/>
              </w:rPr>
            </w:pPr>
          </w:p>
        </w:tc>
        <w:tc>
          <w:tcPr>
            <w:tcW w:w="1614" w:type="dxa"/>
            <w:vMerge w:val="continue"/>
            <w:tcBorders>
              <w:top w:val="single" w:color="000000" w:sz="4" w:space="0"/>
              <w:left w:val="nil"/>
              <w:bottom w:val="single" w:color="000000" w:sz="4" w:space="0"/>
              <w:right w:val="single" w:color="auto" w:sz="4" w:space="0"/>
            </w:tcBorders>
            <w:shd w:val="clear" w:color="auto" w:fill="auto"/>
            <w:tcMar>
              <w:top w:w="10" w:type="dxa"/>
              <w:left w:w="10" w:type="dxa"/>
              <w:right w:w="10" w:type="dxa"/>
            </w:tcMar>
            <w:vAlign w:val="center"/>
          </w:tcPr>
          <w:p w14:paraId="5FF53CAB">
            <w:pPr>
              <w:jc w:val="center"/>
              <w:rPr>
                <w:rFonts w:hint="eastAsia" w:ascii="宋体" w:hAnsi="宋体" w:eastAsia="宋体" w:cs="宋体"/>
                <w:b/>
                <w:i w:val="0"/>
                <w:color w:val="auto"/>
                <w:sz w:val="22"/>
                <w:szCs w:val="22"/>
                <w:highlight w:val="none"/>
                <w:u w:val="none"/>
              </w:rPr>
            </w:pPr>
          </w:p>
        </w:tc>
      </w:tr>
      <w:tr w14:paraId="3E2D0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18FCA9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5169F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空气预热器</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D48680">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内部清理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AB2B403">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52083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60615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A1D6426">
            <w:pPr>
              <w:jc w:val="center"/>
              <w:rPr>
                <w:rFonts w:hint="eastAsia" w:ascii="宋体" w:hAnsi="宋体" w:eastAsia="宋体" w:cs="宋体"/>
                <w:i w:val="0"/>
                <w:color w:val="auto"/>
                <w:sz w:val="22"/>
                <w:szCs w:val="22"/>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CB9CB34">
            <w:pPr>
              <w:jc w:val="center"/>
              <w:rPr>
                <w:rFonts w:hint="eastAsia" w:ascii="宋体" w:hAnsi="宋体" w:eastAsia="宋体" w:cs="宋体"/>
                <w:i w:val="0"/>
                <w:color w:val="auto"/>
                <w:sz w:val="22"/>
                <w:szCs w:val="22"/>
                <w:highlight w:val="none"/>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D6EF479">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漏点处理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A12685">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CF5CFE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21E4B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E2FB8B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C1FB97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出渣机</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1C1E193">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出渣机出口斜板清理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37B8AC">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C4E0BF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1003E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A261FBA">
            <w:pPr>
              <w:jc w:val="center"/>
              <w:rPr>
                <w:rFonts w:hint="eastAsia" w:ascii="宋体" w:hAnsi="宋体" w:eastAsia="宋体" w:cs="宋体"/>
                <w:i w:val="0"/>
                <w:color w:val="auto"/>
                <w:sz w:val="22"/>
                <w:szCs w:val="22"/>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2871FB">
            <w:pPr>
              <w:jc w:val="center"/>
              <w:rPr>
                <w:rFonts w:hint="eastAsia" w:ascii="宋体" w:hAnsi="宋体" w:eastAsia="宋体" w:cs="宋体"/>
                <w:i w:val="0"/>
                <w:color w:val="auto"/>
                <w:sz w:val="22"/>
                <w:szCs w:val="22"/>
                <w:highlight w:val="none"/>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5FADF7D">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渣库侧斜板挖机清理（需使用挖掘机）</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6A5676">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9880C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FBB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834CAF">
            <w:pPr>
              <w:jc w:val="center"/>
              <w:rPr>
                <w:rFonts w:hint="eastAsia" w:ascii="宋体" w:hAnsi="宋体" w:eastAsia="宋体" w:cs="宋体"/>
                <w:i w:val="0"/>
                <w:color w:val="auto"/>
                <w:sz w:val="22"/>
                <w:szCs w:val="22"/>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1C1363">
            <w:pPr>
              <w:jc w:val="center"/>
              <w:rPr>
                <w:rFonts w:hint="eastAsia" w:ascii="宋体" w:hAnsi="宋体" w:eastAsia="宋体" w:cs="宋体"/>
                <w:i w:val="0"/>
                <w:color w:val="auto"/>
                <w:sz w:val="22"/>
                <w:szCs w:val="22"/>
                <w:highlight w:val="none"/>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22B7AA7">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出渣机堵塞开人孔疏通清理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332807">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C14E9D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206DD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2E9F5B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710D50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风室</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6039E1F">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风室灰斗板结清理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2948D4">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个</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56B82A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F26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D571B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w:t>
            </w:r>
          </w:p>
        </w:tc>
        <w:tc>
          <w:tcPr>
            <w:tcW w:w="138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CDD37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锅炉水平烟道灰斗</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6538B6">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水平烟道灰斗堵塞清理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CFC1E6">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个</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FAC99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44F06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3BC2F3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D6E612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一次风系统</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77AB515">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一次风机消音器滤网清理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F641DA">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0F094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1C06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196580">
            <w:pPr>
              <w:jc w:val="center"/>
              <w:rPr>
                <w:rFonts w:hint="eastAsia" w:ascii="宋体" w:hAnsi="宋体" w:eastAsia="宋体" w:cs="宋体"/>
                <w:i w:val="0"/>
                <w:color w:val="auto"/>
                <w:sz w:val="22"/>
                <w:szCs w:val="22"/>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D4D60EA">
            <w:pPr>
              <w:jc w:val="center"/>
              <w:rPr>
                <w:rFonts w:hint="eastAsia" w:ascii="宋体" w:hAnsi="宋体" w:eastAsia="宋体" w:cs="宋体"/>
                <w:i w:val="0"/>
                <w:color w:val="auto"/>
                <w:sz w:val="22"/>
                <w:szCs w:val="22"/>
                <w:highlight w:val="none"/>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E19994C">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垃圾内一次风滤网清理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B042CC">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E747B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549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09C06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95AE61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余热锅炉</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5AFBE96">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水平烟道灰斗下灰管堵塞疏通</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8DB2BF">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6B2E6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29312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985BC3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7CB294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焚烧炉</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B9A847C">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风室灰斗下灰管堵塞疏通</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B2E746">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E8544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BC6F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0D973B7">
            <w:pPr>
              <w:jc w:val="center"/>
              <w:rPr>
                <w:rFonts w:hint="eastAsia" w:ascii="宋体" w:hAnsi="宋体" w:eastAsia="宋体" w:cs="宋体"/>
                <w:i w:val="0"/>
                <w:color w:val="auto"/>
                <w:sz w:val="22"/>
                <w:szCs w:val="22"/>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9900203">
            <w:pPr>
              <w:jc w:val="center"/>
              <w:rPr>
                <w:rFonts w:hint="eastAsia" w:ascii="宋体" w:hAnsi="宋体" w:eastAsia="宋体" w:cs="宋体"/>
                <w:i w:val="0"/>
                <w:color w:val="auto"/>
                <w:sz w:val="22"/>
                <w:szCs w:val="22"/>
                <w:highlight w:val="none"/>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0AAA281">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推料器下渗滤液母管疏通</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8905E8">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9B52B6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DC89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CCDE31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3F277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 xml:space="preserve"> 石灰浆制备</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0531B5B">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制备罐内沉积物清理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849216">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ED27D30">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47EEC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902B038">
            <w:pPr>
              <w:jc w:val="center"/>
              <w:rPr>
                <w:rFonts w:hint="eastAsia" w:ascii="宋体" w:hAnsi="宋体" w:eastAsia="宋体" w:cs="宋体"/>
                <w:i w:val="0"/>
                <w:color w:val="auto"/>
                <w:sz w:val="22"/>
                <w:szCs w:val="22"/>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FDB11FE">
            <w:pPr>
              <w:jc w:val="center"/>
              <w:rPr>
                <w:rFonts w:hint="eastAsia" w:ascii="宋体" w:hAnsi="宋体" w:eastAsia="宋体" w:cs="宋体"/>
                <w:i w:val="0"/>
                <w:color w:val="auto"/>
                <w:sz w:val="22"/>
                <w:szCs w:val="22"/>
                <w:highlight w:val="none"/>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90C0C0E">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储存罐内沉积物清理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451F3F">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841CD8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4D650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10B5EA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7F5DBD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除尘器灰斗</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2F12E58">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除尘器灰斗堵灰处理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6A1C74">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个</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62BFD0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712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DCF2FC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57E51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石灰浆系统</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4C3FDF3">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反应塔顶进石灰浆雾化器支路管道堵塞清理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4D8DBF">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CF96373">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346E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0EBD6E">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11</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79778E7">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卸料平台</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14B9193">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配合工业垃圾卸料（约30吨/车）</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3E93A04">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车</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3F3352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484A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BA05F1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12</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4485359">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渗滤液</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5EE8C7F">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超滤膜污堵，人工通膜</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FCEA67">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根</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38A1CE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6641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27CA7E8">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13</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202292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垃圾库27.5米平台</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DF0099">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污泥及垃圾清理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C4252F">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次</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1B2365B">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40D99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6FC8ED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14</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A2CA67A">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锅炉、汽水取样间</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D6CF7AF">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取样管、加药管查漏、焊接、包保温</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0A070E">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次</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9ADACD4">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4E553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0BED3EA2">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15</w:t>
            </w:r>
          </w:p>
        </w:tc>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2F73DDDF">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垃圾吊、渣吊</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8AE06D2">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更换抓斗电缆</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290C8F">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D8624C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06EE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AB5CFF6">
            <w:pPr>
              <w:jc w:val="center"/>
              <w:rPr>
                <w:rFonts w:hint="eastAsia" w:ascii="宋体" w:hAnsi="宋体" w:eastAsia="宋体" w:cs="宋体"/>
                <w:i w:val="0"/>
                <w:color w:val="auto"/>
                <w:sz w:val="22"/>
                <w:szCs w:val="22"/>
                <w:highlight w:val="none"/>
                <w:u w:val="none"/>
              </w:rPr>
            </w:pPr>
          </w:p>
        </w:tc>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4C1F292">
            <w:pPr>
              <w:jc w:val="center"/>
              <w:rPr>
                <w:rFonts w:hint="eastAsia" w:ascii="宋体" w:hAnsi="宋体" w:eastAsia="宋体" w:cs="宋体"/>
                <w:i w:val="0"/>
                <w:color w:val="auto"/>
                <w:sz w:val="22"/>
                <w:szCs w:val="22"/>
                <w:highlight w:val="none"/>
                <w:u w:val="none"/>
              </w:rPr>
            </w:pP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685E7CF4">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更换电缆滑车轮</w:t>
            </w:r>
          </w:p>
        </w:tc>
        <w:tc>
          <w:tcPr>
            <w:tcW w:w="141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715C63">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台</w:t>
            </w:r>
          </w:p>
        </w:tc>
        <w:tc>
          <w:tcPr>
            <w:tcW w:w="161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48E26465">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518A6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5AEF46C6">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16</w:t>
            </w:r>
          </w:p>
        </w:tc>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30D02891">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烟气</w:t>
            </w:r>
          </w:p>
        </w:tc>
        <w:tc>
          <w:tcPr>
            <w:tcW w:w="3018"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7F3762D5">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刮板机电加热器更换（含保温恢复）</w:t>
            </w:r>
          </w:p>
        </w:tc>
        <w:tc>
          <w:tcPr>
            <w:tcW w:w="1414"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ADE299F">
            <w:pPr>
              <w:keepNext w:val="0"/>
              <w:keepLines w:val="0"/>
              <w:widowControl/>
              <w:suppressLineNumbers w:val="0"/>
              <w:jc w:val="center"/>
              <w:textAlignment w:val="center"/>
              <w:rPr>
                <w:rFonts w:hint="eastAsia" w:ascii="宋体" w:hAnsi="宋体" w:eastAsia="宋体" w:cs="宋体"/>
                <w:i w:val="0"/>
                <w:color w:val="auto"/>
                <w:sz w:val="20"/>
                <w:szCs w:val="20"/>
                <w:highlight w:val="none"/>
                <w:u w:val="none"/>
              </w:rPr>
            </w:pPr>
            <w:r>
              <w:rPr>
                <w:rFonts w:hint="eastAsia" w:ascii="宋体" w:hAnsi="宋体" w:eastAsia="宋体" w:cs="宋体"/>
                <w:i w:val="0"/>
                <w:color w:val="auto"/>
                <w:kern w:val="0"/>
                <w:sz w:val="20"/>
                <w:szCs w:val="20"/>
                <w:highlight w:val="none"/>
                <w:u w:val="none"/>
                <w:lang w:val="en-US" w:eastAsia="zh-CN" w:bidi="ar"/>
              </w:rPr>
              <w:t>台</w:t>
            </w:r>
          </w:p>
        </w:tc>
        <w:tc>
          <w:tcPr>
            <w:tcW w:w="1614" w:type="dxa"/>
            <w:tcBorders>
              <w:top w:val="single" w:color="000000" w:sz="4" w:space="0"/>
              <w:left w:val="single" w:color="auto" w:sz="4" w:space="0"/>
              <w:bottom w:val="single" w:color="000000" w:sz="4" w:space="0"/>
              <w:right w:val="single" w:color="000000" w:sz="4" w:space="0"/>
            </w:tcBorders>
            <w:shd w:val="clear" w:color="auto" w:fill="auto"/>
            <w:noWrap/>
            <w:tcMar>
              <w:top w:w="10" w:type="dxa"/>
              <w:left w:w="10" w:type="dxa"/>
              <w:right w:w="10" w:type="dxa"/>
            </w:tcMar>
            <w:vAlign w:val="center"/>
          </w:tcPr>
          <w:p w14:paraId="525E955D">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p>
        </w:tc>
      </w:tr>
      <w:tr w14:paraId="0C976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0" w:hRule="atLeast"/>
        </w:trPr>
        <w:tc>
          <w:tcPr>
            <w:tcW w:w="526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14:paraId="1A057F94">
            <w:pPr>
              <w:jc w:val="center"/>
              <w:rPr>
                <w:rFonts w:hint="eastAsia" w:ascii="宋体" w:hAnsi="宋体" w:eastAsia="宋体" w:cs="宋体"/>
                <w:i w:val="0"/>
                <w:color w:val="auto"/>
                <w:sz w:val="22"/>
                <w:szCs w:val="22"/>
                <w:highlight w:val="none"/>
                <w:u w:val="none"/>
              </w:rPr>
            </w:pPr>
          </w:p>
        </w:tc>
        <w:tc>
          <w:tcPr>
            <w:tcW w:w="1414" w:type="dxa"/>
            <w:tcBorders>
              <w:top w:val="single" w:color="000000" w:sz="4" w:space="0"/>
              <w:left w:val="single" w:color="000000" w:sz="4" w:space="0"/>
              <w:bottom w:val="single" w:color="000000" w:sz="4" w:space="0"/>
              <w:right w:val="single" w:color="auto" w:sz="4" w:space="0"/>
            </w:tcBorders>
            <w:shd w:val="clear" w:color="auto" w:fill="auto"/>
            <w:noWrap/>
            <w:tcMar>
              <w:top w:w="10" w:type="dxa"/>
              <w:left w:w="10" w:type="dxa"/>
              <w:right w:w="10" w:type="dxa"/>
            </w:tcMar>
            <w:vAlign w:val="center"/>
          </w:tcPr>
          <w:p w14:paraId="1CC27A9C">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单价合计</w:t>
            </w:r>
          </w:p>
        </w:tc>
        <w:tc>
          <w:tcPr>
            <w:tcW w:w="1614" w:type="dxa"/>
            <w:tcBorders>
              <w:top w:val="single" w:color="000000" w:sz="4" w:space="0"/>
              <w:left w:val="single" w:color="auto" w:sz="4" w:space="0"/>
              <w:bottom w:val="single" w:color="000000" w:sz="4" w:space="0"/>
              <w:right w:val="single" w:color="000000" w:sz="4" w:space="0"/>
            </w:tcBorders>
            <w:shd w:val="clear" w:color="auto" w:fill="auto"/>
            <w:noWrap/>
            <w:tcMar>
              <w:top w:w="10" w:type="dxa"/>
              <w:left w:w="10" w:type="dxa"/>
              <w:right w:w="10" w:type="dxa"/>
            </w:tcMar>
            <w:vAlign w:val="center"/>
          </w:tcPr>
          <w:p w14:paraId="0FEB43F4">
            <w:pPr>
              <w:keepNext w:val="0"/>
              <w:keepLines w:val="0"/>
              <w:widowControl/>
              <w:suppressLineNumbers w:val="0"/>
              <w:jc w:val="right"/>
              <w:textAlignment w:val="center"/>
              <w:rPr>
                <w:rFonts w:hint="eastAsia" w:ascii="宋体" w:hAnsi="宋体" w:eastAsia="宋体" w:cs="宋体"/>
                <w:i w:val="0"/>
                <w:color w:val="auto"/>
                <w:kern w:val="0"/>
                <w:sz w:val="22"/>
                <w:szCs w:val="22"/>
                <w:highlight w:val="none"/>
                <w:u w:val="none"/>
                <w:lang w:val="en-US" w:eastAsia="zh-CN" w:bidi="ar"/>
              </w:rPr>
            </w:pPr>
          </w:p>
        </w:tc>
      </w:tr>
      <w:bookmarkEnd w:id="277"/>
    </w:tbl>
    <w:p w14:paraId="164C3608">
      <w:pPr>
        <w:pStyle w:val="10"/>
        <w:rPr>
          <w:rFonts w:hint="eastAsia" w:ascii="宋体" w:hAnsi="宋体" w:eastAsia="宋体" w:cs="宋体"/>
          <w:color w:val="auto"/>
          <w:highlight w:val="none"/>
          <w:lang w:val="zh-CN"/>
        </w:rPr>
      </w:pPr>
    </w:p>
    <w:p w14:paraId="32504159">
      <w:pPr>
        <w:rPr>
          <w:rFonts w:hint="eastAsia" w:ascii="宋体" w:hAnsi="宋体" w:eastAsia="宋体" w:cs="宋体"/>
          <w:b/>
          <w:bCs/>
          <w:color w:val="auto"/>
          <w:kern w:val="44"/>
          <w:szCs w:val="21"/>
          <w:highlight w:val="none"/>
          <w:lang w:val="zh-CN"/>
        </w:rPr>
      </w:pPr>
      <w:bookmarkStart w:id="278" w:name="_Toc4342"/>
      <w:r>
        <w:rPr>
          <w:rFonts w:hint="eastAsia" w:ascii="宋体" w:hAnsi="宋体" w:eastAsia="宋体" w:cs="宋体"/>
          <w:b/>
          <w:bCs/>
          <w:color w:val="auto"/>
          <w:kern w:val="44"/>
          <w:szCs w:val="21"/>
          <w:highlight w:val="none"/>
          <w:lang w:val="zh-CN"/>
        </w:rPr>
        <w:br w:type="page"/>
      </w:r>
    </w:p>
    <w:p w14:paraId="24112169">
      <w:pPr>
        <w:bidi w:val="0"/>
        <w:rPr>
          <w:rFonts w:hint="eastAsia" w:ascii="宋体" w:hAnsi="宋体" w:eastAsia="宋体" w:cs="宋体"/>
          <w:b/>
          <w:bCs/>
          <w:color w:val="auto"/>
          <w:kern w:val="44"/>
          <w:szCs w:val="21"/>
          <w:highlight w:val="none"/>
          <w:lang w:val="zh-CN"/>
        </w:rPr>
      </w:pPr>
      <w:r>
        <w:rPr>
          <w:rFonts w:hint="eastAsia" w:ascii="宋体" w:hAnsi="宋体" w:eastAsia="宋体" w:cs="宋体"/>
          <w:b/>
          <w:bCs/>
          <w:color w:val="auto"/>
          <w:kern w:val="44"/>
          <w:szCs w:val="21"/>
          <w:highlight w:val="none"/>
          <w:lang w:val="zh-CN"/>
        </w:rPr>
        <w:t>（4）小型技改工作分类（</w:t>
      </w:r>
      <w:r>
        <w:rPr>
          <w:rFonts w:hint="eastAsia" w:ascii="宋体" w:hAnsi="宋体" w:eastAsia="宋体" w:cs="宋体"/>
          <w:b/>
          <w:bCs/>
          <w:color w:val="auto"/>
          <w:kern w:val="44"/>
          <w:szCs w:val="21"/>
          <w:highlight w:val="none"/>
          <w:lang w:val="en-US" w:eastAsia="zh-CN"/>
        </w:rPr>
        <w:t>外判</w:t>
      </w:r>
      <w:r>
        <w:rPr>
          <w:rFonts w:hint="eastAsia" w:ascii="宋体" w:hAnsi="宋体" w:eastAsia="宋体" w:cs="宋体"/>
          <w:b/>
          <w:bCs/>
          <w:color w:val="auto"/>
          <w:kern w:val="44"/>
          <w:szCs w:val="21"/>
          <w:highlight w:val="none"/>
          <w:lang w:val="zh-CN"/>
        </w:rPr>
        <w:t>）及综合单价（</w:t>
      </w:r>
      <w:r>
        <w:rPr>
          <w:rFonts w:hint="eastAsia" w:ascii="宋体" w:hAnsi="宋体" w:eastAsia="宋体" w:cs="宋体"/>
          <w:b/>
          <w:bCs/>
          <w:color w:val="auto"/>
          <w:kern w:val="44"/>
          <w:szCs w:val="21"/>
          <w:highlight w:val="none"/>
          <w:lang w:val="en-US" w:eastAsia="zh-CN"/>
        </w:rPr>
        <w:t>按实际发生量结算</w:t>
      </w:r>
      <w:r>
        <w:rPr>
          <w:rFonts w:hint="eastAsia" w:ascii="宋体" w:hAnsi="宋体" w:eastAsia="宋体" w:cs="宋体"/>
          <w:b/>
          <w:bCs/>
          <w:color w:val="auto"/>
          <w:kern w:val="44"/>
          <w:szCs w:val="21"/>
          <w:highlight w:val="none"/>
          <w:lang w:val="zh-CN"/>
        </w:rPr>
        <w:t>）</w:t>
      </w:r>
      <w:bookmarkEnd w:id="278"/>
    </w:p>
    <w:tbl>
      <w:tblPr>
        <w:tblStyle w:val="31"/>
        <w:tblW w:w="8334" w:type="dxa"/>
        <w:tblInd w:w="0" w:type="dxa"/>
        <w:tblLayout w:type="fixed"/>
        <w:tblCellMar>
          <w:top w:w="15" w:type="dxa"/>
          <w:left w:w="15" w:type="dxa"/>
          <w:bottom w:w="15" w:type="dxa"/>
          <w:right w:w="15" w:type="dxa"/>
        </w:tblCellMar>
      </w:tblPr>
      <w:tblGrid>
        <w:gridCol w:w="3116"/>
        <w:gridCol w:w="5218"/>
      </w:tblGrid>
      <w:tr w14:paraId="607A9120">
        <w:tblPrEx>
          <w:tblCellMar>
            <w:top w:w="15" w:type="dxa"/>
            <w:left w:w="15" w:type="dxa"/>
            <w:bottom w:w="15" w:type="dxa"/>
            <w:right w:w="15" w:type="dxa"/>
          </w:tblCellMar>
        </w:tblPrEx>
        <w:trPr>
          <w:trHeight w:val="2142" w:hRule="atLeast"/>
        </w:trPr>
        <w:tc>
          <w:tcPr>
            <w:tcW w:w="3116" w:type="dxa"/>
            <w:tcBorders>
              <w:top w:val="single" w:color="auto" w:sz="4" w:space="0"/>
              <w:left w:val="single" w:color="auto" w:sz="4" w:space="0"/>
              <w:bottom w:val="single" w:color="auto" w:sz="4" w:space="0"/>
              <w:right w:val="single" w:color="auto" w:sz="4" w:space="0"/>
            </w:tcBorders>
            <w:noWrap w:val="0"/>
            <w:vAlign w:val="center"/>
          </w:tcPr>
          <w:p w14:paraId="5EF3BC24">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Ⅰ类： 一般作业用工 （</w:t>
            </w: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eastAsia="宋体" w:cs="宋体"/>
                <w:color w:val="auto"/>
                <w:kern w:val="0"/>
                <w:sz w:val="21"/>
                <w:szCs w:val="21"/>
                <w:highlight w:val="none"/>
                <w:lang w:bidi="ar"/>
              </w:rPr>
              <w:t>元/工日）</w:t>
            </w:r>
          </w:p>
        </w:tc>
        <w:tc>
          <w:tcPr>
            <w:tcW w:w="5218" w:type="dxa"/>
            <w:tcBorders>
              <w:top w:val="single" w:color="auto" w:sz="4" w:space="0"/>
              <w:left w:val="single" w:color="auto" w:sz="4" w:space="0"/>
              <w:bottom w:val="single" w:color="auto" w:sz="4" w:space="0"/>
              <w:right w:val="single" w:color="auto" w:sz="4" w:space="0"/>
            </w:tcBorders>
            <w:noWrap w:val="0"/>
            <w:vAlign w:val="center"/>
          </w:tcPr>
          <w:p w14:paraId="0EA93790">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包含且不限于非标器件的预制（包含下料，拼装，焊接），检修现场大件检修物料清理转运（含受限空间），设备检修工作中不在常规/特殊项范畴内的辅助用工；受热面压力管道及附属仪表接口、法兰焊接另以高压焊接作业用工单价核算。</w:t>
            </w:r>
          </w:p>
        </w:tc>
      </w:tr>
      <w:tr w14:paraId="0B811A81">
        <w:tblPrEx>
          <w:tblCellMar>
            <w:top w:w="15" w:type="dxa"/>
            <w:left w:w="15" w:type="dxa"/>
            <w:bottom w:w="15" w:type="dxa"/>
            <w:right w:w="15" w:type="dxa"/>
          </w:tblCellMar>
        </w:tblPrEx>
        <w:trPr>
          <w:trHeight w:val="1206" w:hRule="atLeast"/>
        </w:trPr>
        <w:tc>
          <w:tcPr>
            <w:tcW w:w="3116" w:type="dxa"/>
            <w:tcBorders>
              <w:top w:val="single" w:color="auto" w:sz="4" w:space="0"/>
              <w:left w:val="single" w:color="auto" w:sz="4" w:space="0"/>
              <w:bottom w:val="single" w:color="auto" w:sz="4" w:space="0"/>
              <w:right w:val="single" w:color="auto" w:sz="4" w:space="0"/>
            </w:tcBorders>
            <w:noWrap w:val="0"/>
            <w:vAlign w:val="center"/>
          </w:tcPr>
          <w:p w14:paraId="6109C107">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Ⅱ类：高压焊接及蜘蛛人高空作业用工（</w:t>
            </w: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eastAsia="宋体" w:cs="宋体"/>
                <w:color w:val="auto"/>
                <w:kern w:val="0"/>
                <w:sz w:val="21"/>
                <w:szCs w:val="21"/>
                <w:highlight w:val="none"/>
                <w:lang w:bidi="ar"/>
              </w:rPr>
              <w:t>元/工日）</w:t>
            </w:r>
          </w:p>
        </w:tc>
        <w:tc>
          <w:tcPr>
            <w:tcW w:w="5218" w:type="dxa"/>
            <w:tcBorders>
              <w:top w:val="single" w:color="auto" w:sz="4" w:space="0"/>
              <w:left w:val="single" w:color="auto" w:sz="4" w:space="0"/>
              <w:bottom w:val="single" w:color="auto" w:sz="4" w:space="0"/>
              <w:right w:val="single" w:color="auto" w:sz="4" w:space="0"/>
            </w:tcBorders>
            <w:noWrap w:val="0"/>
            <w:vAlign w:val="center"/>
          </w:tcPr>
          <w:p w14:paraId="542B7ECE">
            <w:pPr>
              <w:widowControl/>
              <w:jc w:val="left"/>
              <w:textAlignment w:val="center"/>
              <w:rPr>
                <w:rFonts w:hint="eastAsia" w:ascii="宋体" w:hAnsi="宋体" w:eastAsia="宋体" w:cs="宋体"/>
                <w:color w:val="auto"/>
                <w:kern w:val="0"/>
                <w:sz w:val="21"/>
                <w:szCs w:val="21"/>
                <w:highlight w:val="none"/>
                <w:lang w:eastAsia="zh-CN" w:bidi="ar"/>
              </w:rPr>
            </w:pPr>
            <w:r>
              <w:rPr>
                <w:rFonts w:hint="eastAsia" w:ascii="宋体" w:hAnsi="宋体" w:eastAsia="宋体" w:cs="宋体"/>
                <w:color w:val="auto"/>
                <w:kern w:val="0"/>
                <w:sz w:val="21"/>
                <w:szCs w:val="21"/>
                <w:highlight w:val="none"/>
                <w:lang w:bidi="ar"/>
              </w:rPr>
              <w:t>除常规/特殊项目检修工作以外的锅炉受热面管道容器管口、封头，附属仪表接口、法兰的焊接、蜘蛛人高空                                                                                                                                                                                                                                                                                                                                                                                                                                                                                                                                                                                                                                                                                                                                   作业用工，焊接工序过程中的其他人工以一般作业用工核算</w:t>
            </w:r>
            <w:r>
              <w:rPr>
                <w:rFonts w:hint="eastAsia" w:ascii="宋体" w:hAnsi="宋体" w:eastAsia="宋体" w:cs="宋体"/>
                <w:color w:val="auto"/>
                <w:kern w:val="0"/>
                <w:sz w:val="21"/>
                <w:szCs w:val="21"/>
                <w:highlight w:val="none"/>
                <w:lang w:eastAsia="zh-CN" w:bidi="ar"/>
              </w:rPr>
              <w:t>。</w:t>
            </w:r>
          </w:p>
        </w:tc>
      </w:tr>
    </w:tbl>
    <w:p w14:paraId="5611046A">
      <w:pPr>
        <w:keepNext w:val="0"/>
        <w:keepLines w:val="0"/>
        <w:widowControl/>
        <w:adjustRightInd/>
        <w:snapToGrid/>
        <w:spacing w:line="240" w:lineRule="auto"/>
        <w:ind w:left="0" w:firstLine="0" w:firstLineChars="0"/>
        <w:jc w:val="left"/>
        <w:outlineLvl w:val="9"/>
        <w:rPr>
          <w:rFonts w:hint="eastAsia" w:ascii="宋体" w:hAnsi="宋体" w:eastAsia="宋体" w:cs="宋体"/>
          <w:color w:val="auto"/>
          <w:highlight w:val="none"/>
          <w:lang w:val="zh-CN"/>
        </w:rPr>
      </w:pPr>
    </w:p>
    <w:p w14:paraId="00E55842">
      <w:pPr>
        <w:bidi w:val="0"/>
        <w:rPr>
          <w:rFonts w:hint="eastAsia" w:ascii="宋体" w:hAnsi="宋体" w:eastAsia="宋体" w:cs="宋体"/>
          <w:b/>
          <w:bCs/>
          <w:color w:val="auto"/>
          <w:kern w:val="44"/>
          <w:szCs w:val="21"/>
          <w:highlight w:val="none"/>
          <w:lang w:val="zh-CN"/>
        </w:rPr>
      </w:pPr>
      <w:bookmarkStart w:id="279" w:name="_Toc10415"/>
      <w:r>
        <w:rPr>
          <w:rFonts w:hint="eastAsia" w:ascii="宋体" w:hAnsi="宋体" w:eastAsia="宋体" w:cs="宋体"/>
          <w:b/>
          <w:bCs/>
          <w:color w:val="auto"/>
          <w:kern w:val="44"/>
          <w:szCs w:val="21"/>
          <w:highlight w:val="none"/>
          <w:lang w:val="zh-CN"/>
        </w:rPr>
        <w:t>（5）</w:t>
      </w:r>
      <w:r>
        <w:rPr>
          <w:rFonts w:hint="eastAsia" w:ascii="宋体" w:hAnsi="宋体" w:eastAsia="宋体" w:cs="宋体"/>
          <w:b/>
          <w:bCs/>
          <w:color w:val="auto"/>
          <w:kern w:val="44"/>
          <w:szCs w:val="21"/>
          <w:highlight w:val="none"/>
          <w:lang w:val="en-US" w:eastAsia="zh-CN"/>
        </w:rPr>
        <w:t>各系统配套电气热工仪表类施工（外判）综合单价</w:t>
      </w:r>
      <w:r>
        <w:rPr>
          <w:rFonts w:hint="eastAsia" w:ascii="宋体" w:hAnsi="宋体" w:eastAsia="宋体" w:cs="宋体"/>
          <w:b/>
          <w:bCs/>
          <w:color w:val="auto"/>
          <w:kern w:val="44"/>
          <w:szCs w:val="21"/>
          <w:highlight w:val="none"/>
          <w:lang w:val="zh-CN"/>
        </w:rPr>
        <w:t>（</w:t>
      </w:r>
      <w:r>
        <w:rPr>
          <w:rFonts w:hint="eastAsia" w:ascii="宋体" w:hAnsi="宋体" w:eastAsia="宋体" w:cs="宋体"/>
          <w:b/>
          <w:bCs/>
          <w:color w:val="auto"/>
          <w:kern w:val="44"/>
          <w:szCs w:val="21"/>
          <w:highlight w:val="none"/>
          <w:lang w:val="en-US" w:eastAsia="zh-CN"/>
        </w:rPr>
        <w:t>按实际发生量结算</w:t>
      </w:r>
      <w:r>
        <w:rPr>
          <w:rFonts w:hint="eastAsia" w:ascii="宋体" w:hAnsi="宋体" w:eastAsia="宋体" w:cs="宋体"/>
          <w:b/>
          <w:bCs/>
          <w:color w:val="auto"/>
          <w:kern w:val="44"/>
          <w:szCs w:val="21"/>
          <w:highlight w:val="none"/>
          <w:lang w:val="zh-CN"/>
        </w:rPr>
        <w:t>）</w:t>
      </w:r>
      <w:bookmarkEnd w:id="279"/>
    </w:p>
    <w:tbl>
      <w:tblPr>
        <w:tblStyle w:val="31"/>
        <w:tblW w:w="8334" w:type="dxa"/>
        <w:tblInd w:w="0" w:type="dxa"/>
        <w:tblLayout w:type="fixed"/>
        <w:tblCellMar>
          <w:top w:w="15" w:type="dxa"/>
          <w:left w:w="15" w:type="dxa"/>
          <w:bottom w:w="15" w:type="dxa"/>
          <w:right w:w="15" w:type="dxa"/>
        </w:tblCellMar>
      </w:tblPr>
      <w:tblGrid>
        <w:gridCol w:w="3116"/>
        <w:gridCol w:w="5218"/>
      </w:tblGrid>
      <w:tr w14:paraId="21ED19BD">
        <w:tblPrEx>
          <w:tblCellMar>
            <w:top w:w="15" w:type="dxa"/>
            <w:left w:w="15" w:type="dxa"/>
            <w:bottom w:w="15" w:type="dxa"/>
            <w:right w:w="15" w:type="dxa"/>
          </w:tblCellMar>
        </w:tblPrEx>
        <w:trPr>
          <w:trHeight w:val="1714" w:hRule="atLeast"/>
        </w:trPr>
        <w:tc>
          <w:tcPr>
            <w:tcW w:w="3116" w:type="dxa"/>
            <w:tcBorders>
              <w:top w:val="single" w:color="auto" w:sz="4" w:space="0"/>
              <w:left w:val="single" w:color="auto" w:sz="4" w:space="0"/>
              <w:bottom w:val="single" w:color="auto" w:sz="4" w:space="0"/>
              <w:right w:val="single" w:color="auto" w:sz="4" w:space="0"/>
            </w:tcBorders>
            <w:noWrap w:val="0"/>
            <w:vAlign w:val="center"/>
          </w:tcPr>
          <w:p w14:paraId="70070AB9">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Ⅲ</w:t>
            </w:r>
            <w:r>
              <w:rPr>
                <w:rFonts w:hint="eastAsia" w:ascii="宋体" w:hAnsi="宋体" w:eastAsia="宋体" w:cs="宋体"/>
                <w:color w:val="auto"/>
                <w:kern w:val="0"/>
                <w:sz w:val="21"/>
                <w:szCs w:val="21"/>
                <w:highlight w:val="none"/>
                <w:lang w:bidi="ar"/>
              </w:rPr>
              <w:t>类：</w:t>
            </w:r>
            <w:r>
              <w:rPr>
                <w:rFonts w:hint="eastAsia" w:ascii="宋体" w:hAnsi="宋体" w:eastAsia="宋体" w:cs="宋体"/>
                <w:color w:val="auto"/>
                <w:kern w:val="0"/>
                <w:sz w:val="21"/>
                <w:szCs w:val="21"/>
                <w:highlight w:val="none"/>
                <w:lang w:val="en-US" w:eastAsia="zh-CN" w:bidi="ar"/>
              </w:rPr>
              <w:t>持证电工</w:t>
            </w:r>
            <w:r>
              <w:rPr>
                <w:rFonts w:hint="eastAsia" w:ascii="宋体" w:hAnsi="宋体" w:eastAsia="宋体" w:cs="宋体"/>
                <w:color w:val="auto"/>
                <w:kern w:val="0"/>
                <w:sz w:val="21"/>
                <w:szCs w:val="21"/>
                <w:highlight w:val="none"/>
                <w:lang w:bidi="ar"/>
              </w:rPr>
              <w:t xml:space="preserve"> （</w:t>
            </w: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eastAsia="宋体" w:cs="宋体"/>
                <w:color w:val="auto"/>
                <w:kern w:val="0"/>
                <w:sz w:val="21"/>
                <w:szCs w:val="21"/>
                <w:highlight w:val="none"/>
                <w:lang w:bidi="ar"/>
              </w:rPr>
              <w:t>元/工日）</w:t>
            </w:r>
          </w:p>
        </w:tc>
        <w:tc>
          <w:tcPr>
            <w:tcW w:w="5218" w:type="dxa"/>
            <w:tcBorders>
              <w:top w:val="single" w:color="auto" w:sz="4" w:space="0"/>
              <w:left w:val="single" w:color="auto" w:sz="4" w:space="0"/>
              <w:bottom w:val="single" w:color="auto" w:sz="4" w:space="0"/>
              <w:right w:val="single" w:color="auto" w:sz="4" w:space="0"/>
            </w:tcBorders>
            <w:noWrap w:val="0"/>
            <w:vAlign w:val="center"/>
          </w:tcPr>
          <w:p w14:paraId="622F6D8A">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包含且不限于</w:t>
            </w:r>
            <w:r>
              <w:rPr>
                <w:rFonts w:hint="eastAsia" w:ascii="宋体" w:hAnsi="宋体" w:eastAsia="宋体" w:cs="宋体"/>
                <w:color w:val="auto"/>
                <w:kern w:val="0"/>
                <w:sz w:val="21"/>
                <w:szCs w:val="21"/>
                <w:highlight w:val="none"/>
                <w:lang w:val="en-US" w:eastAsia="zh-CN" w:bidi="ar"/>
              </w:rPr>
              <w:t>锅炉系统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尾气系统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汽轮发电机系统</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水处理系统及公用辅机系统中电气和热工仪表专业的施工作业范畴（如电缆敷设</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电仪设备搬运</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电仪设备及线路拆装</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设备清洁等），包</w:t>
            </w:r>
            <w:r>
              <w:rPr>
                <w:rFonts w:hint="eastAsia" w:ascii="宋体" w:hAnsi="宋体" w:eastAsia="宋体" w:cs="宋体"/>
                <w:color w:val="auto"/>
                <w:kern w:val="0"/>
                <w:sz w:val="21"/>
                <w:szCs w:val="21"/>
                <w:highlight w:val="none"/>
                <w:lang w:bidi="ar"/>
              </w:rPr>
              <w:t>含受限空间、</w:t>
            </w:r>
            <w:r>
              <w:rPr>
                <w:rFonts w:hint="eastAsia" w:ascii="宋体" w:hAnsi="宋体" w:eastAsia="宋体" w:cs="宋体"/>
                <w:color w:val="auto"/>
                <w:kern w:val="0"/>
                <w:sz w:val="21"/>
                <w:szCs w:val="21"/>
                <w:highlight w:val="none"/>
                <w:lang w:val="en-US" w:eastAsia="zh-CN" w:bidi="ar"/>
              </w:rPr>
              <w:t>高空等区域作业等</w:t>
            </w:r>
            <w:r>
              <w:rPr>
                <w:rFonts w:hint="eastAsia" w:ascii="宋体" w:hAnsi="宋体" w:eastAsia="宋体" w:cs="宋体"/>
                <w:color w:val="auto"/>
                <w:kern w:val="0"/>
                <w:sz w:val="21"/>
                <w:szCs w:val="21"/>
                <w:highlight w:val="none"/>
                <w:lang w:bidi="ar"/>
              </w:rPr>
              <w:t>。</w:t>
            </w:r>
          </w:p>
        </w:tc>
      </w:tr>
    </w:tbl>
    <w:p w14:paraId="0C4CCD84">
      <w:pPr>
        <w:widowControl w:val="0"/>
        <w:adjustRightInd/>
        <w:snapToGrid/>
        <w:spacing w:line="240" w:lineRule="auto"/>
        <w:jc w:val="both"/>
        <w:rPr>
          <w:rFonts w:hint="eastAsia" w:ascii="宋体" w:hAnsi="宋体" w:eastAsia="宋体" w:cs="宋体"/>
          <w:b/>
          <w:color w:val="auto"/>
          <w:kern w:val="2"/>
          <w:szCs w:val="21"/>
          <w:highlight w:val="none"/>
          <w:lang w:val="zh-CN"/>
        </w:rPr>
      </w:pPr>
    </w:p>
    <w:p w14:paraId="4C294014">
      <w:pPr>
        <w:bidi w:val="0"/>
        <w:rPr>
          <w:rFonts w:hint="eastAsia" w:ascii="宋体" w:hAnsi="宋体" w:eastAsia="宋体" w:cs="宋体"/>
          <w:b/>
          <w:bCs/>
          <w:color w:val="auto"/>
          <w:kern w:val="44"/>
          <w:sz w:val="21"/>
          <w:szCs w:val="21"/>
          <w:highlight w:val="none"/>
          <w:lang w:val="zh-CN"/>
        </w:rPr>
      </w:pPr>
      <w:bookmarkStart w:id="280" w:name="_Toc23013"/>
      <w:r>
        <w:rPr>
          <w:rFonts w:hint="eastAsia" w:ascii="宋体" w:hAnsi="宋体" w:eastAsia="宋体" w:cs="宋体"/>
          <w:b/>
          <w:bCs/>
          <w:color w:val="auto"/>
          <w:kern w:val="44"/>
          <w:sz w:val="21"/>
          <w:szCs w:val="21"/>
          <w:highlight w:val="none"/>
          <w:lang w:val="zh-CN"/>
        </w:rPr>
        <w:t>（</w:t>
      </w:r>
      <w:r>
        <w:rPr>
          <w:rFonts w:hint="eastAsia" w:ascii="宋体" w:hAnsi="宋体" w:eastAsia="宋体" w:cs="宋体"/>
          <w:b/>
          <w:bCs/>
          <w:color w:val="auto"/>
          <w:kern w:val="44"/>
          <w:sz w:val="21"/>
          <w:szCs w:val="21"/>
          <w:highlight w:val="none"/>
          <w:lang w:val="en-US" w:eastAsia="zh-CN"/>
        </w:rPr>
        <w:t>6</w:t>
      </w:r>
      <w:r>
        <w:rPr>
          <w:rFonts w:hint="eastAsia" w:ascii="宋体" w:hAnsi="宋体" w:eastAsia="宋体" w:cs="宋体"/>
          <w:b/>
          <w:bCs/>
          <w:color w:val="auto"/>
          <w:kern w:val="44"/>
          <w:sz w:val="21"/>
          <w:szCs w:val="21"/>
          <w:highlight w:val="none"/>
          <w:lang w:val="zh-CN"/>
        </w:rPr>
        <w:t>）</w:t>
      </w:r>
      <w:r>
        <w:rPr>
          <w:rFonts w:hint="eastAsia" w:ascii="宋体" w:hAnsi="宋体" w:eastAsia="宋体" w:cs="宋体"/>
          <w:b/>
          <w:bCs/>
          <w:color w:val="auto"/>
          <w:kern w:val="44"/>
          <w:sz w:val="21"/>
          <w:szCs w:val="21"/>
          <w:highlight w:val="none"/>
          <w:lang w:val="en-US" w:eastAsia="zh-CN"/>
        </w:rPr>
        <w:t>除上述Ⅰ、Ⅱ、Ⅲ类以外的其他施工（外判）综合单价</w:t>
      </w:r>
      <w:r>
        <w:rPr>
          <w:rFonts w:hint="eastAsia" w:ascii="宋体" w:hAnsi="宋体" w:eastAsia="宋体" w:cs="宋体"/>
          <w:b/>
          <w:bCs/>
          <w:color w:val="auto"/>
          <w:kern w:val="44"/>
          <w:sz w:val="21"/>
          <w:szCs w:val="21"/>
          <w:highlight w:val="none"/>
          <w:lang w:val="zh-CN"/>
        </w:rPr>
        <w:t>（</w:t>
      </w:r>
      <w:r>
        <w:rPr>
          <w:rFonts w:hint="eastAsia" w:ascii="宋体" w:hAnsi="宋体" w:eastAsia="宋体" w:cs="宋体"/>
          <w:b/>
          <w:bCs/>
          <w:color w:val="auto"/>
          <w:kern w:val="44"/>
          <w:sz w:val="21"/>
          <w:szCs w:val="21"/>
          <w:highlight w:val="none"/>
          <w:lang w:val="en-US" w:eastAsia="zh-CN"/>
        </w:rPr>
        <w:t>按实际发生量结算</w:t>
      </w:r>
      <w:r>
        <w:rPr>
          <w:rFonts w:hint="eastAsia" w:ascii="宋体" w:hAnsi="宋体" w:eastAsia="宋体" w:cs="宋体"/>
          <w:b/>
          <w:bCs/>
          <w:color w:val="auto"/>
          <w:kern w:val="44"/>
          <w:sz w:val="21"/>
          <w:szCs w:val="21"/>
          <w:highlight w:val="none"/>
          <w:lang w:val="zh-CN"/>
        </w:rPr>
        <w:t>）</w:t>
      </w:r>
      <w:bookmarkEnd w:id="280"/>
    </w:p>
    <w:tbl>
      <w:tblPr>
        <w:tblStyle w:val="31"/>
        <w:tblW w:w="8334" w:type="dxa"/>
        <w:tblInd w:w="0" w:type="dxa"/>
        <w:tblLayout w:type="fixed"/>
        <w:tblCellMar>
          <w:top w:w="15" w:type="dxa"/>
          <w:left w:w="15" w:type="dxa"/>
          <w:bottom w:w="15" w:type="dxa"/>
          <w:right w:w="15" w:type="dxa"/>
        </w:tblCellMar>
      </w:tblPr>
      <w:tblGrid>
        <w:gridCol w:w="3116"/>
        <w:gridCol w:w="5218"/>
      </w:tblGrid>
      <w:tr w14:paraId="1EB86CBF">
        <w:tblPrEx>
          <w:tblCellMar>
            <w:top w:w="15" w:type="dxa"/>
            <w:left w:w="15" w:type="dxa"/>
            <w:bottom w:w="15" w:type="dxa"/>
            <w:right w:w="15" w:type="dxa"/>
          </w:tblCellMar>
        </w:tblPrEx>
        <w:trPr>
          <w:trHeight w:val="1326" w:hRule="atLeast"/>
        </w:trPr>
        <w:tc>
          <w:tcPr>
            <w:tcW w:w="3116" w:type="dxa"/>
            <w:tcBorders>
              <w:top w:val="single" w:color="auto" w:sz="4" w:space="0"/>
              <w:left w:val="single" w:color="auto" w:sz="4" w:space="0"/>
              <w:bottom w:val="single" w:color="auto" w:sz="4" w:space="0"/>
              <w:right w:val="single" w:color="auto" w:sz="4" w:space="0"/>
            </w:tcBorders>
            <w:noWrap w:val="0"/>
            <w:vAlign w:val="center"/>
          </w:tcPr>
          <w:p w14:paraId="55CA1A16">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Ⅳ</w:t>
            </w:r>
            <w:r>
              <w:rPr>
                <w:rFonts w:hint="eastAsia" w:ascii="宋体" w:hAnsi="宋体" w:eastAsia="宋体" w:cs="宋体"/>
                <w:color w:val="auto"/>
                <w:kern w:val="0"/>
                <w:sz w:val="21"/>
                <w:szCs w:val="21"/>
                <w:highlight w:val="none"/>
                <w:lang w:bidi="ar"/>
              </w:rPr>
              <w:t>类：</w:t>
            </w:r>
            <w:r>
              <w:rPr>
                <w:rFonts w:hint="eastAsia" w:ascii="宋体" w:hAnsi="宋体" w:eastAsia="宋体" w:cs="宋体"/>
                <w:color w:val="auto"/>
                <w:kern w:val="0"/>
                <w:sz w:val="21"/>
                <w:szCs w:val="21"/>
                <w:highlight w:val="none"/>
                <w:lang w:val="en-US" w:eastAsia="zh-CN" w:bidi="ar"/>
              </w:rPr>
              <w:t>普工</w:t>
            </w:r>
            <w:r>
              <w:rPr>
                <w:rFonts w:hint="eastAsia" w:ascii="宋体" w:hAnsi="宋体" w:eastAsia="宋体" w:cs="宋体"/>
                <w:color w:val="auto"/>
                <w:kern w:val="0"/>
                <w:sz w:val="21"/>
                <w:szCs w:val="21"/>
                <w:highlight w:val="none"/>
                <w:lang w:bidi="ar"/>
              </w:rPr>
              <w:t xml:space="preserve"> （</w:t>
            </w:r>
            <w:r>
              <w:rPr>
                <w:rFonts w:hint="eastAsia" w:ascii="宋体" w:hAnsi="宋体" w:eastAsia="宋体" w:cs="宋体"/>
                <w:color w:val="auto"/>
                <w:kern w:val="0"/>
                <w:sz w:val="21"/>
                <w:szCs w:val="21"/>
                <w:highlight w:val="none"/>
                <w:lang w:val="en-US" w:eastAsia="zh-CN" w:bidi="ar"/>
              </w:rPr>
              <w:t xml:space="preserve">     </w:t>
            </w:r>
            <w:r>
              <w:rPr>
                <w:rFonts w:hint="eastAsia" w:ascii="宋体" w:hAnsi="宋体" w:eastAsia="宋体" w:cs="宋体"/>
                <w:color w:val="auto"/>
                <w:kern w:val="0"/>
                <w:sz w:val="21"/>
                <w:szCs w:val="21"/>
                <w:highlight w:val="none"/>
                <w:lang w:bidi="ar"/>
              </w:rPr>
              <w:t>元/工日）</w:t>
            </w:r>
          </w:p>
        </w:tc>
        <w:tc>
          <w:tcPr>
            <w:tcW w:w="5218" w:type="dxa"/>
            <w:tcBorders>
              <w:top w:val="single" w:color="auto" w:sz="4" w:space="0"/>
              <w:left w:val="single" w:color="auto" w:sz="4" w:space="0"/>
              <w:bottom w:val="single" w:color="auto" w:sz="4" w:space="0"/>
              <w:right w:val="single" w:color="auto" w:sz="4" w:space="0"/>
            </w:tcBorders>
            <w:noWrap w:val="0"/>
            <w:vAlign w:val="center"/>
          </w:tcPr>
          <w:p w14:paraId="7C27E2EC">
            <w:pPr>
              <w:widowControl/>
              <w:jc w:val="left"/>
              <w:textAlignment w:val="center"/>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包含且不限于材料搬运、卫生及环境清理，安装或检修配套的工作，如埋地管道的挖土、回填、电缆敷设等辅助类工作。</w:t>
            </w:r>
          </w:p>
        </w:tc>
      </w:tr>
    </w:tbl>
    <w:p w14:paraId="731B638F">
      <w:pPr>
        <w:bidi w:val="0"/>
        <w:rPr>
          <w:rFonts w:hint="eastAsia" w:ascii="宋体" w:hAnsi="宋体" w:eastAsia="宋体" w:cs="宋体"/>
          <w:color w:val="auto"/>
          <w:highlight w:val="none"/>
          <w:lang w:val="zh-CN"/>
        </w:rPr>
      </w:pPr>
    </w:p>
    <w:p w14:paraId="77301F2D">
      <w:pPr>
        <w:bidi w:val="0"/>
        <w:rPr>
          <w:rFonts w:hint="eastAsia" w:ascii="宋体" w:hAnsi="宋体" w:eastAsia="宋体" w:cs="宋体"/>
          <w:color w:val="auto"/>
          <w:kern w:val="2"/>
          <w:szCs w:val="24"/>
          <w:highlight w:val="none"/>
        </w:rPr>
      </w:pPr>
      <w:bookmarkStart w:id="281" w:name="_Toc10453"/>
      <w:r>
        <w:rPr>
          <w:rFonts w:hint="eastAsia" w:ascii="宋体" w:hAnsi="宋体" w:eastAsia="宋体" w:cs="宋体"/>
          <w:b/>
          <w:bCs/>
          <w:color w:val="auto"/>
          <w:kern w:val="44"/>
          <w:szCs w:val="21"/>
          <w:highlight w:val="none"/>
          <w:lang w:val="zh-CN"/>
        </w:rPr>
        <w:t>（</w:t>
      </w:r>
      <w:r>
        <w:rPr>
          <w:rFonts w:hint="eastAsia" w:ascii="宋体" w:hAnsi="宋体" w:eastAsia="宋体" w:cs="宋体"/>
          <w:b/>
          <w:bCs/>
          <w:color w:val="auto"/>
          <w:kern w:val="44"/>
          <w:szCs w:val="21"/>
          <w:highlight w:val="none"/>
          <w:lang w:val="en-US" w:eastAsia="zh-CN"/>
        </w:rPr>
        <w:t>7</w:t>
      </w:r>
      <w:r>
        <w:rPr>
          <w:rFonts w:hint="eastAsia" w:ascii="宋体" w:hAnsi="宋体" w:eastAsia="宋体" w:cs="宋体"/>
          <w:b/>
          <w:bCs/>
          <w:color w:val="auto"/>
          <w:kern w:val="44"/>
          <w:szCs w:val="21"/>
          <w:highlight w:val="none"/>
          <w:lang w:val="zh-CN"/>
        </w:rPr>
        <w:t>）机械台班费用按定额结合信息价确定</w:t>
      </w:r>
      <w:bookmarkEnd w:id="281"/>
    </w:p>
    <w:p w14:paraId="56F1FD51">
      <w:pPr>
        <w:widowControl w:val="0"/>
        <w:adjustRightInd/>
        <w:snapToGrid/>
        <w:spacing w:line="240" w:lineRule="auto"/>
        <w:jc w:val="both"/>
        <w:rPr>
          <w:rFonts w:hint="eastAsia" w:ascii="宋体" w:hAnsi="宋体" w:eastAsia="宋体" w:cs="宋体"/>
          <w:color w:val="auto"/>
          <w:kern w:val="2"/>
          <w:szCs w:val="24"/>
          <w:highlight w:val="none"/>
        </w:rPr>
      </w:pPr>
    </w:p>
    <w:p w14:paraId="088BE1E8">
      <w:pPr>
        <w:rPr>
          <w:rFonts w:hint="eastAsia" w:ascii="宋体" w:hAnsi="宋体" w:eastAsia="宋体" w:cs="宋体"/>
          <w:color w:val="auto"/>
          <w:kern w:val="2"/>
          <w:sz w:val="28"/>
          <w:szCs w:val="28"/>
          <w:highlight w:val="none"/>
        </w:rPr>
      </w:pPr>
    </w:p>
    <w:p w14:paraId="035AA46C">
      <w:pPr>
        <w:rPr>
          <w:rFonts w:hint="eastAsia" w:ascii="宋体" w:hAnsi="宋体" w:eastAsia="宋体" w:cs="宋体"/>
          <w:color w:val="auto"/>
          <w:highlight w:val="none"/>
        </w:rPr>
      </w:pPr>
      <w:r>
        <w:rPr>
          <w:rFonts w:hint="eastAsia" w:ascii="宋体" w:hAnsi="宋体" w:eastAsia="宋体" w:cs="宋体"/>
          <w:color w:val="auto"/>
          <w:highlight w:val="none"/>
          <w:lang w:bidi="zh-CN"/>
        </w:rPr>
        <w:br w:type="page"/>
      </w:r>
    </w:p>
    <w:p w14:paraId="5C4FF38B">
      <w:pPr>
        <w:pStyle w:val="2"/>
        <w:spacing w:before="0" w:after="0" w:line="240" w:lineRule="auto"/>
        <w:rPr>
          <w:rFonts w:hint="eastAsia" w:ascii="宋体" w:hAnsi="宋体" w:eastAsia="宋体" w:cs="宋体"/>
          <w:color w:val="auto"/>
          <w:sz w:val="28"/>
          <w:szCs w:val="28"/>
          <w:highlight w:val="none"/>
        </w:rPr>
      </w:pPr>
      <w:bookmarkStart w:id="282" w:name="_Toc32117"/>
      <w:r>
        <w:rPr>
          <w:rFonts w:hint="eastAsia" w:ascii="宋体" w:hAnsi="宋体" w:eastAsia="宋体" w:cs="宋体"/>
          <w:color w:val="auto"/>
          <w:sz w:val="28"/>
          <w:szCs w:val="28"/>
          <w:highlight w:val="none"/>
        </w:rPr>
        <w:t>第六部分附件－投标文件格式</w:t>
      </w:r>
      <w:bookmarkEnd w:id="282"/>
    </w:p>
    <w:p w14:paraId="0FB740CB">
      <w:pPr>
        <w:rPr>
          <w:rFonts w:hint="eastAsia" w:ascii="宋体" w:hAnsi="宋体" w:eastAsia="宋体" w:cs="宋体"/>
          <w:color w:val="auto"/>
          <w:highlight w:val="none"/>
        </w:rPr>
      </w:pPr>
    </w:p>
    <w:p w14:paraId="68CA24B4">
      <w:pPr>
        <w:pStyle w:val="5"/>
        <w:widowControl w:val="0"/>
        <w:overflowPunct w:val="0"/>
        <w:spacing w:line="240" w:lineRule="auto"/>
        <w:rPr>
          <w:rFonts w:hint="eastAsia" w:ascii="宋体" w:hAnsi="宋体" w:eastAsia="宋体" w:cs="宋体"/>
          <w:color w:val="auto"/>
          <w:sz w:val="21"/>
          <w:szCs w:val="21"/>
          <w:highlight w:val="none"/>
        </w:rPr>
      </w:pPr>
      <w:bookmarkStart w:id="283" w:name="_Toc10998"/>
      <w:r>
        <w:rPr>
          <w:rFonts w:hint="eastAsia" w:ascii="宋体" w:hAnsi="宋体" w:eastAsia="宋体" w:cs="宋体"/>
          <w:color w:val="auto"/>
          <w:sz w:val="21"/>
          <w:szCs w:val="21"/>
          <w:highlight w:val="none"/>
        </w:rPr>
        <w:t>投标文件目录</w:t>
      </w:r>
      <w:bookmarkEnd w:id="283"/>
    </w:p>
    <w:p w14:paraId="36747CC2">
      <w:pPr>
        <w:jc w:val="center"/>
        <w:rPr>
          <w:rFonts w:hint="eastAsia" w:ascii="宋体" w:hAnsi="宋体" w:eastAsia="宋体" w:cs="宋体"/>
          <w:color w:val="auto"/>
          <w:sz w:val="32"/>
          <w:szCs w:val="32"/>
          <w:highlight w:val="none"/>
        </w:rPr>
      </w:pPr>
    </w:p>
    <w:p w14:paraId="0CF94E83">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目录</w:t>
      </w:r>
    </w:p>
    <w:p w14:paraId="096EAFA7">
      <w:pPr>
        <w:adjustRightInd/>
        <w:snapToGrid/>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格式自理。</w:t>
      </w:r>
    </w:p>
    <w:p w14:paraId="05FB7A6F">
      <w:pPr>
        <w:adjustRightInd/>
        <w:snapToGrid/>
        <w:spacing w:line="276" w:lineRule="auto"/>
        <w:rPr>
          <w:rFonts w:hint="eastAsia" w:ascii="宋体" w:hAnsi="宋体" w:eastAsia="宋体" w:cs="宋体"/>
          <w:color w:val="auto"/>
          <w:szCs w:val="21"/>
          <w:highlight w:val="none"/>
        </w:rPr>
      </w:pPr>
    </w:p>
    <w:p w14:paraId="2E532C84">
      <w:pPr>
        <w:adjustRightInd/>
        <w:snapToGrid/>
        <w:spacing w:line="276" w:lineRule="auto"/>
        <w:rPr>
          <w:rFonts w:hint="eastAsia" w:ascii="宋体" w:hAnsi="宋体" w:eastAsia="宋体" w:cs="宋体"/>
          <w:color w:val="auto"/>
          <w:szCs w:val="21"/>
          <w:highlight w:val="none"/>
        </w:rPr>
      </w:pPr>
    </w:p>
    <w:p w14:paraId="330C694B">
      <w:pPr>
        <w:adjustRightInd/>
        <w:snapToGrid/>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434A7354">
      <w:pPr>
        <w:adjustRightInd/>
        <w:snapToGrid/>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1、投标人制作的投标文件应当具备目录。</w:t>
      </w:r>
      <w:r>
        <w:rPr>
          <w:rFonts w:hint="eastAsia" w:ascii="宋体" w:hAnsi="宋体" w:eastAsia="宋体" w:cs="宋体"/>
          <w:color w:val="auto"/>
          <w:szCs w:val="21"/>
          <w:highlight w:val="none"/>
        </w:rPr>
        <w:br w:type="page"/>
      </w:r>
    </w:p>
    <w:p w14:paraId="033E5E04">
      <w:pPr>
        <w:pStyle w:val="5"/>
        <w:widowControl w:val="0"/>
        <w:overflowPunct w:val="0"/>
        <w:spacing w:line="240" w:lineRule="auto"/>
        <w:rPr>
          <w:rFonts w:hint="eastAsia" w:ascii="宋体" w:hAnsi="宋体" w:eastAsia="宋体" w:cs="宋体"/>
          <w:color w:val="auto"/>
          <w:sz w:val="21"/>
          <w:szCs w:val="21"/>
          <w:highlight w:val="none"/>
        </w:rPr>
      </w:pPr>
      <w:bookmarkStart w:id="284" w:name="_Toc21061"/>
      <w:r>
        <w:rPr>
          <w:rFonts w:hint="eastAsia" w:ascii="宋体" w:hAnsi="宋体" w:eastAsia="宋体" w:cs="宋体"/>
          <w:color w:val="auto"/>
          <w:sz w:val="21"/>
          <w:szCs w:val="21"/>
          <w:highlight w:val="none"/>
        </w:rPr>
        <w:t>附件1.评分标准索引表</w:t>
      </w:r>
      <w:bookmarkEnd w:id="284"/>
    </w:p>
    <w:p w14:paraId="41822400">
      <w:pPr>
        <w:adjustRightInd/>
        <w:snapToGrid/>
        <w:spacing w:line="276" w:lineRule="auto"/>
        <w:rPr>
          <w:rFonts w:hint="eastAsia" w:ascii="宋体" w:hAnsi="宋体" w:eastAsia="宋体" w:cs="宋体"/>
          <w:color w:val="auto"/>
          <w:szCs w:val="21"/>
          <w:highlight w:val="none"/>
        </w:rPr>
      </w:pPr>
    </w:p>
    <w:p w14:paraId="79A64393">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评分标准索引表</w:t>
      </w:r>
    </w:p>
    <w:tbl>
      <w:tblPr>
        <w:tblStyle w:val="3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1258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704" w:type="dxa"/>
            <w:vAlign w:val="center"/>
          </w:tcPr>
          <w:p w14:paraId="79026FA7">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704" w:type="dxa"/>
            <w:vAlign w:val="center"/>
          </w:tcPr>
          <w:p w14:paraId="1E515BD3">
            <w:pPr>
              <w:jc w:val="center"/>
              <w:rPr>
                <w:rFonts w:hint="eastAsia" w:ascii="宋体" w:hAnsi="宋体" w:eastAsia="宋体" w:cs="宋体"/>
                <w:color w:val="auto"/>
                <w:highlight w:val="none"/>
              </w:rPr>
            </w:pPr>
            <w:r>
              <w:rPr>
                <w:rFonts w:hint="eastAsia" w:ascii="宋体" w:hAnsi="宋体" w:eastAsia="宋体" w:cs="宋体"/>
                <w:color w:val="auto"/>
                <w:highlight w:val="none"/>
              </w:rPr>
              <w:t>评审项目</w:t>
            </w:r>
          </w:p>
        </w:tc>
        <w:tc>
          <w:tcPr>
            <w:tcW w:w="1704" w:type="dxa"/>
            <w:vAlign w:val="center"/>
          </w:tcPr>
          <w:p w14:paraId="01BD8773">
            <w:pPr>
              <w:jc w:val="center"/>
              <w:rPr>
                <w:rFonts w:hint="eastAsia" w:ascii="宋体" w:hAnsi="宋体" w:eastAsia="宋体" w:cs="宋体"/>
                <w:color w:val="auto"/>
                <w:highlight w:val="none"/>
              </w:rPr>
            </w:pPr>
            <w:r>
              <w:rPr>
                <w:rFonts w:hint="eastAsia" w:ascii="宋体" w:hAnsi="宋体" w:eastAsia="宋体" w:cs="宋体"/>
                <w:color w:val="auto"/>
                <w:highlight w:val="none"/>
              </w:rPr>
              <w:t>评审细则</w:t>
            </w:r>
          </w:p>
        </w:tc>
        <w:tc>
          <w:tcPr>
            <w:tcW w:w="1705" w:type="dxa"/>
            <w:vAlign w:val="center"/>
          </w:tcPr>
          <w:p w14:paraId="7E25867A">
            <w:pPr>
              <w:jc w:val="center"/>
              <w:rPr>
                <w:rFonts w:hint="eastAsia" w:ascii="宋体" w:hAnsi="宋体" w:eastAsia="宋体" w:cs="宋体"/>
                <w:color w:val="auto"/>
                <w:highlight w:val="none"/>
              </w:rPr>
            </w:pPr>
            <w:r>
              <w:rPr>
                <w:rFonts w:hint="eastAsia" w:ascii="宋体" w:hAnsi="宋体" w:eastAsia="宋体" w:cs="宋体"/>
                <w:color w:val="auto"/>
                <w:highlight w:val="none"/>
              </w:rPr>
              <w:t>分值</w:t>
            </w:r>
          </w:p>
        </w:tc>
        <w:tc>
          <w:tcPr>
            <w:tcW w:w="1705" w:type="dxa"/>
            <w:vAlign w:val="center"/>
          </w:tcPr>
          <w:p w14:paraId="00E38014">
            <w:pPr>
              <w:jc w:val="center"/>
              <w:rPr>
                <w:rFonts w:hint="eastAsia" w:ascii="宋体" w:hAnsi="宋体" w:eastAsia="宋体" w:cs="宋体"/>
                <w:color w:val="auto"/>
                <w:highlight w:val="none"/>
              </w:rPr>
            </w:pPr>
            <w:r>
              <w:rPr>
                <w:rFonts w:hint="eastAsia" w:ascii="宋体" w:hAnsi="宋体" w:eastAsia="宋体" w:cs="宋体"/>
                <w:color w:val="auto"/>
                <w:highlight w:val="none"/>
              </w:rPr>
              <w:t>页码范围</w:t>
            </w:r>
          </w:p>
        </w:tc>
      </w:tr>
      <w:tr w14:paraId="1276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22" w:type="dxa"/>
            <w:gridSpan w:val="5"/>
            <w:vAlign w:val="center"/>
          </w:tcPr>
          <w:p w14:paraId="7B060E99">
            <w:pPr>
              <w:rPr>
                <w:rFonts w:hint="eastAsia" w:ascii="宋体" w:hAnsi="宋体" w:eastAsia="宋体" w:cs="宋体"/>
                <w:color w:val="auto"/>
                <w:highlight w:val="none"/>
              </w:rPr>
            </w:pPr>
            <w:r>
              <w:rPr>
                <w:rFonts w:hint="eastAsia" w:ascii="宋体" w:hAnsi="宋体" w:eastAsia="宋体" w:cs="宋体"/>
                <w:color w:val="auto"/>
                <w:highlight w:val="none"/>
              </w:rPr>
              <w:t>商务评审</w:t>
            </w:r>
          </w:p>
        </w:tc>
      </w:tr>
      <w:tr w14:paraId="1CB5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0DF65E38">
            <w:pPr>
              <w:jc w:val="center"/>
              <w:rPr>
                <w:rFonts w:hint="eastAsia" w:ascii="宋体" w:hAnsi="宋体" w:eastAsia="宋体" w:cs="宋体"/>
                <w:color w:val="auto"/>
                <w:highlight w:val="none"/>
              </w:rPr>
            </w:pPr>
          </w:p>
        </w:tc>
        <w:tc>
          <w:tcPr>
            <w:tcW w:w="1704" w:type="dxa"/>
            <w:vAlign w:val="center"/>
          </w:tcPr>
          <w:p w14:paraId="11EACE3D">
            <w:pPr>
              <w:jc w:val="center"/>
              <w:rPr>
                <w:rFonts w:hint="eastAsia" w:ascii="宋体" w:hAnsi="宋体" w:eastAsia="宋体" w:cs="宋体"/>
                <w:color w:val="auto"/>
                <w:highlight w:val="none"/>
              </w:rPr>
            </w:pPr>
          </w:p>
        </w:tc>
        <w:tc>
          <w:tcPr>
            <w:tcW w:w="1704" w:type="dxa"/>
            <w:vAlign w:val="center"/>
          </w:tcPr>
          <w:p w14:paraId="0D34F10D">
            <w:pPr>
              <w:jc w:val="center"/>
              <w:rPr>
                <w:rFonts w:hint="eastAsia" w:ascii="宋体" w:hAnsi="宋体" w:eastAsia="宋体" w:cs="宋体"/>
                <w:color w:val="auto"/>
                <w:highlight w:val="none"/>
              </w:rPr>
            </w:pPr>
          </w:p>
        </w:tc>
        <w:tc>
          <w:tcPr>
            <w:tcW w:w="1705" w:type="dxa"/>
            <w:vAlign w:val="center"/>
          </w:tcPr>
          <w:p w14:paraId="74CC5522">
            <w:pPr>
              <w:jc w:val="center"/>
              <w:rPr>
                <w:rFonts w:hint="eastAsia" w:ascii="宋体" w:hAnsi="宋体" w:eastAsia="宋体" w:cs="宋体"/>
                <w:color w:val="auto"/>
                <w:highlight w:val="none"/>
              </w:rPr>
            </w:pPr>
          </w:p>
        </w:tc>
        <w:tc>
          <w:tcPr>
            <w:tcW w:w="1705" w:type="dxa"/>
            <w:vAlign w:val="center"/>
          </w:tcPr>
          <w:p w14:paraId="15ED2597">
            <w:pPr>
              <w:jc w:val="center"/>
              <w:rPr>
                <w:rFonts w:hint="eastAsia" w:ascii="宋体" w:hAnsi="宋体" w:eastAsia="宋体" w:cs="宋体"/>
                <w:color w:val="auto"/>
                <w:highlight w:val="none"/>
              </w:rPr>
            </w:pPr>
          </w:p>
        </w:tc>
      </w:tr>
      <w:tr w14:paraId="581C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4A4CEA10">
            <w:pPr>
              <w:jc w:val="center"/>
              <w:rPr>
                <w:rFonts w:hint="eastAsia" w:ascii="宋体" w:hAnsi="宋体" w:eastAsia="宋体" w:cs="宋体"/>
                <w:color w:val="auto"/>
                <w:highlight w:val="none"/>
              </w:rPr>
            </w:pPr>
          </w:p>
        </w:tc>
        <w:tc>
          <w:tcPr>
            <w:tcW w:w="1704" w:type="dxa"/>
            <w:vAlign w:val="center"/>
          </w:tcPr>
          <w:p w14:paraId="014004C3">
            <w:pPr>
              <w:jc w:val="center"/>
              <w:rPr>
                <w:rFonts w:hint="eastAsia" w:ascii="宋体" w:hAnsi="宋体" w:eastAsia="宋体" w:cs="宋体"/>
                <w:color w:val="auto"/>
                <w:highlight w:val="none"/>
              </w:rPr>
            </w:pPr>
          </w:p>
        </w:tc>
        <w:tc>
          <w:tcPr>
            <w:tcW w:w="1704" w:type="dxa"/>
            <w:vAlign w:val="center"/>
          </w:tcPr>
          <w:p w14:paraId="04AF42A8">
            <w:pPr>
              <w:jc w:val="center"/>
              <w:rPr>
                <w:rFonts w:hint="eastAsia" w:ascii="宋体" w:hAnsi="宋体" w:eastAsia="宋体" w:cs="宋体"/>
                <w:color w:val="auto"/>
                <w:highlight w:val="none"/>
              </w:rPr>
            </w:pPr>
          </w:p>
        </w:tc>
        <w:tc>
          <w:tcPr>
            <w:tcW w:w="1705" w:type="dxa"/>
            <w:vAlign w:val="center"/>
          </w:tcPr>
          <w:p w14:paraId="266C6834">
            <w:pPr>
              <w:jc w:val="center"/>
              <w:rPr>
                <w:rFonts w:hint="eastAsia" w:ascii="宋体" w:hAnsi="宋体" w:eastAsia="宋体" w:cs="宋体"/>
                <w:color w:val="auto"/>
                <w:highlight w:val="none"/>
              </w:rPr>
            </w:pPr>
          </w:p>
        </w:tc>
        <w:tc>
          <w:tcPr>
            <w:tcW w:w="1705" w:type="dxa"/>
            <w:vAlign w:val="center"/>
          </w:tcPr>
          <w:p w14:paraId="30CF8F9E">
            <w:pPr>
              <w:jc w:val="center"/>
              <w:rPr>
                <w:rFonts w:hint="eastAsia" w:ascii="宋体" w:hAnsi="宋体" w:eastAsia="宋体" w:cs="宋体"/>
                <w:color w:val="auto"/>
                <w:highlight w:val="none"/>
              </w:rPr>
            </w:pPr>
          </w:p>
        </w:tc>
      </w:tr>
      <w:tr w14:paraId="1523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5BC61BB5">
            <w:pPr>
              <w:jc w:val="center"/>
              <w:rPr>
                <w:rFonts w:hint="eastAsia" w:ascii="宋体" w:hAnsi="宋体" w:eastAsia="宋体" w:cs="宋体"/>
                <w:color w:val="auto"/>
                <w:highlight w:val="none"/>
              </w:rPr>
            </w:pPr>
          </w:p>
        </w:tc>
        <w:tc>
          <w:tcPr>
            <w:tcW w:w="1704" w:type="dxa"/>
            <w:vAlign w:val="center"/>
          </w:tcPr>
          <w:p w14:paraId="295A438D">
            <w:pPr>
              <w:jc w:val="center"/>
              <w:rPr>
                <w:rFonts w:hint="eastAsia" w:ascii="宋体" w:hAnsi="宋体" w:eastAsia="宋体" w:cs="宋体"/>
                <w:color w:val="auto"/>
                <w:highlight w:val="none"/>
              </w:rPr>
            </w:pPr>
          </w:p>
        </w:tc>
        <w:tc>
          <w:tcPr>
            <w:tcW w:w="1704" w:type="dxa"/>
            <w:vAlign w:val="center"/>
          </w:tcPr>
          <w:p w14:paraId="71E81802">
            <w:pPr>
              <w:jc w:val="center"/>
              <w:rPr>
                <w:rFonts w:hint="eastAsia" w:ascii="宋体" w:hAnsi="宋体" w:eastAsia="宋体" w:cs="宋体"/>
                <w:color w:val="auto"/>
                <w:highlight w:val="none"/>
              </w:rPr>
            </w:pPr>
          </w:p>
        </w:tc>
        <w:tc>
          <w:tcPr>
            <w:tcW w:w="1705" w:type="dxa"/>
            <w:vAlign w:val="center"/>
          </w:tcPr>
          <w:p w14:paraId="777DB372">
            <w:pPr>
              <w:jc w:val="center"/>
              <w:rPr>
                <w:rFonts w:hint="eastAsia" w:ascii="宋体" w:hAnsi="宋体" w:eastAsia="宋体" w:cs="宋体"/>
                <w:color w:val="auto"/>
                <w:highlight w:val="none"/>
              </w:rPr>
            </w:pPr>
          </w:p>
        </w:tc>
        <w:tc>
          <w:tcPr>
            <w:tcW w:w="1705" w:type="dxa"/>
            <w:vAlign w:val="center"/>
          </w:tcPr>
          <w:p w14:paraId="46ACE954">
            <w:pPr>
              <w:jc w:val="center"/>
              <w:rPr>
                <w:rFonts w:hint="eastAsia" w:ascii="宋体" w:hAnsi="宋体" w:eastAsia="宋体" w:cs="宋体"/>
                <w:color w:val="auto"/>
                <w:highlight w:val="none"/>
              </w:rPr>
            </w:pPr>
          </w:p>
        </w:tc>
      </w:tr>
      <w:tr w14:paraId="20A7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22" w:type="dxa"/>
            <w:gridSpan w:val="5"/>
            <w:vAlign w:val="center"/>
          </w:tcPr>
          <w:p w14:paraId="551F621D">
            <w:pPr>
              <w:rPr>
                <w:rFonts w:hint="eastAsia" w:ascii="宋体" w:hAnsi="宋体" w:eastAsia="宋体" w:cs="宋体"/>
                <w:color w:val="auto"/>
                <w:highlight w:val="none"/>
              </w:rPr>
            </w:pPr>
            <w:r>
              <w:rPr>
                <w:rFonts w:hint="eastAsia" w:ascii="宋体" w:hAnsi="宋体" w:eastAsia="宋体" w:cs="宋体"/>
                <w:color w:val="auto"/>
                <w:highlight w:val="none"/>
              </w:rPr>
              <w:t>技术评审</w:t>
            </w:r>
          </w:p>
        </w:tc>
      </w:tr>
      <w:tr w14:paraId="393B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543F7CF4">
            <w:pPr>
              <w:jc w:val="center"/>
              <w:rPr>
                <w:rFonts w:hint="eastAsia" w:ascii="宋体" w:hAnsi="宋体" w:eastAsia="宋体" w:cs="宋体"/>
                <w:color w:val="auto"/>
                <w:highlight w:val="none"/>
              </w:rPr>
            </w:pPr>
          </w:p>
        </w:tc>
        <w:tc>
          <w:tcPr>
            <w:tcW w:w="1704" w:type="dxa"/>
            <w:vAlign w:val="center"/>
          </w:tcPr>
          <w:p w14:paraId="7E553031">
            <w:pPr>
              <w:jc w:val="center"/>
              <w:rPr>
                <w:rFonts w:hint="eastAsia" w:ascii="宋体" w:hAnsi="宋体" w:eastAsia="宋体" w:cs="宋体"/>
                <w:color w:val="auto"/>
                <w:highlight w:val="none"/>
              </w:rPr>
            </w:pPr>
          </w:p>
        </w:tc>
        <w:tc>
          <w:tcPr>
            <w:tcW w:w="1704" w:type="dxa"/>
            <w:vAlign w:val="center"/>
          </w:tcPr>
          <w:p w14:paraId="67CA908F">
            <w:pPr>
              <w:jc w:val="center"/>
              <w:rPr>
                <w:rFonts w:hint="eastAsia" w:ascii="宋体" w:hAnsi="宋体" w:eastAsia="宋体" w:cs="宋体"/>
                <w:color w:val="auto"/>
                <w:highlight w:val="none"/>
              </w:rPr>
            </w:pPr>
          </w:p>
        </w:tc>
        <w:tc>
          <w:tcPr>
            <w:tcW w:w="1705" w:type="dxa"/>
            <w:vAlign w:val="center"/>
          </w:tcPr>
          <w:p w14:paraId="5E75B7F1">
            <w:pPr>
              <w:jc w:val="center"/>
              <w:rPr>
                <w:rFonts w:hint="eastAsia" w:ascii="宋体" w:hAnsi="宋体" w:eastAsia="宋体" w:cs="宋体"/>
                <w:color w:val="auto"/>
                <w:highlight w:val="none"/>
              </w:rPr>
            </w:pPr>
          </w:p>
        </w:tc>
        <w:tc>
          <w:tcPr>
            <w:tcW w:w="1705" w:type="dxa"/>
            <w:vAlign w:val="center"/>
          </w:tcPr>
          <w:p w14:paraId="6A147A7B">
            <w:pPr>
              <w:jc w:val="center"/>
              <w:rPr>
                <w:rFonts w:hint="eastAsia" w:ascii="宋体" w:hAnsi="宋体" w:eastAsia="宋体" w:cs="宋体"/>
                <w:color w:val="auto"/>
                <w:highlight w:val="none"/>
              </w:rPr>
            </w:pPr>
          </w:p>
        </w:tc>
      </w:tr>
      <w:tr w14:paraId="60D9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5BCD5EB6">
            <w:pPr>
              <w:jc w:val="center"/>
              <w:rPr>
                <w:rFonts w:hint="eastAsia" w:ascii="宋体" w:hAnsi="宋体" w:eastAsia="宋体" w:cs="宋体"/>
                <w:color w:val="auto"/>
                <w:highlight w:val="none"/>
              </w:rPr>
            </w:pPr>
          </w:p>
        </w:tc>
        <w:tc>
          <w:tcPr>
            <w:tcW w:w="1704" w:type="dxa"/>
            <w:vAlign w:val="center"/>
          </w:tcPr>
          <w:p w14:paraId="50F05F2F">
            <w:pPr>
              <w:jc w:val="center"/>
              <w:rPr>
                <w:rFonts w:hint="eastAsia" w:ascii="宋体" w:hAnsi="宋体" w:eastAsia="宋体" w:cs="宋体"/>
                <w:color w:val="auto"/>
                <w:highlight w:val="none"/>
              </w:rPr>
            </w:pPr>
          </w:p>
        </w:tc>
        <w:tc>
          <w:tcPr>
            <w:tcW w:w="1704" w:type="dxa"/>
            <w:vAlign w:val="center"/>
          </w:tcPr>
          <w:p w14:paraId="4CCA10E7">
            <w:pPr>
              <w:jc w:val="center"/>
              <w:rPr>
                <w:rFonts w:hint="eastAsia" w:ascii="宋体" w:hAnsi="宋体" w:eastAsia="宋体" w:cs="宋体"/>
                <w:color w:val="auto"/>
                <w:highlight w:val="none"/>
              </w:rPr>
            </w:pPr>
          </w:p>
        </w:tc>
        <w:tc>
          <w:tcPr>
            <w:tcW w:w="1705" w:type="dxa"/>
            <w:vAlign w:val="center"/>
          </w:tcPr>
          <w:p w14:paraId="1D62FDA0">
            <w:pPr>
              <w:jc w:val="center"/>
              <w:rPr>
                <w:rFonts w:hint="eastAsia" w:ascii="宋体" w:hAnsi="宋体" w:eastAsia="宋体" w:cs="宋体"/>
                <w:color w:val="auto"/>
                <w:highlight w:val="none"/>
              </w:rPr>
            </w:pPr>
          </w:p>
        </w:tc>
        <w:tc>
          <w:tcPr>
            <w:tcW w:w="1705" w:type="dxa"/>
            <w:vAlign w:val="center"/>
          </w:tcPr>
          <w:p w14:paraId="02B155AF">
            <w:pPr>
              <w:jc w:val="center"/>
              <w:rPr>
                <w:rFonts w:hint="eastAsia" w:ascii="宋体" w:hAnsi="宋体" w:eastAsia="宋体" w:cs="宋体"/>
                <w:color w:val="auto"/>
                <w:highlight w:val="none"/>
              </w:rPr>
            </w:pPr>
          </w:p>
        </w:tc>
      </w:tr>
      <w:tr w14:paraId="77CF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7BAE14BA">
            <w:pPr>
              <w:jc w:val="center"/>
              <w:rPr>
                <w:rFonts w:hint="eastAsia" w:ascii="宋体" w:hAnsi="宋体" w:eastAsia="宋体" w:cs="宋体"/>
                <w:color w:val="auto"/>
                <w:highlight w:val="none"/>
              </w:rPr>
            </w:pPr>
          </w:p>
        </w:tc>
        <w:tc>
          <w:tcPr>
            <w:tcW w:w="1704" w:type="dxa"/>
            <w:vAlign w:val="center"/>
          </w:tcPr>
          <w:p w14:paraId="6EDC723C">
            <w:pPr>
              <w:jc w:val="center"/>
              <w:rPr>
                <w:rFonts w:hint="eastAsia" w:ascii="宋体" w:hAnsi="宋体" w:eastAsia="宋体" w:cs="宋体"/>
                <w:color w:val="auto"/>
                <w:highlight w:val="none"/>
              </w:rPr>
            </w:pPr>
          </w:p>
        </w:tc>
        <w:tc>
          <w:tcPr>
            <w:tcW w:w="1704" w:type="dxa"/>
            <w:vAlign w:val="center"/>
          </w:tcPr>
          <w:p w14:paraId="1D950598">
            <w:pPr>
              <w:jc w:val="center"/>
              <w:rPr>
                <w:rFonts w:hint="eastAsia" w:ascii="宋体" w:hAnsi="宋体" w:eastAsia="宋体" w:cs="宋体"/>
                <w:color w:val="auto"/>
                <w:highlight w:val="none"/>
              </w:rPr>
            </w:pPr>
          </w:p>
        </w:tc>
        <w:tc>
          <w:tcPr>
            <w:tcW w:w="1705" w:type="dxa"/>
            <w:vAlign w:val="center"/>
          </w:tcPr>
          <w:p w14:paraId="586A4D46">
            <w:pPr>
              <w:jc w:val="center"/>
              <w:rPr>
                <w:rFonts w:hint="eastAsia" w:ascii="宋体" w:hAnsi="宋体" w:eastAsia="宋体" w:cs="宋体"/>
                <w:color w:val="auto"/>
                <w:highlight w:val="none"/>
              </w:rPr>
            </w:pPr>
          </w:p>
        </w:tc>
        <w:tc>
          <w:tcPr>
            <w:tcW w:w="1705" w:type="dxa"/>
            <w:vAlign w:val="center"/>
          </w:tcPr>
          <w:p w14:paraId="46BF66A2">
            <w:pPr>
              <w:jc w:val="center"/>
              <w:rPr>
                <w:rFonts w:hint="eastAsia" w:ascii="宋体" w:hAnsi="宋体" w:eastAsia="宋体" w:cs="宋体"/>
                <w:color w:val="auto"/>
                <w:highlight w:val="none"/>
              </w:rPr>
            </w:pPr>
          </w:p>
        </w:tc>
      </w:tr>
    </w:tbl>
    <w:p w14:paraId="2A54EA42">
      <w:pPr>
        <w:rPr>
          <w:rFonts w:hint="eastAsia" w:ascii="宋体" w:hAnsi="宋体" w:eastAsia="宋体" w:cs="宋体"/>
          <w:color w:val="auto"/>
          <w:szCs w:val="21"/>
          <w:highlight w:val="none"/>
        </w:rPr>
      </w:pPr>
    </w:p>
    <w:p w14:paraId="0F32D2B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58E4EE85">
      <w:pPr>
        <w:numPr>
          <w:ilvl w:val="0"/>
          <w:numId w:val="24"/>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该表格为参考格式，投标人可按实际情况自行制订评分标准索引表。</w:t>
      </w:r>
    </w:p>
    <w:p w14:paraId="7812B974">
      <w:pPr>
        <w:pStyle w:val="10"/>
        <w:spacing w:before="0"/>
        <w:ind w:left="0"/>
        <w:rPr>
          <w:rFonts w:hint="eastAsia" w:ascii="宋体" w:hAnsi="宋体" w:eastAsia="宋体" w:cs="宋体"/>
          <w:color w:val="auto"/>
          <w:highlight w:val="none"/>
        </w:rPr>
      </w:pPr>
    </w:p>
    <w:p w14:paraId="222EC0A0">
      <w:pPr>
        <w:adjustRightInd/>
        <w:snapToGrid/>
        <w:spacing w:line="276" w:lineRule="auto"/>
        <w:rPr>
          <w:rFonts w:hint="eastAsia" w:ascii="宋体" w:hAnsi="宋体" w:eastAsia="宋体" w:cs="宋体"/>
          <w:color w:val="auto"/>
          <w:szCs w:val="21"/>
          <w:highlight w:val="none"/>
        </w:rPr>
      </w:pPr>
    </w:p>
    <w:p w14:paraId="6217A5B9">
      <w:pPr>
        <w:adjustRightInd/>
        <w:snapToGrid/>
        <w:spacing w:line="276" w:lineRule="auto"/>
        <w:rPr>
          <w:rFonts w:hint="eastAsia" w:ascii="宋体" w:hAnsi="宋体" w:eastAsia="宋体" w:cs="宋体"/>
          <w:color w:val="auto"/>
          <w:szCs w:val="21"/>
          <w:highlight w:val="none"/>
        </w:rPr>
      </w:pPr>
    </w:p>
    <w:p w14:paraId="5F67D7E1">
      <w:pPr>
        <w:adjustRightInd/>
        <w:snapToGrid/>
        <w:spacing w:line="276" w:lineRule="auto"/>
        <w:rPr>
          <w:rFonts w:hint="eastAsia" w:ascii="宋体" w:hAnsi="宋体" w:eastAsia="宋体" w:cs="宋体"/>
          <w:color w:val="auto"/>
          <w:szCs w:val="21"/>
          <w:highlight w:val="none"/>
        </w:rPr>
      </w:pPr>
    </w:p>
    <w:p w14:paraId="36A723F9">
      <w:pPr>
        <w:adjustRightInd/>
        <w:snapToGrid/>
        <w:spacing w:line="276" w:lineRule="auto"/>
        <w:rPr>
          <w:rFonts w:hint="eastAsia" w:ascii="宋体" w:hAnsi="宋体" w:eastAsia="宋体" w:cs="宋体"/>
          <w:color w:val="auto"/>
          <w:szCs w:val="21"/>
          <w:highlight w:val="none"/>
        </w:rPr>
      </w:pPr>
    </w:p>
    <w:p w14:paraId="2FD9AAD8">
      <w:pPr>
        <w:adjustRightInd/>
        <w:snapToGrid/>
        <w:spacing w:line="276" w:lineRule="auto"/>
        <w:rPr>
          <w:rFonts w:hint="eastAsia" w:ascii="宋体" w:hAnsi="宋体" w:eastAsia="宋体" w:cs="宋体"/>
          <w:color w:val="auto"/>
          <w:szCs w:val="21"/>
          <w:highlight w:val="none"/>
        </w:rPr>
      </w:pPr>
    </w:p>
    <w:p w14:paraId="3743155D">
      <w:pPr>
        <w:adjustRightInd/>
        <w:snapToGrid/>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1869BBB3">
      <w:pPr>
        <w:jc w:val="center"/>
        <w:rPr>
          <w:rFonts w:hint="eastAsia" w:ascii="宋体" w:hAnsi="宋体" w:eastAsia="宋体" w:cs="宋体"/>
          <w:color w:val="auto"/>
          <w:sz w:val="52"/>
          <w:szCs w:val="52"/>
          <w:highlight w:val="none"/>
        </w:rPr>
      </w:pPr>
      <w:bookmarkStart w:id="285" w:name="_Toc18450"/>
      <w:bookmarkStart w:id="286" w:name="_Toc30918"/>
      <w:bookmarkStart w:id="287" w:name="_Toc21746"/>
      <w:bookmarkStart w:id="288" w:name="_Toc28154"/>
      <w:bookmarkStart w:id="289" w:name="_Toc20335"/>
    </w:p>
    <w:p w14:paraId="587A607E">
      <w:pPr>
        <w:pStyle w:val="2"/>
        <w:spacing w:before="0" w:after="0" w:line="360" w:lineRule="auto"/>
        <w:jc w:val="center"/>
        <w:rPr>
          <w:rFonts w:hint="eastAsia" w:ascii="宋体" w:hAnsi="宋体" w:eastAsia="宋体" w:cs="宋体"/>
          <w:color w:val="auto"/>
          <w:sz w:val="72"/>
          <w:szCs w:val="72"/>
          <w:highlight w:val="none"/>
        </w:rPr>
      </w:pPr>
      <w:bookmarkStart w:id="290" w:name="_Toc16022"/>
      <w:r>
        <w:rPr>
          <w:rFonts w:hint="eastAsia" w:ascii="宋体" w:hAnsi="宋体" w:eastAsia="宋体" w:cs="宋体"/>
          <w:color w:val="auto"/>
          <w:sz w:val="72"/>
          <w:szCs w:val="72"/>
          <w:highlight w:val="none"/>
        </w:rPr>
        <w:t>价格文件</w:t>
      </w:r>
      <w:bookmarkEnd w:id="285"/>
      <w:bookmarkEnd w:id="286"/>
      <w:bookmarkEnd w:id="290"/>
      <w:bookmarkStart w:id="291" w:name="_Hlt10519799"/>
      <w:bookmarkEnd w:id="291"/>
      <w:bookmarkStart w:id="292" w:name="_Hlt10456397"/>
      <w:bookmarkEnd w:id="292"/>
    </w:p>
    <w:p w14:paraId="795DBDDF">
      <w:pPr>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（单独装订成册）</w:t>
      </w:r>
      <w:bookmarkEnd w:id="287"/>
      <w:bookmarkEnd w:id="288"/>
      <w:bookmarkEnd w:id="289"/>
    </w:p>
    <w:p w14:paraId="0CFDE6DA">
      <w:pPr>
        <w:rPr>
          <w:rFonts w:hint="eastAsia" w:ascii="宋体" w:hAnsi="宋体" w:eastAsia="宋体" w:cs="宋体"/>
          <w:color w:val="auto"/>
          <w:highlight w:val="none"/>
        </w:rPr>
      </w:pPr>
    </w:p>
    <w:p w14:paraId="28DA1BCB">
      <w:pPr>
        <w:pStyle w:val="10"/>
        <w:rPr>
          <w:rFonts w:hint="eastAsia" w:ascii="宋体" w:hAnsi="宋体" w:eastAsia="宋体" w:cs="宋体"/>
          <w:color w:val="auto"/>
          <w:highlight w:val="none"/>
        </w:rPr>
      </w:pPr>
    </w:p>
    <w:p w14:paraId="322E9398">
      <w:pPr>
        <w:pStyle w:val="29"/>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rPr>
          <w:rFonts w:hint="eastAsia" w:ascii="宋体" w:hAnsi="宋体" w:eastAsia="宋体" w:cs="宋体"/>
          <w:color w:val="auto"/>
          <w:highlight w:val="none"/>
        </w:rPr>
      </w:pPr>
    </w:p>
    <w:p w14:paraId="1C5F1CDA">
      <w:pPr>
        <w:keepNext w:val="0"/>
        <w:keepLines w:val="0"/>
        <w:pageBreakBefore w:val="0"/>
        <w:widowControl/>
        <w:kinsoku/>
        <w:wordWrap/>
        <w:overflowPunct/>
        <w:topLinePunct w:val="0"/>
        <w:autoSpaceDE/>
        <w:autoSpaceDN/>
        <w:bidi w:val="0"/>
        <w:adjustRightInd w:val="0"/>
        <w:snapToGrid w:val="0"/>
        <w:spacing w:afterAutospacing="0" w:line="360" w:lineRule="auto"/>
        <w:ind w:left="0"/>
        <w:textAlignment w:val="auto"/>
        <w:rPr>
          <w:rFonts w:hint="eastAsia" w:ascii="宋体" w:hAnsi="宋体" w:eastAsia="宋体" w:cs="宋体"/>
          <w:b/>
          <w:bCs/>
          <w:color w:val="auto"/>
          <w:spacing w:val="-6"/>
          <w:sz w:val="32"/>
          <w:szCs w:val="32"/>
          <w:highlight w:val="none"/>
        </w:rPr>
      </w:pPr>
      <w:r>
        <w:rPr>
          <w:rFonts w:hint="eastAsia" w:ascii="宋体" w:hAnsi="宋体" w:eastAsia="宋体" w:cs="宋体"/>
          <w:b/>
          <w:bCs/>
          <w:color w:val="auto"/>
          <w:spacing w:val="53"/>
          <w:kern w:val="0"/>
          <w:sz w:val="32"/>
          <w:szCs w:val="32"/>
          <w:highlight w:val="none"/>
          <w:fitText w:val="1600" w:id="1947737316"/>
        </w:rPr>
        <w:t>项目名</w:t>
      </w:r>
      <w:r>
        <w:rPr>
          <w:rFonts w:hint="eastAsia" w:ascii="宋体" w:hAnsi="宋体" w:eastAsia="宋体" w:cs="宋体"/>
          <w:b/>
          <w:bCs/>
          <w:color w:val="auto"/>
          <w:spacing w:val="1"/>
          <w:kern w:val="0"/>
          <w:sz w:val="32"/>
          <w:szCs w:val="32"/>
          <w:highlight w:val="none"/>
          <w:fitText w:val="1600" w:id="1947737316"/>
        </w:rPr>
        <w:t>称</w:t>
      </w:r>
      <w:r>
        <w:rPr>
          <w:rFonts w:hint="eastAsia" w:ascii="宋体" w:hAnsi="宋体" w:eastAsia="宋体" w:cs="宋体"/>
          <w:b/>
          <w:bCs/>
          <w:color w:val="auto"/>
          <w:spacing w:val="-6"/>
          <w:sz w:val="32"/>
          <w:szCs w:val="32"/>
          <w:highlight w:val="none"/>
        </w:rPr>
        <w:t>：</w:t>
      </w:r>
    </w:p>
    <w:p w14:paraId="5DB03F11">
      <w:pPr>
        <w:keepNext w:val="0"/>
        <w:keepLines w:val="0"/>
        <w:pageBreakBefore w:val="0"/>
        <w:widowControl/>
        <w:kinsoku/>
        <w:wordWrap/>
        <w:overflowPunct/>
        <w:topLinePunct w:val="0"/>
        <w:autoSpaceDE/>
        <w:autoSpaceDN/>
        <w:bidi w:val="0"/>
        <w:adjustRightInd w:val="0"/>
        <w:snapToGrid w:val="0"/>
        <w:spacing w:afterAutospacing="0" w:line="360" w:lineRule="auto"/>
        <w:ind w:left="0"/>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pacing w:val="53"/>
          <w:kern w:val="0"/>
          <w:sz w:val="32"/>
          <w:szCs w:val="32"/>
          <w:highlight w:val="none"/>
          <w:fitText w:val="1600" w:id="70211570"/>
        </w:rPr>
        <w:t>项目编</w:t>
      </w:r>
      <w:r>
        <w:rPr>
          <w:rFonts w:hint="eastAsia" w:ascii="宋体" w:hAnsi="宋体" w:eastAsia="宋体" w:cs="宋体"/>
          <w:b/>
          <w:bCs/>
          <w:color w:val="auto"/>
          <w:spacing w:val="1"/>
          <w:kern w:val="0"/>
          <w:sz w:val="32"/>
          <w:szCs w:val="32"/>
          <w:highlight w:val="none"/>
          <w:fitText w:val="1600" w:id="70211570"/>
        </w:rPr>
        <w:t>号</w:t>
      </w:r>
      <w:r>
        <w:rPr>
          <w:rFonts w:hint="eastAsia" w:ascii="宋体" w:hAnsi="宋体" w:eastAsia="宋体" w:cs="宋体"/>
          <w:b/>
          <w:bCs/>
          <w:color w:val="auto"/>
          <w:sz w:val="32"/>
          <w:szCs w:val="32"/>
          <w:highlight w:val="none"/>
        </w:rPr>
        <w:t>：</w:t>
      </w:r>
    </w:p>
    <w:p w14:paraId="5745E2C9">
      <w:pPr>
        <w:pStyle w:val="27"/>
        <w:keepNext w:val="0"/>
        <w:keepLines w:val="0"/>
        <w:pageBreakBefore w:val="0"/>
        <w:widowControl/>
        <w:kinsoku/>
        <w:wordWrap/>
        <w:overflowPunct/>
        <w:topLinePunct w:val="0"/>
        <w:autoSpaceDE/>
        <w:autoSpaceDN/>
        <w:bidi w:val="0"/>
        <w:adjustRightInd w:val="0"/>
        <w:snapToGrid w:val="0"/>
        <w:spacing w:afterAutospacing="0" w:line="360" w:lineRule="auto"/>
        <w:ind w:left="0"/>
        <w:jc w:val="left"/>
        <w:textAlignment w:val="auto"/>
        <w:rPr>
          <w:rFonts w:hint="eastAsia" w:ascii="宋体" w:hAnsi="宋体" w:eastAsia="宋体" w:cs="宋体"/>
          <w:b/>
          <w:color w:val="auto"/>
          <w:spacing w:val="1280"/>
          <w:kern w:val="0"/>
          <w:sz w:val="32"/>
          <w:szCs w:val="32"/>
          <w:highlight w:val="none"/>
        </w:rPr>
      </w:pPr>
      <w:r>
        <w:rPr>
          <w:rFonts w:hint="eastAsia" w:ascii="宋体" w:hAnsi="宋体" w:eastAsia="宋体" w:cs="宋体"/>
          <w:b/>
          <w:color w:val="auto"/>
          <w:spacing w:val="106"/>
          <w:kern w:val="0"/>
          <w:sz w:val="32"/>
          <w:szCs w:val="32"/>
          <w:highlight w:val="none"/>
          <w:lang w:bidi="ar"/>
        </w:rPr>
        <w:t>包组号（如有）：</w:t>
      </w:r>
    </w:p>
    <w:p w14:paraId="6AA929F6">
      <w:pPr>
        <w:keepNext w:val="0"/>
        <w:keepLines w:val="0"/>
        <w:pageBreakBefore w:val="0"/>
        <w:widowControl/>
        <w:kinsoku/>
        <w:wordWrap/>
        <w:overflowPunct/>
        <w:topLinePunct w:val="0"/>
        <w:autoSpaceDE/>
        <w:autoSpaceDN/>
        <w:bidi w:val="0"/>
        <w:adjustRightInd w:val="0"/>
        <w:snapToGrid w:val="0"/>
        <w:spacing w:afterAutospacing="0" w:line="360" w:lineRule="auto"/>
        <w:ind w:left="0"/>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pacing w:val="0"/>
          <w:kern w:val="0"/>
          <w:sz w:val="32"/>
          <w:szCs w:val="32"/>
          <w:highlight w:val="none"/>
          <w:fitText w:val="1600" w:id="1458731915"/>
        </w:rPr>
        <w:t>投标人名称</w:t>
      </w:r>
      <w:r>
        <w:rPr>
          <w:rFonts w:hint="eastAsia" w:ascii="宋体" w:hAnsi="宋体" w:eastAsia="宋体" w:cs="宋体"/>
          <w:b/>
          <w:color w:val="auto"/>
          <w:sz w:val="32"/>
          <w:szCs w:val="32"/>
          <w:highlight w:val="none"/>
        </w:rPr>
        <w:t>：</w:t>
      </w:r>
    </w:p>
    <w:p w14:paraId="49B6ED87">
      <w:pPr>
        <w:keepNext w:val="0"/>
        <w:keepLines w:val="0"/>
        <w:pageBreakBefore w:val="0"/>
        <w:widowControl/>
        <w:kinsoku/>
        <w:wordWrap/>
        <w:overflowPunct/>
        <w:topLinePunct w:val="0"/>
        <w:autoSpaceDE/>
        <w:autoSpaceDN/>
        <w:bidi w:val="0"/>
        <w:adjustRightInd w:val="0"/>
        <w:snapToGrid w:val="0"/>
        <w:spacing w:afterAutospacing="0" w:line="360" w:lineRule="auto"/>
        <w:ind w:left="0"/>
        <w:textAlignment w:val="auto"/>
        <w:rPr>
          <w:rFonts w:hint="eastAsia" w:ascii="宋体" w:hAnsi="宋体" w:eastAsia="宋体" w:cs="宋体"/>
          <w:b/>
          <w:color w:val="auto"/>
          <w:sz w:val="32"/>
          <w:szCs w:val="32"/>
          <w:highlight w:val="none"/>
        </w:rPr>
      </w:pPr>
      <w:r>
        <w:rPr>
          <w:rFonts w:hint="eastAsia" w:ascii="宋体" w:hAnsi="宋体" w:eastAsia="宋体" w:cs="宋体"/>
          <w:b/>
          <w:color w:val="auto"/>
          <w:spacing w:val="32"/>
          <w:kern w:val="0"/>
          <w:sz w:val="32"/>
          <w:szCs w:val="32"/>
          <w:highlight w:val="none"/>
          <w:fitText w:val="1600" w:id="437591866"/>
        </w:rPr>
        <w:t xml:space="preserve">日    </w:t>
      </w:r>
      <w:r>
        <w:rPr>
          <w:rFonts w:hint="eastAsia" w:ascii="宋体" w:hAnsi="宋体" w:eastAsia="宋体" w:cs="宋体"/>
          <w:b/>
          <w:color w:val="auto"/>
          <w:spacing w:val="0"/>
          <w:kern w:val="0"/>
          <w:sz w:val="32"/>
          <w:szCs w:val="32"/>
          <w:highlight w:val="none"/>
          <w:fitText w:val="1600" w:id="437591866"/>
        </w:rPr>
        <w:t>期</w:t>
      </w:r>
      <w:r>
        <w:rPr>
          <w:rFonts w:hint="eastAsia" w:ascii="宋体" w:hAnsi="宋体" w:eastAsia="宋体" w:cs="宋体"/>
          <w:b/>
          <w:color w:val="auto"/>
          <w:sz w:val="32"/>
          <w:szCs w:val="32"/>
          <w:highlight w:val="none"/>
        </w:rPr>
        <w:t>：</w:t>
      </w:r>
    </w:p>
    <w:p w14:paraId="7F94A78F">
      <w:pPr>
        <w:rPr>
          <w:rFonts w:hint="eastAsia" w:ascii="宋体" w:hAnsi="宋体" w:eastAsia="宋体" w:cs="宋体"/>
          <w:color w:val="auto"/>
          <w:highlight w:val="none"/>
        </w:rPr>
      </w:pPr>
    </w:p>
    <w:p w14:paraId="36D4614D">
      <w:pPr>
        <w:pStyle w:val="10"/>
        <w:rPr>
          <w:rFonts w:hint="eastAsia" w:ascii="宋体" w:hAnsi="宋体" w:eastAsia="宋体" w:cs="宋体"/>
          <w:color w:val="auto"/>
          <w:highlight w:val="none"/>
        </w:rPr>
      </w:pPr>
    </w:p>
    <w:p w14:paraId="5E3FD0A5">
      <w:pPr>
        <w:pStyle w:val="29"/>
        <w:ind w:firstLine="240"/>
        <w:rPr>
          <w:rFonts w:hint="eastAsia" w:ascii="宋体" w:hAnsi="宋体" w:eastAsia="宋体" w:cs="宋体"/>
          <w:color w:val="auto"/>
          <w:highlight w:val="none"/>
        </w:rPr>
      </w:pPr>
    </w:p>
    <w:p w14:paraId="0EC84B69">
      <w:pPr>
        <w:pStyle w:val="23"/>
        <w:rPr>
          <w:rFonts w:hint="eastAsia" w:ascii="宋体" w:hAnsi="宋体" w:eastAsia="宋体" w:cs="宋体"/>
          <w:color w:val="auto"/>
          <w:highlight w:val="none"/>
        </w:rPr>
      </w:pPr>
    </w:p>
    <w:p w14:paraId="5DB49B17">
      <w:pPr>
        <w:rPr>
          <w:rFonts w:hint="eastAsia" w:ascii="宋体" w:hAnsi="宋体" w:eastAsia="宋体" w:cs="宋体"/>
          <w:color w:val="auto"/>
          <w:highlight w:val="none"/>
        </w:rPr>
      </w:pPr>
    </w:p>
    <w:p w14:paraId="3A9C9BEF">
      <w:pPr>
        <w:pStyle w:val="10"/>
        <w:rPr>
          <w:rFonts w:hint="eastAsia" w:ascii="宋体" w:hAnsi="宋体" w:eastAsia="宋体" w:cs="宋体"/>
          <w:color w:val="auto"/>
          <w:highlight w:val="none"/>
        </w:rPr>
      </w:pPr>
    </w:p>
    <w:p w14:paraId="1AD0042E">
      <w:pPr>
        <w:pStyle w:val="29"/>
        <w:ind w:firstLine="240"/>
        <w:rPr>
          <w:rFonts w:hint="eastAsia" w:ascii="宋体" w:hAnsi="宋体" w:eastAsia="宋体" w:cs="宋体"/>
          <w:color w:val="auto"/>
          <w:highlight w:val="none"/>
        </w:rPr>
      </w:pPr>
    </w:p>
    <w:p w14:paraId="771496AE">
      <w:pPr>
        <w:pStyle w:val="23"/>
        <w:rPr>
          <w:rFonts w:hint="eastAsia" w:ascii="宋体" w:hAnsi="宋体" w:eastAsia="宋体" w:cs="宋体"/>
          <w:color w:val="auto"/>
          <w:highlight w:val="none"/>
        </w:rPr>
      </w:pPr>
    </w:p>
    <w:p w14:paraId="2C33B931">
      <w:pPr>
        <w:pStyle w:val="23"/>
        <w:ind w:left="0"/>
        <w:rPr>
          <w:rFonts w:hint="eastAsia" w:ascii="宋体" w:hAnsi="宋体" w:eastAsia="宋体" w:cs="宋体"/>
          <w:color w:val="auto"/>
          <w:highlight w:val="none"/>
        </w:rPr>
      </w:pPr>
    </w:p>
    <w:p w14:paraId="526327E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7396EE9">
      <w:pPr>
        <w:pStyle w:val="5"/>
        <w:widowControl w:val="0"/>
        <w:overflowPunct w:val="0"/>
        <w:spacing w:line="240" w:lineRule="auto"/>
        <w:rPr>
          <w:rFonts w:hint="eastAsia" w:ascii="宋体" w:hAnsi="宋体" w:eastAsia="宋体" w:cs="宋体"/>
          <w:color w:val="auto"/>
          <w:sz w:val="21"/>
          <w:szCs w:val="21"/>
          <w:highlight w:val="none"/>
        </w:rPr>
      </w:pPr>
      <w:bookmarkStart w:id="293" w:name="_Toc15834"/>
      <w:r>
        <w:rPr>
          <w:rFonts w:hint="eastAsia" w:ascii="宋体" w:hAnsi="宋体" w:eastAsia="宋体" w:cs="宋体"/>
          <w:color w:val="auto"/>
          <w:sz w:val="21"/>
          <w:szCs w:val="21"/>
          <w:highlight w:val="none"/>
        </w:rPr>
        <w:t>附件2.开标一览表格式</w:t>
      </w:r>
      <w:bookmarkEnd w:id="293"/>
    </w:p>
    <w:p w14:paraId="231B9D63">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开标一览表</w:t>
      </w:r>
    </w:p>
    <w:p w14:paraId="7DA921D5">
      <w:pPr>
        <w:rPr>
          <w:rFonts w:hint="eastAsia" w:ascii="宋体" w:hAnsi="宋体" w:eastAsia="宋体" w:cs="宋体"/>
          <w:color w:val="auto"/>
          <w:highlight w:val="none"/>
        </w:rPr>
      </w:pPr>
    </w:p>
    <w:p w14:paraId="3B37808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p w14:paraId="46896BE7">
      <w:pPr>
        <w:rPr>
          <w:rFonts w:hint="eastAsia" w:ascii="宋体" w:hAnsi="宋体" w:eastAsia="宋体" w:cs="宋体"/>
          <w:color w:val="auto"/>
          <w:highlight w:val="none"/>
        </w:rPr>
      </w:pPr>
      <w:r>
        <w:rPr>
          <w:rFonts w:hint="eastAsia" w:ascii="宋体" w:hAnsi="宋体" w:eastAsia="宋体" w:cs="宋体"/>
          <w:color w:val="auto"/>
          <w:szCs w:val="21"/>
          <w:highlight w:val="none"/>
        </w:rPr>
        <w:t>采购项目编号：</w:t>
      </w:r>
    </w:p>
    <w:tbl>
      <w:tblPr>
        <w:tblStyle w:val="31"/>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207"/>
        <w:gridCol w:w="1755"/>
        <w:gridCol w:w="1773"/>
        <w:gridCol w:w="1827"/>
        <w:gridCol w:w="928"/>
        <w:gridCol w:w="692"/>
      </w:tblGrid>
      <w:tr w14:paraId="7287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755" w:type="dxa"/>
            <w:tcBorders>
              <w:bottom w:val="double" w:color="auto" w:sz="4" w:space="0"/>
            </w:tcBorders>
            <w:noWrap w:val="0"/>
            <w:vAlign w:val="center"/>
          </w:tcPr>
          <w:p w14:paraId="431391F6">
            <w:pPr>
              <w:widowControl w:val="0"/>
              <w:tabs>
                <w:tab w:val="left" w:pos="654"/>
                <w:tab w:val="left" w:pos="1734"/>
                <w:tab w:val="left" w:pos="2814"/>
                <w:tab w:val="left" w:pos="3894"/>
                <w:tab w:val="left" w:pos="5334"/>
                <w:tab w:val="left" w:pos="6414"/>
                <w:tab w:val="left" w:pos="7254"/>
                <w:tab w:val="left" w:pos="8574"/>
                <w:tab w:val="left" w:pos="9654"/>
              </w:tabs>
              <w:adjustRightInd/>
              <w:snapToGrid/>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序号</w:t>
            </w:r>
          </w:p>
        </w:tc>
        <w:tc>
          <w:tcPr>
            <w:tcW w:w="1207" w:type="dxa"/>
            <w:tcBorders>
              <w:bottom w:val="double" w:color="auto" w:sz="4" w:space="0"/>
            </w:tcBorders>
            <w:noWrap w:val="0"/>
            <w:vAlign w:val="center"/>
          </w:tcPr>
          <w:p w14:paraId="203F0E5C">
            <w:pPr>
              <w:widowControl w:val="0"/>
              <w:tabs>
                <w:tab w:val="left" w:pos="654"/>
                <w:tab w:val="left" w:pos="1734"/>
                <w:tab w:val="left" w:pos="2814"/>
                <w:tab w:val="left" w:pos="3894"/>
                <w:tab w:val="left" w:pos="5334"/>
                <w:tab w:val="left" w:pos="6414"/>
                <w:tab w:val="left" w:pos="7254"/>
                <w:tab w:val="left" w:pos="8574"/>
                <w:tab w:val="left" w:pos="9654"/>
              </w:tabs>
              <w:adjustRightInd/>
              <w:snapToGrid/>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项目</w:t>
            </w:r>
            <w:r>
              <w:rPr>
                <w:rFonts w:hint="eastAsia" w:ascii="宋体" w:hAnsi="宋体" w:eastAsia="宋体" w:cs="宋体"/>
                <w:bCs/>
                <w:color w:val="auto"/>
                <w:sz w:val="21"/>
                <w:szCs w:val="21"/>
                <w:highlight w:val="none"/>
              </w:rPr>
              <w:t>名称</w:t>
            </w:r>
          </w:p>
        </w:tc>
        <w:tc>
          <w:tcPr>
            <w:tcW w:w="5355" w:type="dxa"/>
            <w:gridSpan w:val="3"/>
            <w:tcBorders>
              <w:bottom w:val="double" w:color="auto" w:sz="4" w:space="0"/>
            </w:tcBorders>
            <w:noWrap w:val="0"/>
            <w:vAlign w:val="center"/>
          </w:tcPr>
          <w:p w14:paraId="141438E8">
            <w:pPr>
              <w:widowControl w:val="0"/>
              <w:tabs>
                <w:tab w:val="left" w:pos="654"/>
                <w:tab w:val="left" w:pos="1734"/>
                <w:tab w:val="left" w:pos="2814"/>
                <w:tab w:val="left" w:pos="3894"/>
                <w:tab w:val="left" w:pos="5334"/>
                <w:tab w:val="left" w:pos="6414"/>
                <w:tab w:val="left" w:pos="7254"/>
                <w:tab w:val="left" w:pos="8574"/>
                <w:tab w:val="left" w:pos="9654"/>
              </w:tabs>
              <w:adjustRightInd/>
              <w:snapToGrid/>
              <w:spacing w:line="360" w:lineRule="auto"/>
              <w:jc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项目</w:t>
            </w:r>
            <w:r>
              <w:rPr>
                <w:rFonts w:hint="eastAsia" w:ascii="宋体" w:hAnsi="宋体" w:eastAsia="宋体" w:cs="宋体"/>
                <w:bCs/>
                <w:color w:val="auto"/>
                <w:sz w:val="21"/>
                <w:szCs w:val="21"/>
                <w:highlight w:val="none"/>
                <w:lang w:eastAsia="zh-CN"/>
              </w:rPr>
              <w:t>报价</w:t>
            </w:r>
          </w:p>
        </w:tc>
        <w:tc>
          <w:tcPr>
            <w:tcW w:w="928" w:type="dxa"/>
            <w:tcBorders>
              <w:bottom w:val="double" w:color="auto" w:sz="4" w:space="0"/>
            </w:tcBorders>
            <w:noWrap w:val="0"/>
            <w:vAlign w:val="center"/>
          </w:tcPr>
          <w:p w14:paraId="60904C8E">
            <w:pPr>
              <w:widowControl w:val="0"/>
              <w:tabs>
                <w:tab w:val="left" w:pos="654"/>
                <w:tab w:val="left" w:pos="1734"/>
                <w:tab w:val="left" w:pos="2814"/>
                <w:tab w:val="left" w:pos="3894"/>
                <w:tab w:val="left" w:pos="5334"/>
                <w:tab w:val="left" w:pos="6414"/>
                <w:tab w:val="left" w:pos="7254"/>
                <w:tab w:val="left" w:pos="8574"/>
                <w:tab w:val="left" w:pos="9654"/>
              </w:tabs>
              <w:adjustRightInd/>
              <w:snapToGrid/>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服务期</w:t>
            </w:r>
          </w:p>
        </w:tc>
        <w:tc>
          <w:tcPr>
            <w:tcW w:w="692" w:type="dxa"/>
            <w:tcBorders>
              <w:bottom w:val="double" w:color="auto" w:sz="4" w:space="0"/>
            </w:tcBorders>
            <w:noWrap w:val="0"/>
            <w:vAlign w:val="center"/>
          </w:tcPr>
          <w:p w14:paraId="6E2D8055">
            <w:pPr>
              <w:widowControl w:val="0"/>
              <w:tabs>
                <w:tab w:val="left" w:pos="654"/>
                <w:tab w:val="left" w:pos="1734"/>
                <w:tab w:val="left" w:pos="2814"/>
                <w:tab w:val="left" w:pos="3894"/>
                <w:tab w:val="left" w:pos="5334"/>
                <w:tab w:val="left" w:pos="6414"/>
                <w:tab w:val="left" w:pos="7254"/>
                <w:tab w:val="left" w:pos="8574"/>
                <w:tab w:val="left" w:pos="9654"/>
              </w:tabs>
              <w:adjustRightInd/>
              <w:snapToGrid/>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备注</w:t>
            </w:r>
          </w:p>
        </w:tc>
      </w:tr>
      <w:tr w14:paraId="55FA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5" w:hRule="atLeast"/>
          <w:jc w:val="center"/>
        </w:trPr>
        <w:tc>
          <w:tcPr>
            <w:tcW w:w="755" w:type="dxa"/>
            <w:vMerge w:val="restart"/>
            <w:noWrap w:val="0"/>
            <w:vAlign w:val="center"/>
          </w:tcPr>
          <w:p w14:paraId="51B757BD">
            <w:pPr>
              <w:widowControl w:val="0"/>
              <w:autoSpaceDE w:val="0"/>
              <w:autoSpaceDN w:val="0"/>
              <w:adjustRightInd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p>
        </w:tc>
        <w:tc>
          <w:tcPr>
            <w:tcW w:w="1207" w:type="dxa"/>
            <w:vMerge w:val="restart"/>
            <w:noWrap w:val="0"/>
            <w:vAlign w:val="center"/>
          </w:tcPr>
          <w:p w14:paraId="75FDCAB9">
            <w:pPr>
              <w:widowControl w:val="0"/>
              <w:autoSpaceDE w:val="0"/>
              <w:autoSpaceDN w:val="0"/>
              <w:adjustRightInd w:val="0"/>
              <w:spacing w:line="360" w:lineRule="auto"/>
              <w:jc w:val="center"/>
              <w:rPr>
                <w:rFonts w:hint="eastAsia" w:ascii="宋体" w:hAnsi="宋体" w:eastAsia="宋体" w:cs="宋体"/>
                <w:color w:val="auto"/>
                <w:kern w:val="2"/>
                <w:sz w:val="21"/>
                <w:szCs w:val="21"/>
                <w:highlight w:val="none"/>
                <w:lang w:val="en-US" w:eastAsia="zh-CN" w:bidi="ar-SA"/>
              </w:rPr>
            </w:pPr>
          </w:p>
        </w:tc>
        <w:tc>
          <w:tcPr>
            <w:tcW w:w="1755" w:type="dxa"/>
            <w:noWrap w:val="0"/>
            <w:vAlign w:val="center"/>
          </w:tcPr>
          <w:p w14:paraId="6328F913">
            <w:pPr>
              <w:widowControl/>
              <w:adjustRightInd/>
              <w:snapToGrid/>
              <w:spacing w:line="360" w:lineRule="auto"/>
              <w:jc w:val="center"/>
              <w:rPr>
                <w:rFonts w:hint="eastAsia" w:ascii="宋体" w:hAnsi="宋体" w:eastAsia="宋体" w:cs="宋体"/>
                <w:b/>
                <w:bCs/>
                <w:color w:val="auto"/>
                <w:szCs w:val="21"/>
                <w:highlight w:val="none"/>
                <w:u w:val="single"/>
                <w:lang w:val="en-US" w:eastAsia="zh-CN"/>
              </w:rPr>
            </w:pPr>
            <w:r>
              <w:rPr>
                <w:rFonts w:hint="eastAsia" w:ascii="宋体" w:hAnsi="宋体" w:eastAsia="宋体" w:cs="宋体"/>
                <w:b/>
                <w:bCs/>
                <w:color w:val="auto"/>
                <w:szCs w:val="21"/>
                <w:highlight w:val="none"/>
                <w:u w:val="single"/>
                <w:lang w:val="en-US" w:eastAsia="zh-CN"/>
              </w:rPr>
              <w:t>常规项部分价格</w:t>
            </w:r>
          </w:p>
          <w:p w14:paraId="1551C514">
            <w:pPr>
              <w:widowControl/>
              <w:adjustRightInd/>
              <w:snapToGrid/>
              <w:spacing w:line="360" w:lineRule="auto"/>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（下浮率）</w:t>
            </w:r>
          </w:p>
        </w:tc>
        <w:tc>
          <w:tcPr>
            <w:tcW w:w="1773" w:type="dxa"/>
            <w:shd w:val="clear" w:color="auto" w:fill="auto"/>
            <w:noWrap w:val="0"/>
            <w:vAlign w:val="center"/>
          </w:tcPr>
          <w:p w14:paraId="0560F867">
            <w:pPr>
              <w:widowControl/>
              <w:adjustRightInd/>
              <w:snapToGrid/>
              <w:spacing w:line="360" w:lineRule="auto"/>
              <w:jc w:val="center"/>
              <w:rPr>
                <w:rFonts w:hint="eastAsia" w:ascii="宋体" w:hAnsi="宋体" w:eastAsia="宋体" w:cs="宋体"/>
                <w:b/>
                <w:bCs/>
                <w:color w:val="auto"/>
                <w:szCs w:val="21"/>
                <w:highlight w:val="none"/>
                <w:u w:val="single"/>
                <w:lang w:val="en-US" w:eastAsia="zh-CN"/>
              </w:rPr>
            </w:pPr>
            <w:r>
              <w:rPr>
                <w:rFonts w:hint="eastAsia" w:ascii="宋体" w:hAnsi="宋体" w:eastAsia="宋体" w:cs="宋体"/>
                <w:b/>
                <w:bCs/>
                <w:color w:val="auto"/>
                <w:szCs w:val="21"/>
                <w:highlight w:val="none"/>
                <w:u w:val="single"/>
                <w:lang w:val="en-US" w:eastAsia="zh-CN"/>
              </w:rPr>
              <w:t>特殊项部分价格</w:t>
            </w:r>
          </w:p>
          <w:p w14:paraId="5E29CF84">
            <w:pPr>
              <w:widowControl/>
              <w:adjustRightInd/>
              <w:snapToGrid/>
              <w:spacing w:line="360" w:lineRule="auto"/>
              <w:jc w:val="center"/>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rPr>
              <w:t>（下浮率）</w:t>
            </w:r>
          </w:p>
        </w:tc>
        <w:tc>
          <w:tcPr>
            <w:tcW w:w="1827" w:type="dxa"/>
            <w:noWrap w:val="0"/>
            <w:vAlign w:val="center"/>
          </w:tcPr>
          <w:p w14:paraId="587EA2AA">
            <w:pPr>
              <w:widowControl/>
              <w:adjustRightInd/>
              <w:snapToGrid/>
              <w:spacing w:line="360" w:lineRule="auto"/>
              <w:jc w:val="center"/>
              <w:rPr>
                <w:rFonts w:hint="eastAsia" w:ascii="宋体" w:hAnsi="宋体" w:eastAsia="宋体" w:cs="宋体"/>
                <w:b/>
                <w:bCs/>
                <w:color w:val="auto"/>
                <w:szCs w:val="21"/>
                <w:highlight w:val="none"/>
                <w:u w:val="single"/>
                <w:lang w:val="en-US" w:eastAsia="zh-CN"/>
              </w:rPr>
            </w:pPr>
            <w:r>
              <w:rPr>
                <w:rFonts w:hint="eastAsia" w:ascii="宋体" w:hAnsi="宋体" w:eastAsia="宋体" w:cs="宋体"/>
                <w:b/>
                <w:bCs/>
                <w:color w:val="auto"/>
                <w:szCs w:val="21"/>
                <w:highlight w:val="none"/>
                <w:u w:val="single"/>
                <w:lang w:val="en-US" w:eastAsia="zh-CN"/>
              </w:rPr>
              <w:t>外判及日常项部分价格</w:t>
            </w:r>
          </w:p>
          <w:p w14:paraId="74E5A570">
            <w:pPr>
              <w:widowControl/>
              <w:adjustRightInd/>
              <w:snapToGrid/>
              <w:spacing w:line="360" w:lineRule="auto"/>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（下浮率）</w:t>
            </w:r>
          </w:p>
        </w:tc>
        <w:tc>
          <w:tcPr>
            <w:tcW w:w="928" w:type="dxa"/>
            <w:vMerge w:val="restart"/>
            <w:noWrap w:val="0"/>
            <w:vAlign w:val="center"/>
          </w:tcPr>
          <w:p w14:paraId="3AA41A1F">
            <w:pPr>
              <w:widowControl/>
              <w:adjustRightInd/>
              <w:snapToGrid/>
              <w:spacing w:line="360" w:lineRule="auto"/>
              <w:jc w:val="center"/>
              <w:rPr>
                <w:rFonts w:hint="eastAsia" w:ascii="宋体" w:hAnsi="宋体" w:eastAsia="宋体" w:cs="宋体"/>
                <w:bCs/>
                <w:color w:val="auto"/>
                <w:sz w:val="21"/>
                <w:szCs w:val="21"/>
                <w:highlight w:val="none"/>
              </w:rPr>
            </w:pPr>
          </w:p>
        </w:tc>
        <w:tc>
          <w:tcPr>
            <w:tcW w:w="692" w:type="dxa"/>
            <w:vMerge w:val="restart"/>
            <w:noWrap w:val="0"/>
            <w:vAlign w:val="center"/>
          </w:tcPr>
          <w:p w14:paraId="395EE4F8">
            <w:pPr>
              <w:widowControl w:val="0"/>
              <w:tabs>
                <w:tab w:val="left" w:pos="654"/>
                <w:tab w:val="left" w:pos="1734"/>
                <w:tab w:val="left" w:pos="2814"/>
                <w:tab w:val="left" w:pos="3894"/>
                <w:tab w:val="left" w:pos="5334"/>
                <w:tab w:val="left" w:pos="6414"/>
                <w:tab w:val="left" w:pos="7254"/>
                <w:tab w:val="left" w:pos="8574"/>
                <w:tab w:val="left" w:pos="9654"/>
              </w:tabs>
              <w:adjustRightInd/>
              <w:snapToGrid/>
              <w:spacing w:line="360" w:lineRule="auto"/>
              <w:jc w:val="center"/>
              <w:rPr>
                <w:rFonts w:hint="eastAsia" w:ascii="宋体" w:hAnsi="宋体" w:eastAsia="宋体" w:cs="宋体"/>
                <w:bCs/>
                <w:color w:val="auto"/>
                <w:sz w:val="21"/>
                <w:szCs w:val="21"/>
                <w:highlight w:val="none"/>
              </w:rPr>
            </w:pPr>
          </w:p>
        </w:tc>
      </w:tr>
      <w:tr w14:paraId="616B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6" w:hRule="atLeast"/>
          <w:jc w:val="center"/>
        </w:trPr>
        <w:tc>
          <w:tcPr>
            <w:tcW w:w="755" w:type="dxa"/>
            <w:vMerge w:val="continue"/>
            <w:noWrap w:val="0"/>
            <w:vAlign w:val="center"/>
          </w:tcPr>
          <w:p w14:paraId="0ED4C680">
            <w:pPr>
              <w:widowControl w:val="0"/>
              <w:autoSpaceDE w:val="0"/>
              <w:autoSpaceDN w:val="0"/>
              <w:adjustRightInd w:val="0"/>
              <w:spacing w:line="360" w:lineRule="auto"/>
              <w:jc w:val="center"/>
              <w:rPr>
                <w:rFonts w:hint="eastAsia" w:ascii="宋体" w:hAnsi="宋体" w:eastAsia="宋体" w:cs="宋体"/>
                <w:color w:val="auto"/>
                <w:kern w:val="2"/>
                <w:sz w:val="21"/>
                <w:szCs w:val="21"/>
                <w:highlight w:val="none"/>
                <w:lang w:val="en-US" w:eastAsia="zh-CN" w:bidi="ar-SA"/>
              </w:rPr>
            </w:pPr>
          </w:p>
        </w:tc>
        <w:tc>
          <w:tcPr>
            <w:tcW w:w="1207" w:type="dxa"/>
            <w:vMerge w:val="continue"/>
            <w:noWrap w:val="0"/>
            <w:vAlign w:val="center"/>
          </w:tcPr>
          <w:p w14:paraId="410DD91F">
            <w:pPr>
              <w:widowControl w:val="0"/>
              <w:autoSpaceDE w:val="0"/>
              <w:autoSpaceDN w:val="0"/>
              <w:adjustRightInd w:val="0"/>
              <w:spacing w:line="360" w:lineRule="auto"/>
              <w:jc w:val="center"/>
              <w:rPr>
                <w:rFonts w:hint="eastAsia" w:ascii="宋体" w:hAnsi="宋体" w:eastAsia="宋体" w:cs="宋体"/>
                <w:color w:val="auto"/>
                <w:kern w:val="2"/>
                <w:sz w:val="21"/>
                <w:szCs w:val="21"/>
                <w:highlight w:val="none"/>
                <w:lang w:val="en-US" w:eastAsia="zh-CN" w:bidi="ar-SA"/>
              </w:rPr>
            </w:pPr>
          </w:p>
        </w:tc>
        <w:tc>
          <w:tcPr>
            <w:tcW w:w="1755" w:type="dxa"/>
            <w:noWrap w:val="0"/>
            <w:vAlign w:val="center"/>
          </w:tcPr>
          <w:p w14:paraId="3E54F672">
            <w:pPr>
              <w:widowControl/>
              <w:adjustRightInd/>
              <w:snapToGrid/>
              <w:spacing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下浮率：</w:t>
            </w:r>
          </w:p>
          <w:p w14:paraId="11C97667">
            <w:pPr>
              <w:widowControl/>
              <w:adjustRightInd/>
              <w:snapToGrid/>
              <w:spacing w:line="360" w:lineRule="auto"/>
              <w:jc w:val="left"/>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lang w:val="en-US" w:eastAsia="zh-CN"/>
              </w:rPr>
              <w:t>百分之</w:t>
            </w:r>
            <w:r>
              <w:rPr>
                <w:rFonts w:hint="eastAsia" w:ascii="宋体" w:hAnsi="宋体" w:eastAsia="宋体" w:cs="宋体"/>
                <w:bCs/>
                <w:color w:val="auto"/>
                <w:sz w:val="21"/>
                <w:szCs w:val="21"/>
                <w:highlight w:val="none"/>
                <w:u w:val="single"/>
                <w:lang w:val="en-US" w:eastAsia="zh-CN"/>
              </w:rPr>
              <w:t xml:space="preserve">      </w:t>
            </w:r>
          </w:p>
          <w:p w14:paraId="67DBE1CF">
            <w:pPr>
              <w:widowControl/>
              <w:adjustRightInd/>
              <w:snapToGrid/>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下浮率：</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lang w:val="en-US" w:eastAsia="zh-CN"/>
              </w:rPr>
              <w:t>%</w:t>
            </w:r>
          </w:p>
        </w:tc>
        <w:tc>
          <w:tcPr>
            <w:tcW w:w="1773" w:type="dxa"/>
            <w:shd w:val="clear" w:color="auto" w:fill="auto"/>
            <w:noWrap w:val="0"/>
            <w:vAlign w:val="center"/>
          </w:tcPr>
          <w:p w14:paraId="3A77D4BB">
            <w:pPr>
              <w:widowControl/>
              <w:adjustRightInd/>
              <w:snapToGrid/>
              <w:spacing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下浮率：</w:t>
            </w:r>
          </w:p>
          <w:p w14:paraId="7DB1A504">
            <w:pPr>
              <w:widowControl/>
              <w:adjustRightInd/>
              <w:snapToGrid/>
              <w:spacing w:line="360" w:lineRule="auto"/>
              <w:jc w:val="left"/>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lang w:val="en-US" w:eastAsia="zh-CN"/>
              </w:rPr>
              <w:t>百分之</w:t>
            </w:r>
            <w:r>
              <w:rPr>
                <w:rFonts w:hint="eastAsia" w:ascii="宋体" w:hAnsi="宋体" w:eastAsia="宋体" w:cs="宋体"/>
                <w:bCs/>
                <w:color w:val="auto"/>
                <w:sz w:val="21"/>
                <w:szCs w:val="21"/>
                <w:highlight w:val="none"/>
                <w:u w:val="single"/>
                <w:lang w:val="en-US" w:eastAsia="zh-CN"/>
              </w:rPr>
              <w:t xml:space="preserve">      </w:t>
            </w:r>
          </w:p>
          <w:p w14:paraId="2A84496C">
            <w:pPr>
              <w:widowControl/>
              <w:adjustRightInd/>
              <w:snapToGrid/>
              <w:spacing w:line="360" w:lineRule="auto"/>
              <w:jc w:val="left"/>
              <w:rPr>
                <w:rFonts w:hint="eastAsia" w:ascii="宋体" w:hAnsi="宋体" w:eastAsia="宋体" w:cs="宋体"/>
                <w:bCs/>
                <w:color w:val="auto"/>
                <w:sz w:val="21"/>
                <w:szCs w:val="21"/>
                <w:highlight w:val="none"/>
                <w:lang w:val="en-US" w:eastAsia="zh-CN" w:bidi="ar-SA"/>
              </w:rPr>
            </w:pPr>
            <w:r>
              <w:rPr>
                <w:rFonts w:hint="eastAsia" w:ascii="宋体" w:hAnsi="宋体" w:eastAsia="宋体" w:cs="宋体"/>
                <w:bCs/>
                <w:color w:val="auto"/>
                <w:sz w:val="21"/>
                <w:szCs w:val="21"/>
                <w:highlight w:val="none"/>
                <w:lang w:val="en-US" w:eastAsia="zh-CN"/>
              </w:rPr>
              <w:t>下浮率：</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lang w:val="en-US" w:eastAsia="zh-CN"/>
              </w:rPr>
              <w:t>%</w:t>
            </w:r>
          </w:p>
        </w:tc>
        <w:tc>
          <w:tcPr>
            <w:tcW w:w="1827" w:type="dxa"/>
            <w:noWrap w:val="0"/>
            <w:vAlign w:val="center"/>
          </w:tcPr>
          <w:p w14:paraId="5092C1D6">
            <w:pPr>
              <w:widowControl/>
              <w:adjustRightInd/>
              <w:snapToGrid/>
              <w:spacing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下浮率：</w:t>
            </w:r>
          </w:p>
          <w:p w14:paraId="5C843F5F">
            <w:pPr>
              <w:widowControl/>
              <w:adjustRightInd/>
              <w:snapToGrid/>
              <w:spacing w:line="360" w:lineRule="auto"/>
              <w:jc w:val="left"/>
              <w:rPr>
                <w:rFonts w:hint="eastAsia" w:ascii="宋体" w:hAnsi="宋体" w:eastAsia="宋体" w:cs="宋体"/>
                <w:bCs/>
                <w:color w:val="auto"/>
                <w:sz w:val="21"/>
                <w:szCs w:val="21"/>
                <w:highlight w:val="none"/>
                <w:u w:val="single"/>
                <w:lang w:val="en-US" w:eastAsia="zh-CN"/>
              </w:rPr>
            </w:pPr>
            <w:r>
              <w:rPr>
                <w:rFonts w:hint="eastAsia" w:ascii="宋体" w:hAnsi="宋体" w:eastAsia="宋体" w:cs="宋体"/>
                <w:bCs/>
                <w:color w:val="auto"/>
                <w:sz w:val="21"/>
                <w:szCs w:val="21"/>
                <w:highlight w:val="none"/>
                <w:lang w:val="en-US" w:eastAsia="zh-CN"/>
              </w:rPr>
              <w:t>百分之</w:t>
            </w:r>
            <w:r>
              <w:rPr>
                <w:rFonts w:hint="eastAsia" w:ascii="宋体" w:hAnsi="宋体" w:eastAsia="宋体" w:cs="宋体"/>
                <w:bCs/>
                <w:color w:val="auto"/>
                <w:sz w:val="21"/>
                <w:szCs w:val="21"/>
                <w:highlight w:val="none"/>
                <w:u w:val="single"/>
                <w:lang w:val="en-US" w:eastAsia="zh-CN"/>
              </w:rPr>
              <w:t xml:space="preserve">       </w:t>
            </w:r>
          </w:p>
          <w:p w14:paraId="7711C87D">
            <w:pPr>
              <w:widowControl/>
              <w:adjustRightInd/>
              <w:snapToGrid/>
              <w:spacing w:line="360" w:lineRule="auto"/>
              <w:jc w:val="lef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下浮率：</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lang w:val="en-US" w:eastAsia="zh-CN"/>
              </w:rPr>
              <w:t>%</w:t>
            </w:r>
          </w:p>
        </w:tc>
        <w:tc>
          <w:tcPr>
            <w:tcW w:w="928" w:type="dxa"/>
            <w:vMerge w:val="continue"/>
            <w:noWrap w:val="0"/>
            <w:vAlign w:val="center"/>
          </w:tcPr>
          <w:p w14:paraId="3CC5641B">
            <w:pPr>
              <w:widowControl/>
              <w:adjustRightInd/>
              <w:snapToGrid/>
              <w:spacing w:line="360" w:lineRule="auto"/>
              <w:jc w:val="center"/>
              <w:rPr>
                <w:rFonts w:hint="eastAsia" w:ascii="宋体" w:hAnsi="宋体" w:eastAsia="宋体" w:cs="宋体"/>
                <w:bCs/>
                <w:color w:val="auto"/>
                <w:sz w:val="21"/>
                <w:szCs w:val="21"/>
                <w:highlight w:val="none"/>
              </w:rPr>
            </w:pPr>
          </w:p>
        </w:tc>
        <w:tc>
          <w:tcPr>
            <w:tcW w:w="692" w:type="dxa"/>
            <w:vMerge w:val="continue"/>
            <w:noWrap w:val="0"/>
            <w:vAlign w:val="center"/>
          </w:tcPr>
          <w:p w14:paraId="2029F8B2">
            <w:pPr>
              <w:widowControl w:val="0"/>
              <w:tabs>
                <w:tab w:val="left" w:pos="654"/>
                <w:tab w:val="left" w:pos="1734"/>
                <w:tab w:val="left" w:pos="2814"/>
                <w:tab w:val="left" w:pos="3894"/>
                <w:tab w:val="left" w:pos="5334"/>
                <w:tab w:val="left" w:pos="6414"/>
                <w:tab w:val="left" w:pos="7254"/>
                <w:tab w:val="left" w:pos="8574"/>
                <w:tab w:val="left" w:pos="9654"/>
              </w:tabs>
              <w:adjustRightInd/>
              <w:snapToGrid/>
              <w:spacing w:line="360" w:lineRule="auto"/>
              <w:jc w:val="center"/>
              <w:rPr>
                <w:rFonts w:hint="eastAsia" w:ascii="宋体" w:hAnsi="宋体" w:eastAsia="宋体" w:cs="宋体"/>
                <w:bCs/>
                <w:color w:val="auto"/>
                <w:sz w:val="21"/>
                <w:szCs w:val="21"/>
                <w:highlight w:val="none"/>
              </w:rPr>
            </w:pPr>
          </w:p>
        </w:tc>
      </w:tr>
    </w:tbl>
    <w:p w14:paraId="31A889BD">
      <w:pPr>
        <w:rPr>
          <w:rFonts w:hint="eastAsia" w:ascii="宋体" w:hAnsi="宋体" w:eastAsia="宋体" w:cs="宋体"/>
          <w:color w:val="auto"/>
          <w:szCs w:val="21"/>
          <w:highlight w:val="none"/>
        </w:rPr>
      </w:pPr>
    </w:p>
    <w:p w14:paraId="063A6D6A">
      <w:pPr>
        <w:ind w:firstLine="359" w:firstLineChars="171"/>
        <w:rPr>
          <w:rFonts w:hint="eastAsia" w:ascii="宋体" w:hAnsi="宋体" w:eastAsia="宋体" w:cs="宋体"/>
          <w:color w:val="auto"/>
          <w:szCs w:val="21"/>
          <w:highlight w:val="none"/>
        </w:rPr>
      </w:pPr>
    </w:p>
    <w:p w14:paraId="2E61AE49">
      <w:pPr>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1525D7B1">
      <w:pPr>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51731E2F">
      <w:pPr>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p>
    <w:p w14:paraId="3BD8EFD5">
      <w:pPr>
        <w:ind w:firstLine="359" w:firstLineChars="171"/>
        <w:rPr>
          <w:rFonts w:hint="eastAsia" w:ascii="宋体" w:hAnsi="宋体" w:eastAsia="宋体" w:cs="宋体"/>
          <w:color w:val="auto"/>
          <w:szCs w:val="21"/>
          <w:highlight w:val="none"/>
        </w:rPr>
      </w:pPr>
    </w:p>
    <w:p w14:paraId="6899ED90">
      <w:pPr>
        <w:ind w:left="391" w:hanging="390" w:hangingChars="186"/>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注：</w:t>
      </w:r>
    </w:p>
    <w:p w14:paraId="34FC3F54">
      <w:pPr>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sz w:val="21"/>
          <w:szCs w:val="22"/>
          <w:highlight w:val="none"/>
          <w:lang w:val="en-US" w:eastAsia="zh-CN" w:bidi="ar-SA"/>
        </w:rPr>
        <w:t>1、</w:t>
      </w:r>
      <w:r>
        <w:rPr>
          <w:rFonts w:hint="eastAsia" w:ascii="宋体" w:hAnsi="宋体" w:eastAsia="宋体" w:cs="宋体"/>
          <w:bCs/>
          <w:color w:val="auto"/>
          <w:sz w:val="21"/>
          <w:szCs w:val="21"/>
          <w:highlight w:val="none"/>
        </w:rPr>
        <w:t>项目</w:t>
      </w:r>
      <w:r>
        <w:rPr>
          <w:rFonts w:hint="eastAsia" w:ascii="宋体" w:hAnsi="宋体" w:eastAsia="宋体" w:cs="宋体"/>
          <w:bCs/>
          <w:color w:val="auto"/>
          <w:sz w:val="21"/>
          <w:szCs w:val="21"/>
          <w:highlight w:val="none"/>
          <w:lang w:eastAsia="zh-CN"/>
        </w:rPr>
        <w:t>报价</w:t>
      </w:r>
      <w:r>
        <w:rPr>
          <w:rFonts w:hint="eastAsia" w:ascii="宋体" w:hAnsi="宋体" w:eastAsia="宋体" w:cs="宋体"/>
          <w:b w:val="0"/>
          <w:bCs w:val="0"/>
          <w:color w:val="auto"/>
          <w:szCs w:val="21"/>
          <w:highlight w:val="none"/>
        </w:rPr>
        <w:t>栏须用大写金额和小写金额两种方式表示的</w:t>
      </w:r>
      <w:r>
        <w:rPr>
          <w:rFonts w:hint="eastAsia" w:ascii="宋体" w:hAnsi="宋体" w:eastAsia="宋体" w:cs="宋体"/>
          <w:b w:val="0"/>
          <w:bCs w:val="0"/>
          <w:color w:val="auto"/>
          <w:szCs w:val="21"/>
          <w:highlight w:val="none"/>
          <w:lang w:eastAsia="zh-CN"/>
        </w:rPr>
        <w:t>报价</w:t>
      </w:r>
      <w:r>
        <w:rPr>
          <w:rFonts w:hint="eastAsia" w:ascii="宋体" w:hAnsi="宋体" w:eastAsia="宋体" w:cs="宋体"/>
          <w:b w:val="0"/>
          <w:bCs w:val="0"/>
          <w:color w:val="auto"/>
          <w:szCs w:val="21"/>
          <w:highlight w:val="none"/>
        </w:rPr>
        <w:t>。大小写不一致，以大写为准。</w:t>
      </w:r>
      <w:r>
        <w:rPr>
          <w:rFonts w:hint="eastAsia" w:ascii="宋体" w:hAnsi="宋体" w:eastAsia="宋体" w:cs="宋体"/>
          <w:bCs/>
          <w:color w:val="auto"/>
          <w:sz w:val="21"/>
          <w:szCs w:val="21"/>
          <w:highlight w:val="none"/>
        </w:rPr>
        <w:t>项目</w:t>
      </w:r>
      <w:r>
        <w:rPr>
          <w:rFonts w:hint="eastAsia" w:ascii="宋体" w:hAnsi="宋体" w:eastAsia="宋体" w:cs="宋体"/>
          <w:bCs/>
          <w:color w:val="auto"/>
          <w:sz w:val="21"/>
          <w:szCs w:val="21"/>
          <w:highlight w:val="none"/>
          <w:lang w:eastAsia="zh-CN"/>
        </w:rPr>
        <w:t>报价</w:t>
      </w:r>
      <w:r>
        <w:rPr>
          <w:rFonts w:hint="eastAsia" w:ascii="宋体" w:hAnsi="宋体" w:eastAsia="宋体" w:cs="宋体"/>
          <w:b w:val="0"/>
          <w:bCs w:val="0"/>
          <w:color w:val="auto"/>
          <w:szCs w:val="21"/>
          <w:highlight w:val="none"/>
        </w:rPr>
        <w:t>必须准确唯一且应包含采购文件要求的所有费用。</w:t>
      </w:r>
    </w:p>
    <w:p w14:paraId="423B735E">
      <w:pPr>
        <w:numPr>
          <w:ilvl w:val="0"/>
          <w:numId w:val="0"/>
        </w:numPr>
        <w:ind w:firstLine="420" w:firstLineChars="200"/>
        <w:rPr>
          <w:rFonts w:hint="eastAsia" w:ascii="宋体" w:hAnsi="宋体" w:eastAsia="宋体" w:cs="宋体"/>
          <w:b w:val="0"/>
          <w:bCs w:val="0"/>
          <w:color w:val="auto"/>
          <w:highlight w:val="none"/>
        </w:rPr>
      </w:pPr>
      <w:r>
        <w:rPr>
          <w:rFonts w:hint="eastAsia" w:ascii="宋体" w:hAnsi="宋体" w:eastAsia="宋体" w:cs="宋体"/>
          <w:b w:val="0"/>
          <w:bCs w:val="0"/>
          <w:color w:val="auto"/>
          <w:sz w:val="21"/>
          <w:szCs w:val="22"/>
          <w:highlight w:val="none"/>
          <w:lang w:val="en-US" w:eastAsia="zh-CN" w:bidi="ar-SA"/>
        </w:rPr>
        <w:t>2、</w:t>
      </w:r>
      <w:r>
        <w:rPr>
          <w:rFonts w:hint="eastAsia" w:ascii="宋体" w:hAnsi="宋体" w:eastAsia="宋体" w:cs="宋体"/>
          <w:b w:val="0"/>
          <w:bCs w:val="0"/>
          <w:color w:val="auto"/>
          <w:szCs w:val="21"/>
          <w:highlight w:val="none"/>
        </w:rPr>
        <w:t>本项目投标报价为</w:t>
      </w:r>
      <w:r>
        <w:rPr>
          <w:rFonts w:hint="eastAsia" w:ascii="宋体" w:hAnsi="宋体" w:eastAsia="宋体" w:cs="宋体"/>
          <w:b/>
          <w:bCs/>
          <w:color w:val="auto"/>
          <w:szCs w:val="21"/>
          <w:highlight w:val="none"/>
          <w:u w:val="single"/>
          <w:lang w:val="en-US" w:eastAsia="zh-CN"/>
        </w:rPr>
        <w:t>常规项部分价格</w:t>
      </w:r>
      <w:r>
        <w:rPr>
          <w:rFonts w:hint="eastAsia" w:ascii="宋体" w:hAnsi="宋体" w:eastAsia="宋体" w:cs="宋体"/>
          <w:b/>
          <w:bCs/>
          <w:color w:val="auto"/>
          <w:szCs w:val="21"/>
          <w:highlight w:val="none"/>
          <w:u w:val="single"/>
        </w:rPr>
        <w:t>（报价区间：</w:t>
      </w:r>
      <w:r>
        <w:rPr>
          <w:rFonts w:hint="eastAsia" w:ascii="宋体" w:hAnsi="宋体" w:eastAsia="宋体" w:cs="宋体"/>
          <w:b/>
          <w:bCs/>
          <w:color w:val="auto"/>
          <w:szCs w:val="21"/>
          <w:highlight w:val="none"/>
          <w:u w:val="single"/>
          <w:lang w:val="en-US" w:eastAsia="zh-CN"/>
        </w:rPr>
        <w:t>0</w:t>
      </w:r>
      <w:r>
        <w:rPr>
          <w:rFonts w:hint="eastAsia" w:ascii="宋体" w:hAnsi="宋体" w:eastAsia="宋体" w:cs="宋体"/>
          <w:b/>
          <w:bCs/>
          <w:color w:val="auto"/>
          <w:szCs w:val="21"/>
          <w:highlight w:val="none"/>
          <w:u w:val="single"/>
        </w:rPr>
        <w:t>%≤下浮率≤100%）</w:t>
      </w:r>
      <w:r>
        <w:rPr>
          <w:rFonts w:hint="eastAsia" w:ascii="宋体" w:hAnsi="宋体" w:eastAsia="宋体" w:cs="宋体"/>
          <w:b/>
          <w:bCs/>
          <w:color w:val="auto"/>
          <w:szCs w:val="21"/>
          <w:highlight w:val="none"/>
          <w:u w:val="single"/>
          <w:lang w:eastAsia="zh-CN"/>
        </w:rPr>
        <w:t>、</w:t>
      </w:r>
      <w:r>
        <w:rPr>
          <w:rFonts w:hint="eastAsia" w:ascii="宋体" w:hAnsi="宋体" w:eastAsia="宋体" w:cs="宋体"/>
          <w:b/>
          <w:bCs/>
          <w:color w:val="auto"/>
          <w:szCs w:val="21"/>
          <w:highlight w:val="none"/>
          <w:u w:val="single"/>
          <w:lang w:val="en-US" w:eastAsia="zh-CN"/>
        </w:rPr>
        <w:t>特殊项部分价格</w:t>
      </w:r>
      <w:r>
        <w:rPr>
          <w:rFonts w:hint="eastAsia" w:ascii="宋体" w:hAnsi="宋体" w:eastAsia="宋体" w:cs="宋体"/>
          <w:b/>
          <w:bCs/>
          <w:color w:val="auto"/>
          <w:szCs w:val="21"/>
          <w:highlight w:val="none"/>
          <w:u w:val="single"/>
        </w:rPr>
        <w:t>（报价区间：0%≤下浮率≤</w:t>
      </w:r>
      <w:r>
        <w:rPr>
          <w:rFonts w:hint="eastAsia" w:ascii="宋体" w:hAnsi="宋体" w:eastAsia="宋体" w:cs="宋体"/>
          <w:b/>
          <w:bCs/>
          <w:color w:val="auto"/>
          <w:szCs w:val="21"/>
          <w:highlight w:val="none"/>
          <w:u w:val="single"/>
          <w:lang w:val="en-US" w:eastAsia="zh-CN"/>
        </w:rPr>
        <w:t>10</w:t>
      </w:r>
      <w:r>
        <w:rPr>
          <w:rFonts w:hint="eastAsia" w:ascii="宋体" w:hAnsi="宋体" w:eastAsia="宋体" w:cs="宋体"/>
          <w:b/>
          <w:bCs/>
          <w:color w:val="auto"/>
          <w:szCs w:val="21"/>
          <w:highlight w:val="none"/>
          <w:u w:val="single"/>
        </w:rPr>
        <w:t>0%）</w:t>
      </w:r>
      <w:r>
        <w:rPr>
          <w:rFonts w:hint="eastAsia" w:ascii="宋体" w:hAnsi="宋体" w:eastAsia="宋体" w:cs="宋体"/>
          <w:b/>
          <w:bCs/>
          <w:color w:val="auto"/>
          <w:szCs w:val="21"/>
          <w:highlight w:val="none"/>
          <w:u w:val="single"/>
          <w:lang w:val="en-US" w:eastAsia="zh-CN"/>
        </w:rPr>
        <w:t>与外判及日常项部分价格</w:t>
      </w:r>
      <w:r>
        <w:rPr>
          <w:rFonts w:hint="eastAsia" w:ascii="宋体" w:hAnsi="宋体" w:eastAsia="宋体" w:cs="宋体"/>
          <w:b/>
          <w:bCs/>
          <w:color w:val="auto"/>
          <w:szCs w:val="21"/>
          <w:highlight w:val="none"/>
          <w:u w:val="single"/>
        </w:rPr>
        <w:t>（报价区间：0%≤下浮率≤</w:t>
      </w:r>
      <w:r>
        <w:rPr>
          <w:rFonts w:hint="eastAsia" w:ascii="宋体" w:hAnsi="宋体" w:eastAsia="宋体" w:cs="宋体"/>
          <w:b/>
          <w:bCs/>
          <w:color w:val="auto"/>
          <w:szCs w:val="21"/>
          <w:highlight w:val="none"/>
          <w:u w:val="single"/>
          <w:lang w:val="en-US" w:eastAsia="zh-CN"/>
        </w:rPr>
        <w:t>10</w:t>
      </w:r>
      <w:r>
        <w:rPr>
          <w:rFonts w:hint="eastAsia" w:ascii="宋体" w:hAnsi="宋体" w:eastAsia="宋体" w:cs="宋体"/>
          <w:b/>
          <w:bCs/>
          <w:color w:val="auto"/>
          <w:szCs w:val="21"/>
          <w:highlight w:val="none"/>
          <w:u w:val="single"/>
        </w:rPr>
        <w:t>0%）</w:t>
      </w:r>
      <w:r>
        <w:rPr>
          <w:rFonts w:hint="eastAsia" w:ascii="宋体" w:hAnsi="宋体" w:eastAsia="宋体" w:cs="宋体"/>
          <w:b/>
          <w:bCs/>
          <w:color w:val="auto"/>
          <w:szCs w:val="21"/>
          <w:highlight w:val="none"/>
          <w:u w:val="single"/>
          <w:lang w:val="en-US" w:eastAsia="zh-CN"/>
        </w:rPr>
        <w:t>进行下浮率报价</w:t>
      </w:r>
      <w:r>
        <w:rPr>
          <w:rFonts w:hint="eastAsia" w:ascii="宋体" w:hAnsi="宋体" w:eastAsia="宋体" w:cs="宋体"/>
          <w:b w:val="0"/>
          <w:bCs w:val="0"/>
          <w:color w:val="auto"/>
          <w:szCs w:val="21"/>
          <w:highlight w:val="none"/>
        </w:rPr>
        <w:t>分别进行报价。</w:t>
      </w:r>
    </w:p>
    <w:p w14:paraId="79B41542">
      <w:pPr>
        <w:widowControl/>
        <w:numPr>
          <w:ilvl w:val="0"/>
          <w:numId w:val="0"/>
        </w:numPr>
        <w:adjustRightInd/>
        <w:snapToGrid/>
        <w:spacing w:line="24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bidi="ar-SA"/>
        </w:rPr>
        <w:t>3、</w:t>
      </w:r>
      <w:r>
        <w:rPr>
          <w:rFonts w:hint="eastAsia" w:ascii="宋体" w:hAnsi="宋体" w:eastAsia="宋体" w:cs="宋体"/>
          <w:color w:val="auto"/>
          <w:szCs w:val="21"/>
          <w:highlight w:val="none"/>
        </w:rPr>
        <w:t>常规项部分价格分</w:t>
      </w:r>
      <w:r>
        <w:rPr>
          <w:rFonts w:hint="eastAsia" w:ascii="宋体" w:hAnsi="宋体" w:eastAsia="宋体" w:cs="宋体"/>
          <w:color w:val="auto"/>
          <w:sz w:val="21"/>
          <w:szCs w:val="21"/>
          <w:highlight w:val="none"/>
          <w:lang w:val="en-US" w:eastAsia="zh-CN"/>
        </w:rPr>
        <w:t>（8分）：满足采购文件要求且投标下浮率最高的作为评标基准价，其价格分为满分。其他投标人的价格分统一按照下列公式计算：投标人价格得分＝[（1-评标基准价）/（1-投标报价）]×价格权重（8）×100%。</w:t>
      </w:r>
    </w:p>
    <w:p w14:paraId="13F0B6BC">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bidi="ar-SA"/>
        </w:rPr>
        <w:t>4、</w:t>
      </w:r>
      <w:r>
        <w:rPr>
          <w:rFonts w:hint="eastAsia" w:ascii="宋体" w:hAnsi="宋体" w:eastAsia="宋体" w:cs="宋体"/>
          <w:color w:val="auto"/>
          <w:szCs w:val="21"/>
          <w:highlight w:val="none"/>
        </w:rPr>
        <w:t>特殊项部分价格</w:t>
      </w:r>
      <w:r>
        <w:rPr>
          <w:rFonts w:hint="eastAsia" w:ascii="宋体" w:hAnsi="宋体" w:eastAsia="宋体" w:cs="宋体"/>
          <w:color w:val="auto"/>
          <w:szCs w:val="21"/>
          <w:highlight w:val="none"/>
          <w:lang w:eastAsia="zh-CN"/>
        </w:rPr>
        <w:t>分</w:t>
      </w:r>
      <w:r>
        <w:rPr>
          <w:rFonts w:hint="eastAsia" w:ascii="宋体" w:hAnsi="宋体" w:eastAsia="宋体" w:cs="宋体"/>
          <w:color w:val="auto"/>
          <w:sz w:val="21"/>
          <w:szCs w:val="21"/>
          <w:highlight w:val="none"/>
          <w:lang w:val="en-US" w:eastAsia="zh-CN"/>
        </w:rPr>
        <w:t>（16分）：满足采购文件要求且投标下浮率最高的作为评标基准价，其价格分为满分。其他投标人的价格分统一按照下列公式计算：投标人价格得分＝[（1-评标基准价）/（1-投标报价）]×价格权重（16）×100%。</w:t>
      </w:r>
    </w:p>
    <w:p w14:paraId="25D92AF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7357889E">
      <w:pPr>
        <w:pStyle w:val="2"/>
        <w:spacing w:before="0" w:after="0" w:line="360" w:lineRule="auto"/>
        <w:jc w:val="center"/>
        <w:rPr>
          <w:rFonts w:hint="eastAsia" w:ascii="宋体" w:hAnsi="宋体" w:eastAsia="宋体" w:cs="宋体"/>
          <w:color w:val="auto"/>
          <w:sz w:val="72"/>
          <w:szCs w:val="72"/>
          <w:highlight w:val="none"/>
        </w:rPr>
      </w:pPr>
      <w:bookmarkStart w:id="294" w:name="_Toc29339"/>
      <w:r>
        <w:rPr>
          <w:rFonts w:hint="eastAsia" w:ascii="宋体" w:hAnsi="宋体" w:eastAsia="宋体" w:cs="宋体"/>
          <w:color w:val="auto"/>
          <w:sz w:val="72"/>
          <w:szCs w:val="72"/>
          <w:highlight w:val="none"/>
        </w:rPr>
        <w:t>商务文件</w:t>
      </w:r>
      <w:bookmarkEnd w:id="294"/>
    </w:p>
    <w:p w14:paraId="6736803C">
      <w:pPr>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（单独装订成册）</w:t>
      </w:r>
    </w:p>
    <w:p w14:paraId="3A423D32">
      <w:pPr>
        <w:rPr>
          <w:rFonts w:hint="eastAsia" w:ascii="宋体" w:hAnsi="宋体" w:eastAsia="宋体" w:cs="宋体"/>
          <w:color w:val="auto"/>
          <w:highlight w:val="none"/>
        </w:rPr>
      </w:pPr>
    </w:p>
    <w:p w14:paraId="17A6F8B5">
      <w:pPr>
        <w:pStyle w:val="10"/>
        <w:rPr>
          <w:rFonts w:hint="eastAsia" w:ascii="宋体" w:hAnsi="宋体" w:eastAsia="宋体" w:cs="宋体"/>
          <w:color w:val="auto"/>
          <w:highlight w:val="none"/>
        </w:rPr>
      </w:pPr>
    </w:p>
    <w:p w14:paraId="23285D3E">
      <w:pPr>
        <w:pStyle w:val="29"/>
        <w:ind w:firstLine="240"/>
        <w:rPr>
          <w:rFonts w:hint="eastAsia" w:ascii="宋体" w:hAnsi="宋体" w:eastAsia="宋体" w:cs="宋体"/>
          <w:color w:val="auto"/>
          <w:highlight w:val="none"/>
        </w:rPr>
      </w:pPr>
    </w:p>
    <w:p w14:paraId="4E046547">
      <w:pPr>
        <w:rPr>
          <w:rFonts w:hint="eastAsia" w:ascii="宋体" w:hAnsi="宋体" w:eastAsia="宋体" w:cs="宋体"/>
          <w:b/>
          <w:bCs/>
          <w:color w:val="auto"/>
          <w:spacing w:val="-6"/>
          <w:sz w:val="32"/>
          <w:szCs w:val="32"/>
          <w:highlight w:val="none"/>
        </w:rPr>
      </w:pPr>
      <w:r>
        <w:rPr>
          <w:rFonts w:hint="eastAsia" w:ascii="宋体" w:hAnsi="宋体" w:eastAsia="宋体" w:cs="宋体"/>
          <w:b/>
          <w:bCs/>
          <w:color w:val="auto"/>
          <w:spacing w:val="53"/>
          <w:kern w:val="0"/>
          <w:sz w:val="32"/>
          <w:szCs w:val="32"/>
          <w:highlight w:val="none"/>
          <w:fitText w:val="1600" w:id="292250509"/>
        </w:rPr>
        <w:t>项目名</w:t>
      </w:r>
      <w:r>
        <w:rPr>
          <w:rFonts w:hint="eastAsia" w:ascii="宋体" w:hAnsi="宋体" w:eastAsia="宋体" w:cs="宋体"/>
          <w:b/>
          <w:bCs/>
          <w:color w:val="auto"/>
          <w:spacing w:val="1"/>
          <w:kern w:val="0"/>
          <w:sz w:val="32"/>
          <w:szCs w:val="32"/>
          <w:highlight w:val="none"/>
          <w:fitText w:val="1600" w:id="292250509"/>
        </w:rPr>
        <w:t>称</w:t>
      </w:r>
      <w:r>
        <w:rPr>
          <w:rFonts w:hint="eastAsia" w:ascii="宋体" w:hAnsi="宋体" w:eastAsia="宋体" w:cs="宋体"/>
          <w:b/>
          <w:bCs/>
          <w:color w:val="auto"/>
          <w:spacing w:val="-6"/>
          <w:sz w:val="32"/>
          <w:szCs w:val="32"/>
          <w:highlight w:val="none"/>
        </w:rPr>
        <w:t>：</w:t>
      </w:r>
    </w:p>
    <w:p w14:paraId="1D700D67">
      <w:pPr>
        <w:rPr>
          <w:rFonts w:hint="eastAsia" w:ascii="宋体" w:hAnsi="宋体" w:eastAsia="宋体" w:cs="宋体"/>
          <w:b/>
          <w:bCs/>
          <w:color w:val="auto"/>
          <w:sz w:val="32"/>
          <w:szCs w:val="32"/>
          <w:highlight w:val="none"/>
        </w:rPr>
      </w:pPr>
      <w:r>
        <w:rPr>
          <w:rFonts w:hint="eastAsia" w:ascii="宋体" w:hAnsi="宋体" w:eastAsia="宋体" w:cs="宋体"/>
          <w:b/>
          <w:bCs/>
          <w:color w:val="auto"/>
          <w:spacing w:val="53"/>
          <w:kern w:val="0"/>
          <w:sz w:val="32"/>
          <w:szCs w:val="32"/>
          <w:highlight w:val="none"/>
          <w:fitText w:val="1600" w:id="1231831253"/>
        </w:rPr>
        <w:t>项目编</w:t>
      </w:r>
      <w:r>
        <w:rPr>
          <w:rFonts w:hint="eastAsia" w:ascii="宋体" w:hAnsi="宋体" w:eastAsia="宋体" w:cs="宋体"/>
          <w:b/>
          <w:bCs/>
          <w:color w:val="auto"/>
          <w:spacing w:val="1"/>
          <w:kern w:val="0"/>
          <w:sz w:val="32"/>
          <w:szCs w:val="32"/>
          <w:highlight w:val="none"/>
          <w:fitText w:val="1600" w:id="1231831253"/>
        </w:rPr>
        <w:t>号</w:t>
      </w:r>
      <w:r>
        <w:rPr>
          <w:rFonts w:hint="eastAsia" w:ascii="宋体" w:hAnsi="宋体" w:eastAsia="宋体" w:cs="宋体"/>
          <w:b/>
          <w:bCs/>
          <w:color w:val="auto"/>
          <w:sz w:val="32"/>
          <w:szCs w:val="32"/>
          <w:highlight w:val="none"/>
        </w:rPr>
        <w:t>：</w:t>
      </w:r>
    </w:p>
    <w:p w14:paraId="702807AE">
      <w:pPr>
        <w:pStyle w:val="10"/>
        <w:ind w:left="0"/>
        <w:rPr>
          <w:rFonts w:hint="eastAsia" w:ascii="宋体" w:hAnsi="宋体" w:eastAsia="宋体" w:cs="宋体"/>
          <w:b/>
          <w:color w:val="auto"/>
          <w:spacing w:val="1280"/>
          <w:sz w:val="32"/>
          <w:szCs w:val="32"/>
          <w:highlight w:val="none"/>
        </w:rPr>
      </w:pPr>
      <w:r>
        <w:rPr>
          <w:rFonts w:hint="eastAsia" w:ascii="宋体" w:hAnsi="宋体" w:eastAsia="宋体" w:cs="宋体"/>
          <w:b/>
          <w:color w:val="auto"/>
          <w:spacing w:val="106"/>
          <w:sz w:val="32"/>
          <w:szCs w:val="32"/>
          <w:highlight w:val="none"/>
          <w:lang w:val="en-US" w:bidi="ar-SA"/>
        </w:rPr>
        <w:t>包组号（如有）：</w:t>
      </w:r>
    </w:p>
    <w:p w14:paraId="0F16744A">
      <w:pPr>
        <w:rPr>
          <w:rFonts w:hint="eastAsia" w:ascii="宋体" w:hAnsi="宋体" w:eastAsia="宋体" w:cs="宋体"/>
          <w:b/>
          <w:color w:val="auto"/>
          <w:sz w:val="32"/>
          <w:szCs w:val="32"/>
          <w:highlight w:val="none"/>
        </w:rPr>
      </w:pPr>
      <w:r>
        <w:rPr>
          <w:rFonts w:hint="eastAsia" w:ascii="宋体" w:hAnsi="宋体" w:eastAsia="宋体" w:cs="宋体"/>
          <w:b/>
          <w:color w:val="auto"/>
          <w:spacing w:val="0"/>
          <w:kern w:val="0"/>
          <w:sz w:val="32"/>
          <w:szCs w:val="32"/>
          <w:highlight w:val="none"/>
          <w:fitText w:val="1600" w:id="1764384445"/>
        </w:rPr>
        <w:t>投标人名称</w:t>
      </w:r>
      <w:r>
        <w:rPr>
          <w:rFonts w:hint="eastAsia" w:ascii="宋体" w:hAnsi="宋体" w:eastAsia="宋体" w:cs="宋体"/>
          <w:b/>
          <w:color w:val="auto"/>
          <w:sz w:val="32"/>
          <w:szCs w:val="32"/>
          <w:highlight w:val="none"/>
        </w:rPr>
        <w:t>：</w:t>
      </w:r>
    </w:p>
    <w:p w14:paraId="18D89A02">
      <w:pPr>
        <w:rPr>
          <w:rFonts w:hint="eastAsia" w:ascii="宋体" w:hAnsi="宋体" w:eastAsia="宋体" w:cs="宋体"/>
          <w:b/>
          <w:color w:val="auto"/>
          <w:sz w:val="32"/>
          <w:szCs w:val="32"/>
          <w:highlight w:val="none"/>
        </w:rPr>
      </w:pPr>
      <w:r>
        <w:rPr>
          <w:rFonts w:hint="eastAsia" w:ascii="宋体" w:hAnsi="宋体" w:eastAsia="宋体" w:cs="宋体"/>
          <w:b/>
          <w:color w:val="auto"/>
          <w:spacing w:val="32"/>
          <w:kern w:val="0"/>
          <w:sz w:val="32"/>
          <w:szCs w:val="32"/>
          <w:highlight w:val="none"/>
          <w:fitText w:val="1600" w:id="2061173831"/>
        </w:rPr>
        <w:t xml:space="preserve">日    </w:t>
      </w:r>
      <w:r>
        <w:rPr>
          <w:rFonts w:hint="eastAsia" w:ascii="宋体" w:hAnsi="宋体" w:eastAsia="宋体" w:cs="宋体"/>
          <w:b/>
          <w:color w:val="auto"/>
          <w:spacing w:val="0"/>
          <w:kern w:val="0"/>
          <w:sz w:val="32"/>
          <w:szCs w:val="32"/>
          <w:highlight w:val="none"/>
          <w:fitText w:val="1600" w:id="2061173831"/>
        </w:rPr>
        <w:t>期</w:t>
      </w:r>
      <w:r>
        <w:rPr>
          <w:rFonts w:hint="eastAsia" w:ascii="宋体" w:hAnsi="宋体" w:eastAsia="宋体" w:cs="宋体"/>
          <w:b/>
          <w:color w:val="auto"/>
          <w:sz w:val="32"/>
          <w:szCs w:val="32"/>
          <w:highlight w:val="none"/>
        </w:rPr>
        <w:t>：</w:t>
      </w:r>
    </w:p>
    <w:p w14:paraId="44B559A7">
      <w:pPr>
        <w:pStyle w:val="10"/>
        <w:rPr>
          <w:rFonts w:hint="eastAsia" w:ascii="宋体" w:hAnsi="宋体" w:eastAsia="宋体" w:cs="宋体"/>
          <w:b/>
          <w:color w:val="auto"/>
          <w:sz w:val="32"/>
          <w:szCs w:val="32"/>
          <w:highlight w:val="none"/>
        </w:rPr>
      </w:pPr>
    </w:p>
    <w:p w14:paraId="65B21F6B">
      <w:pPr>
        <w:pStyle w:val="29"/>
        <w:ind w:firstLine="321"/>
        <w:rPr>
          <w:rFonts w:hint="eastAsia" w:ascii="宋体" w:hAnsi="宋体" w:eastAsia="宋体" w:cs="宋体"/>
          <w:b/>
          <w:color w:val="auto"/>
          <w:sz w:val="32"/>
          <w:szCs w:val="32"/>
          <w:highlight w:val="none"/>
        </w:rPr>
      </w:pPr>
    </w:p>
    <w:p w14:paraId="211D10A1">
      <w:pPr>
        <w:pStyle w:val="23"/>
        <w:rPr>
          <w:rFonts w:hint="eastAsia" w:ascii="宋体" w:hAnsi="宋体" w:eastAsia="宋体" w:cs="宋体"/>
          <w:b/>
          <w:color w:val="auto"/>
          <w:sz w:val="32"/>
          <w:szCs w:val="32"/>
          <w:highlight w:val="none"/>
        </w:rPr>
      </w:pPr>
    </w:p>
    <w:p w14:paraId="767EB906">
      <w:pPr>
        <w:rPr>
          <w:rFonts w:hint="eastAsia" w:ascii="宋体" w:hAnsi="宋体" w:eastAsia="宋体" w:cs="宋体"/>
          <w:b/>
          <w:color w:val="auto"/>
          <w:sz w:val="32"/>
          <w:szCs w:val="32"/>
          <w:highlight w:val="none"/>
        </w:rPr>
      </w:pPr>
    </w:p>
    <w:p w14:paraId="2DC1B433">
      <w:pPr>
        <w:pStyle w:val="10"/>
        <w:rPr>
          <w:rFonts w:hint="eastAsia" w:ascii="宋体" w:hAnsi="宋体" w:eastAsia="宋体" w:cs="宋体"/>
          <w:b/>
          <w:color w:val="auto"/>
          <w:sz w:val="32"/>
          <w:szCs w:val="32"/>
          <w:highlight w:val="none"/>
        </w:rPr>
      </w:pPr>
    </w:p>
    <w:p w14:paraId="2D809CC0">
      <w:pPr>
        <w:rPr>
          <w:rFonts w:hint="eastAsia" w:ascii="宋体" w:hAnsi="宋体" w:eastAsia="宋体" w:cs="宋体"/>
          <w:color w:val="auto"/>
          <w:highlight w:val="none"/>
        </w:rPr>
      </w:pPr>
    </w:p>
    <w:p w14:paraId="585C0C8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36211FA9">
      <w:pPr>
        <w:pStyle w:val="5"/>
        <w:widowControl w:val="0"/>
        <w:overflowPunct w:val="0"/>
        <w:spacing w:line="240" w:lineRule="auto"/>
        <w:rPr>
          <w:rFonts w:hint="eastAsia" w:ascii="宋体" w:hAnsi="宋体" w:eastAsia="宋体" w:cs="宋体"/>
          <w:color w:val="auto"/>
          <w:highlight w:val="none"/>
        </w:rPr>
      </w:pPr>
      <w:bookmarkStart w:id="295" w:name="_Toc32542"/>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.投标书格式</w:t>
      </w:r>
      <w:bookmarkEnd w:id="295"/>
    </w:p>
    <w:p w14:paraId="11E4C1C7">
      <w:pPr>
        <w:jc w:val="center"/>
        <w:rPr>
          <w:rFonts w:hint="eastAsia" w:ascii="宋体" w:hAnsi="宋体" w:eastAsia="宋体" w:cs="宋体"/>
          <w:color w:val="auto"/>
          <w:szCs w:val="21"/>
          <w:highlight w:val="none"/>
        </w:rPr>
      </w:pPr>
      <w:r>
        <w:rPr>
          <w:rFonts w:hint="eastAsia" w:ascii="宋体" w:hAnsi="宋体" w:eastAsia="宋体" w:cs="宋体"/>
          <w:color w:val="auto"/>
          <w:sz w:val="32"/>
          <w:szCs w:val="32"/>
          <w:highlight w:val="none"/>
        </w:rPr>
        <w:t>投标书</w:t>
      </w:r>
    </w:p>
    <w:p w14:paraId="4B73614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lang w:eastAsia="zh-CN"/>
        </w:rPr>
        <w:t>广东中科招标有限公司</w:t>
      </w:r>
      <w:r>
        <w:rPr>
          <w:rFonts w:hint="eastAsia" w:ascii="宋体" w:hAnsi="宋体" w:eastAsia="宋体" w:cs="宋体"/>
          <w:color w:val="auto"/>
          <w:szCs w:val="21"/>
          <w:highlight w:val="none"/>
        </w:rPr>
        <w:t>：</w:t>
      </w:r>
    </w:p>
    <w:p w14:paraId="1CB5186C">
      <w:pPr>
        <w:rPr>
          <w:rFonts w:hint="eastAsia" w:ascii="宋体" w:hAnsi="宋体" w:eastAsia="宋体" w:cs="宋体"/>
          <w:color w:val="auto"/>
          <w:szCs w:val="21"/>
          <w:highlight w:val="none"/>
        </w:rPr>
      </w:pPr>
    </w:p>
    <w:p w14:paraId="103FA209">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根据贵方为</w:t>
      </w:r>
      <w:r>
        <w:rPr>
          <w:rFonts w:hint="eastAsia" w:ascii="宋体" w:hAnsi="宋体" w:eastAsia="宋体" w:cs="宋体"/>
          <w:color w:val="auto"/>
          <w:szCs w:val="21"/>
          <w:highlight w:val="none"/>
          <w:u w:val="single"/>
        </w:rPr>
        <w:t>（项目名称）（采购项目编号）</w:t>
      </w:r>
      <w:r>
        <w:rPr>
          <w:rFonts w:hint="eastAsia" w:ascii="宋体" w:hAnsi="宋体" w:eastAsia="宋体" w:cs="宋体"/>
          <w:color w:val="auto"/>
          <w:szCs w:val="21"/>
          <w:highlight w:val="none"/>
        </w:rPr>
        <w:t>项目采购公告/采购邀请，签字代表</w:t>
      </w:r>
      <w:r>
        <w:rPr>
          <w:rFonts w:hint="eastAsia" w:ascii="宋体" w:hAnsi="宋体" w:eastAsia="宋体" w:cs="宋体"/>
          <w:color w:val="auto"/>
          <w:szCs w:val="21"/>
          <w:highlight w:val="none"/>
          <w:u w:val="single"/>
        </w:rPr>
        <w:t>（姓名、职务）</w:t>
      </w:r>
      <w:r>
        <w:rPr>
          <w:rFonts w:hint="eastAsia" w:ascii="宋体" w:hAnsi="宋体" w:eastAsia="宋体" w:cs="宋体"/>
          <w:color w:val="auto"/>
          <w:szCs w:val="21"/>
          <w:highlight w:val="none"/>
        </w:rPr>
        <w:t>经正式授权并代表投标人</w:t>
      </w:r>
      <w:r>
        <w:rPr>
          <w:rFonts w:hint="eastAsia" w:ascii="宋体" w:hAnsi="宋体" w:eastAsia="宋体" w:cs="宋体"/>
          <w:color w:val="auto"/>
          <w:szCs w:val="21"/>
          <w:highlight w:val="none"/>
          <w:u w:val="single"/>
        </w:rPr>
        <w:t>（投标人名称、地址）</w:t>
      </w:r>
      <w:r>
        <w:rPr>
          <w:rFonts w:hint="eastAsia" w:ascii="宋体" w:hAnsi="宋体" w:eastAsia="宋体" w:cs="宋体"/>
          <w:color w:val="auto"/>
          <w:szCs w:val="21"/>
          <w:highlight w:val="none"/>
        </w:rPr>
        <w:t>提交投标文件及“唱标信封”：</w:t>
      </w:r>
    </w:p>
    <w:p w14:paraId="5FB198A3">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在此，签字代表宣布同意如下： </w:t>
      </w:r>
    </w:p>
    <w:p w14:paraId="17E72830">
      <w:pPr>
        <w:widowControl w:val="0"/>
        <w:numPr>
          <w:ilvl w:val="0"/>
          <w:numId w:val="25"/>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我方将按采购文件的规定履行合同责任和义务。 </w:t>
      </w:r>
    </w:p>
    <w:p w14:paraId="1B77AB40">
      <w:pPr>
        <w:widowControl w:val="0"/>
        <w:numPr>
          <w:ilvl w:val="0"/>
          <w:numId w:val="25"/>
        </w:numPr>
        <w:adjustRightInd/>
        <w:snapToGrid/>
        <w:jc w:val="both"/>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我方已完整阅读了本项目采购文件的所有内容（包括澄清，以及所有已提供的参考资料和有关附件），并完全理解上述文件所表达的意思，该项目递交投标文件时间截止后，我方承诺不再对上述文件内容进行异议。</w:t>
      </w:r>
    </w:p>
    <w:p w14:paraId="106B3448">
      <w:pPr>
        <w:widowControl w:val="0"/>
        <w:numPr>
          <w:ilvl w:val="0"/>
          <w:numId w:val="25"/>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本投标有效期为自开标日起</w:t>
      </w:r>
      <w:r>
        <w:rPr>
          <w:rFonts w:hint="eastAsia" w:ascii="宋体" w:hAnsi="宋体" w:eastAsia="宋体" w:cs="宋体"/>
          <w:color w:val="auto"/>
          <w:szCs w:val="21"/>
          <w:highlight w:val="none"/>
          <w:u w:val="single"/>
        </w:rPr>
        <w:t>90</w:t>
      </w:r>
      <w:r>
        <w:rPr>
          <w:rFonts w:hint="eastAsia" w:ascii="宋体" w:hAnsi="宋体" w:eastAsia="宋体" w:cs="宋体"/>
          <w:color w:val="auto"/>
          <w:szCs w:val="21"/>
          <w:highlight w:val="none"/>
        </w:rPr>
        <w:t xml:space="preserve">个日历日。 </w:t>
      </w:r>
    </w:p>
    <w:p w14:paraId="302C6737">
      <w:pPr>
        <w:widowControl w:val="0"/>
        <w:numPr>
          <w:ilvl w:val="0"/>
          <w:numId w:val="25"/>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我方保证遵守投标人须知中关于没收投标保证金的规定。</w:t>
      </w:r>
    </w:p>
    <w:p w14:paraId="2734C7CC">
      <w:pPr>
        <w:widowControl w:val="0"/>
        <w:numPr>
          <w:ilvl w:val="0"/>
          <w:numId w:val="25"/>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我方承诺，与买方聘请的为此项目提供咨询服务的公司及任何附属机构均无关联，我方不是买方的附属机构。 </w:t>
      </w:r>
    </w:p>
    <w:p w14:paraId="3343CCC0">
      <w:pPr>
        <w:widowControl w:val="0"/>
        <w:numPr>
          <w:ilvl w:val="0"/>
          <w:numId w:val="25"/>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诺，我方具备投标人邀请中所要求的资格条件，已清楚采购文件所有要求及有关规定；并承诺参加本次采购活动中，如有违法、违规、弄虚作假行为，所造成的损失、不良后果及法律责任，一律由我方承担；</w:t>
      </w:r>
    </w:p>
    <w:p w14:paraId="102D4A30">
      <w:pPr>
        <w:widowControl w:val="0"/>
        <w:numPr>
          <w:ilvl w:val="0"/>
          <w:numId w:val="25"/>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我方同意提供按照贵方可能要求的与其投标有关的一切数据或资料。</w:t>
      </w:r>
    </w:p>
    <w:p w14:paraId="6D1BC7D8">
      <w:pPr>
        <w:widowControl w:val="0"/>
        <w:numPr>
          <w:ilvl w:val="0"/>
          <w:numId w:val="25"/>
        </w:numPr>
        <w:adjustRightInd/>
        <w:snapToGrid/>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与本投标有关的一切正式信函请寄：</w:t>
      </w:r>
    </w:p>
    <w:p w14:paraId="71E3BCA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　　　　　　　　　　　　　　　　　　　 电子邮箱：</w:t>
      </w:r>
    </w:p>
    <w:p w14:paraId="2816981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电话/移动电话：　　　　　　　　　　　　　　　</w:t>
      </w:r>
    </w:p>
    <w:p w14:paraId="29D5183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投标人法定代表人（或其授权代表）签字： </w:t>
      </w:r>
    </w:p>
    <w:p w14:paraId="3FFAF41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投标人名称（全称）： </w:t>
      </w:r>
    </w:p>
    <w:p w14:paraId="3286BFE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投标人盖章： </w:t>
      </w:r>
    </w:p>
    <w:p w14:paraId="46CFD77D">
      <w:pPr>
        <w:rPr>
          <w:rFonts w:hint="eastAsia" w:ascii="宋体" w:hAnsi="宋体" w:eastAsia="宋体" w:cs="宋体"/>
          <w:color w:val="auto"/>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highlight w:val="none"/>
        </w:rPr>
        <w:br w:type="page"/>
      </w:r>
    </w:p>
    <w:p w14:paraId="01AA2AC1">
      <w:pPr>
        <w:pStyle w:val="5"/>
        <w:widowControl w:val="0"/>
        <w:overflowPunct w:val="0"/>
        <w:spacing w:line="240" w:lineRule="auto"/>
        <w:rPr>
          <w:rFonts w:hint="eastAsia" w:ascii="宋体" w:hAnsi="宋体" w:eastAsia="宋体" w:cs="宋体"/>
          <w:color w:val="auto"/>
          <w:sz w:val="21"/>
          <w:szCs w:val="21"/>
          <w:highlight w:val="none"/>
        </w:rPr>
      </w:pPr>
      <w:bookmarkStart w:id="296" w:name="_Toc20979"/>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.法定代表人证明书格式</w:t>
      </w:r>
      <w:bookmarkEnd w:id="296"/>
    </w:p>
    <w:p w14:paraId="389B9187">
      <w:pPr>
        <w:rPr>
          <w:rFonts w:hint="eastAsia" w:ascii="宋体" w:hAnsi="宋体" w:eastAsia="宋体" w:cs="宋体"/>
          <w:color w:val="auto"/>
          <w:highlight w:val="none"/>
        </w:rPr>
      </w:pPr>
    </w:p>
    <w:p w14:paraId="3432C158">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法定代表人证明书</w:t>
      </w:r>
    </w:p>
    <w:p w14:paraId="4F7CA8AC">
      <w:pPr>
        <w:pStyle w:val="45"/>
        <w:spacing w:line="420" w:lineRule="atLeast"/>
        <w:ind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lang w:eastAsia="zh-CN"/>
        </w:rPr>
        <w:t>广东中科招标有限公司</w:t>
      </w:r>
    </w:p>
    <w:p w14:paraId="03D8C9A9">
      <w:pPr>
        <w:pStyle w:val="45"/>
        <w:spacing w:line="420" w:lineRule="atLeast"/>
        <w:ind w:firstLine="433"/>
        <w:rPr>
          <w:rFonts w:hint="eastAsia" w:ascii="宋体" w:hAnsi="宋体" w:eastAsia="宋体" w:cs="宋体"/>
          <w:color w:val="auto"/>
          <w:sz w:val="21"/>
          <w:szCs w:val="21"/>
          <w:highlight w:val="none"/>
        </w:rPr>
      </w:pPr>
    </w:p>
    <w:p w14:paraId="37A70279">
      <w:pPr>
        <w:pStyle w:val="45"/>
        <w:spacing w:line="420" w:lineRule="atLeast"/>
        <w:ind w:firstLine="433"/>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投标人名称:</w:t>
      </w:r>
    </w:p>
    <w:p w14:paraId="4BE68FDD">
      <w:pPr>
        <w:pStyle w:val="45"/>
        <w:spacing w:line="420" w:lineRule="atLeast"/>
        <w:ind w:firstLine="433"/>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单 位 性质：</w:t>
      </w:r>
    </w:p>
    <w:p w14:paraId="13882F09">
      <w:pPr>
        <w:pStyle w:val="45"/>
        <w:spacing w:line="420" w:lineRule="atLeast"/>
        <w:ind w:firstLine="433"/>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      址：</w:t>
      </w:r>
    </w:p>
    <w:p w14:paraId="74A9E496">
      <w:pPr>
        <w:pStyle w:val="45"/>
        <w:spacing w:line="42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 立 时间：年月日</w:t>
      </w:r>
    </w:p>
    <w:p w14:paraId="67890035">
      <w:pPr>
        <w:pStyle w:val="45"/>
        <w:spacing w:line="42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 营 期限：</w:t>
      </w:r>
    </w:p>
    <w:p w14:paraId="66CE14CB">
      <w:pPr>
        <w:pStyle w:val="45"/>
        <w:spacing w:line="42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姓名：性别：年龄：职务：</w:t>
      </w:r>
    </w:p>
    <w:p w14:paraId="62D9E204">
      <w:pPr>
        <w:pStyle w:val="45"/>
        <w:spacing w:line="42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系（投标人名称）的法定代表人。</w:t>
      </w:r>
    </w:p>
    <w:p w14:paraId="5D61A28B">
      <w:pPr>
        <w:spacing w:line="420" w:lineRule="atLeas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4E424FEC">
      <w:pPr>
        <w:pStyle w:val="45"/>
        <w:spacing w:line="500" w:lineRule="atLeast"/>
        <w:ind w:firstLine="3517" w:firstLineChars="1675"/>
        <w:rPr>
          <w:rFonts w:hint="eastAsia" w:ascii="宋体" w:hAnsi="宋体" w:eastAsia="宋体" w:cs="宋体"/>
          <w:color w:val="auto"/>
          <w:sz w:val="21"/>
          <w:szCs w:val="21"/>
          <w:highlight w:val="none"/>
        </w:rPr>
      </w:pPr>
    </w:p>
    <w:p w14:paraId="3E7A468D">
      <w:pPr>
        <w:pStyle w:val="45"/>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投标人名称（加盖公章）：</w:t>
      </w:r>
    </w:p>
    <w:p w14:paraId="354FA1C4">
      <w:pPr>
        <w:pStyle w:val="45"/>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法定代表人（签名或盖私章）：</w:t>
      </w:r>
    </w:p>
    <w:p w14:paraId="7F31CED3">
      <w:pPr>
        <w:pStyle w:val="45"/>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法定代表人联系方式：</w:t>
      </w:r>
    </w:p>
    <w:p w14:paraId="052818CC">
      <w:pPr>
        <w:pStyle w:val="45"/>
        <w:spacing w:line="500" w:lineRule="atLeast"/>
        <w:ind w:firstLine="3517" w:firstLineChars="1675"/>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身份证号码：</w:t>
      </w:r>
    </w:p>
    <w:p w14:paraId="6C16DCDE">
      <w:pPr>
        <w:pStyle w:val="45"/>
        <w:spacing w:line="500" w:lineRule="atLeast"/>
        <w:ind w:firstLine="3507" w:firstLineChars="16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  年  月  日</w:t>
      </w:r>
    </w:p>
    <w:p w14:paraId="6F1ECFDE">
      <w:pPr>
        <w:ind w:firstLine="420" w:firstLineChars="200"/>
        <w:rPr>
          <w:rFonts w:hint="eastAsia" w:ascii="宋体" w:hAnsi="宋体" w:eastAsia="宋体" w:cs="宋体"/>
          <w:color w:val="auto"/>
          <w:szCs w:val="21"/>
          <w:highlight w:val="none"/>
        </w:rPr>
      </w:pPr>
    </w:p>
    <w:p w14:paraId="6993B20B">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注：法定代表人身份证明书需附法人代表身份证复印件。</w:t>
      </w:r>
    </w:p>
    <w:tbl>
      <w:tblPr>
        <w:tblStyle w:val="31"/>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14:paraId="6E3A6F3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182" w:type="dxa"/>
            <w:vAlign w:val="center"/>
          </w:tcPr>
          <w:p w14:paraId="1E1377E2">
            <w:pPr>
              <w:pStyle w:val="45"/>
              <w:spacing w:line="460" w:lineRule="exact"/>
              <w:ind w:firstLine="0" w:firstLineChars="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正面</w:t>
            </w:r>
          </w:p>
        </w:tc>
        <w:tc>
          <w:tcPr>
            <w:tcW w:w="4182" w:type="dxa"/>
            <w:vAlign w:val="center"/>
          </w:tcPr>
          <w:p w14:paraId="20D79156">
            <w:pPr>
              <w:pStyle w:val="45"/>
              <w:spacing w:line="460" w:lineRule="exact"/>
              <w:ind w:firstLine="0" w:firstLineChars="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背面</w:t>
            </w:r>
          </w:p>
        </w:tc>
      </w:tr>
    </w:tbl>
    <w:p w14:paraId="7ACC3728">
      <w:pPr>
        <w:rPr>
          <w:rFonts w:hint="eastAsia" w:ascii="宋体" w:hAnsi="宋体" w:eastAsia="宋体" w:cs="宋体"/>
          <w:color w:val="auto"/>
          <w:highlight w:val="none"/>
        </w:rPr>
      </w:pPr>
    </w:p>
    <w:p w14:paraId="7548ACB0">
      <w:pPr>
        <w:adjustRightInd/>
        <w:snapToGrid/>
        <w:spacing w:line="276" w:lineRule="auto"/>
        <w:rPr>
          <w:rFonts w:hint="eastAsia" w:ascii="宋体" w:hAnsi="宋体" w:eastAsia="宋体" w:cs="宋体"/>
          <w:b/>
          <w:bCs/>
          <w:color w:val="auto"/>
          <w:sz w:val="24"/>
          <w:szCs w:val="28"/>
          <w:highlight w:val="none"/>
        </w:rPr>
      </w:pPr>
      <w:r>
        <w:rPr>
          <w:rFonts w:hint="eastAsia" w:ascii="宋体" w:hAnsi="宋体" w:eastAsia="宋体" w:cs="宋体"/>
          <w:color w:val="auto"/>
          <w:sz w:val="24"/>
          <w:highlight w:val="none"/>
        </w:rPr>
        <w:br w:type="page"/>
      </w:r>
    </w:p>
    <w:p w14:paraId="28A22FD4">
      <w:pPr>
        <w:pStyle w:val="5"/>
        <w:widowControl w:val="0"/>
        <w:overflowPunct w:val="0"/>
        <w:spacing w:line="240" w:lineRule="auto"/>
        <w:rPr>
          <w:rFonts w:hint="eastAsia" w:ascii="宋体" w:hAnsi="宋体" w:eastAsia="宋体" w:cs="宋体"/>
          <w:color w:val="auto"/>
          <w:highlight w:val="none"/>
        </w:rPr>
      </w:pPr>
      <w:bookmarkStart w:id="297" w:name="_Toc17997"/>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.法定代表人授权书格式</w:t>
      </w:r>
      <w:bookmarkEnd w:id="297"/>
    </w:p>
    <w:p w14:paraId="6BF9890D">
      <w:pPr>
        <w:rPr>
          <w:rFonts w:hint="eastAsia" w:ascii="宋体" w:hAnsi="宋体" w:eastAsia="宋体" w:cs="宋体"/>
          <w:color w:val="auto"/>
          <w:highlight w:val="none"/>
        </w:rPr>
      </w:pPr>
    </w:p>
    <w:p w14:paraId="64E068E5">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法定代表人授权书</w:t>
      </w:r>
    </w:p>
    <w:p w14:paraId="492F5F91">
      <w:pPr>
        <w:pStyle w:val="45"/>
        <w:spacing w:line="420" w:lineRule="atLeast"/>
        <w:ind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lang w:eastAsia="zh-CN"/>
        </w:rPr>
        <w:t>广东中科招标有限公司</w:t>
      </w:r>
    </w:p>
    <w:p w14:paraId="537B69E2">
      <w:pPr>
        <w:pStyle w:val="45"/>
        <w:spacing w:line="420" w:lineRule="atLeast"/>
        <w:ind w:firstLine="433"/>
        <w:rPr>
          <w:rFonts w:hint="eastAsia" w:ascii="宋体" w:hAnsi="宋体" w:eastAsia="宋体" w:cs="宋体"/>
          <w:color w:val="auto"/>
          <w:sz w:val="21"/>
          <w:szCs w:val="21"/>
          <w:highlight w:val="none"/>
        </w:rPr>
      </w:pPr>
    </w:p>
    <w:p w14:paraId="2DCB2A78">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本授权书声明：注册于</w:t>
      </w:r>
      <w:r>
        <w:rPr>
          <w:rFonts w:hint="eastAsia" w:ascii="宋体" w:hAnsi="宋体" w:eastAsia="宋体" w:cs="宋体"/>
          <w:color w:val="auto"/>
          <w:szCs w:val="21"/>
          <w:highlight w:val="none"/>
          <w:u w:val="single"/>
        </w:rPr>
        <w:t>（国家或地区的名称）</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u w:val="single"/>
        </w:rPr>
        <w:t>（单位名称）</w:t>
      </w:r>
      <w:r>
        <w:rPr>
          <w:rFonts w:hint="eastAsia" w:ascii="宋体" w:hAnsi="宋体" w:eastAsia="宋体" w:cs="宋体"/>
          <w:color w:val="auto"/>
          <w:szCs w:val="21"/>
          <w:highlight w:val="none"/>
        </w:rPr>
        <w:t>的在下面签字的</w:t>
      </w:r>
      <w:r>
        <w:rPr>
          <w:rFonts w:hint="eastAsia" w:ascii="宋体" w:hAnsi="宋体" w:eastAsia="宋体" w:cs="宋体"/>
          <w:color w:val="auto"/>
          <w:szCs w:val="21"/>
          <w:highlight w:val="none"/>
          <w:u w:val="single"/>
        </w:rPr>
        <w:t>（法定代表人姓名、职务）</w:t>
      </w:r>
      <w:r>
        <w:rPr>
          <w:rFonts w:hint="eastAsia" w:ascii="宋体" w:hAnsi="宋体" w:eastAsia="宋体" w:cs="宋体"/>
          <w:color w:val="auto"/>
          <w:szCs w:val="21"/>
          <w:highlight w:val="none"/>
        </w:rPr>
        <w:t>代表本单位授权</w:t>
      </w:r>
      <w:r>
        <w:rPr>
          <w:rFonts w:hint="eastAsia" w:ascii="宋体" w:hAnsi="宋体" w:eastAsia="宋体" w:cs="宋体"/>
          <w:color w:val="auto"/>
          <w:szCs w:val="21"/>
          <w:highlight w:val="none"/>
          <w:u w:val="single"/>
        </w:rPr>
        <w:t>（单位名称）</w:t>
      </w:r>
      <w:r>
        <w:rPr>
          <w:rFonts w:hint="eastAsia" w:ascii="宋体" w:hAnsi="宋体" w:eastAsia="宋体" w:cs="宋体"/>
          <w:color w:val="auto"/>
          <w:szCs w:val="21"/>
          <w:highlight w:val="none"/>
        </w:rPr>
        <w:t>的在下面签字的</w:t>
      </w:r>
      <w:r>
        <w:rPr>
          <w:rFonts w:hint="eastAsia" w:ascii="宋体" w:hAnsi="宋体" w:eastAsia="宋体" w:cs="宋体"/>
          <w:color w:val="auto"/>
          <w:szCs w:val="21"/>
          <w:highlight w:val="none"/>
          <w:u w:val="single"/>
        </w:rPr>
        <w:t>（被授权人的姓名、职务）</w:t>
      </w:r>
      <w:r>
        <w:rPr>
          <w:rFonts w:hint="eastAsia" w:ascii="宋体" w:hAnsi="宋体" w:eastAsia="宋体" w:cs="宋体"/>
          <w:color w:val="auto"/>
          <w:szCs w:val="21"/>
          <w:highlight w:val="none"/>
        </w:rPr>
        <w:t>为本单位的合法代理人，就</w:t>
      </w:r>
      <w:r>
        <w:rPr>
          <w:rFonts w:hint="eastAsia" w:ascii="宋体" w:hAnsi="宋体" w:eastAsia="宋体" w:cs="宋体"/>
          <w:color w:val="auto"/>
          <w:szCs w:val="21"/>
          <w:highlight w:val="none"/>
          <w:u w:val="single"/>
        </w:rPr>
        <w:t>（项目名称）</w:t>
      </w:r>
      <w:r>
        <w:rPr>
          <w:rFonts w:hint="eastAsia" w:ascii="宋体" w:hAnsi="宋体" w:eastAsia="宋体" w:cs="宋体"/>
          <w:color w:val="auto"/>
          <w:szCs w:val="21"/>
          <w:highlight w:val="none"/>
        </w:rPr>
        <w:t>投标及参加项目谈判，以本单位名义处理一切与之有关的事务。</w:t>
      </w:r>
    </w:p>
    <w:p w14:paraId="2DB23E78">
      <w:pPr>
        <w:ind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本授权书于</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日签字生效，特此声明。</w:t>
      </w:r>
    </w:p>
    <w:p w14:paraId="60014410">
      <w:pPr>
        <w:pStyle w:val="45"/>
        <w:spacing w:line="500" w:lineRule="atLeast"/>
        <w:ind w:firstLine="3517" w:firstLineChars="1675"/>
        <w:rPr>
          <w:rFonts w:hint="eastAsia" w:ascii="宋体" w:hAnsi="宋体" w:eastAsia="宋体" w:cs="宋体"/>
          <w:color w:val="auto"/>
          <w:sz w:val="21"/>
          <w:szCs w:val="21"/>
          <w:highlight w:val="none"/>
        </w:rPr>
      </w:pPr>
    </w:p>
    <w:p w14:paraId="610AC435">
      <w:pPr>
        <w:pStyle w:val="45"/>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投标人名称（加盖公章）：</w:t>
      </w:r>
    </w:p>
    <w:p w14:paraId="256CA62F">
      <w:pPr>
        <w:pStyle w:val="45"/>
        <w:spacing w:line="500" w:lineRule="atLeast"/>
        <w:ind w:firstLine="3517" w:firstLineChars="1675"/>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法定代表人签字（签名或盖私章）：</w:t>
      </w:r>
    </w:p>
    <w:p w14:paraId="4D468152">
      <w:pPr>
        <w:pStyle w:val="45"/>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被授权人签字：</w:t>
      </w:r>
    </w:p>
    <w:p w14:paraId="0865299A">
      <w:pPr>
        <w:pStyle w:val="45"/>
        <w:spacing w:line="500" w:lineRule="atLeast"/>
        <w:ind w:firstLine="3517" w:firstLineChars="1675"/>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职务：</w:t>
      </w:r>
    </w:p>
    <w:p w14:paraId="368829AC">
      <w:pPr>
        <w:pStyle w:val="45"/>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移动电话： </w:t>
      </w:r>
    </w:p>
    <w:p w14:paraId="0FC3743C">
      <w:pPr>
        <w:pStyle w:val="45"/>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详细通讯地址：</w:t>
      </w:r>
    </w:p>
    <w:p w14:paraId="609DF30E">
      <w:pPr>
        <w:pStyle w:val="45"/>
        <w:spacing w:line="500" w:lineRule="atLeast"/>
        <w:ind w:firstLine="3517" w:firstLineChars="167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邮箱：                          </w:t>
      </w:r>
    </w:p>
    <w:p w14:paraId="0159C8D0">
      <w:pPr>
        <w:pStyle w:val="45"/>
        <w:spacing w:line="500" w:lineRule="atLeast"/>
        <w:ind w:firstLine="3507" w:firstLineChars="167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  年  月  日</w:t>
      </w:r>
    </w:p>
    <w:p w14:paraId="4821BBE4">
      <w:pPr>
        <w:pStyle w:val="45"/>
        <w:spacing w:line="460" w:lineRule="exact"/>
        <w:ind w:firstLine="433"/>
        <w:rPr>
          <w:rFonts w:hint="eastAsia" w:ascii="宋体" w:hAnsi="宋体" w:eastAsia="宋体" w:cs="宋体"/>
          <w:color w:val="auto"/>
          <w:sz w:val="21"/>
          <w:szCs w:val="21"/>
          <w:highlight w:val="none"/>
        </w:rPr>
      </w:pPr>
    </w:p>
    <w:p w14:paraId="31E069A9">
      <w:pPr>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须附：被授权人身份证复印件。</w:t>
      </w:r>
    </w:p>
    <w:tbl>
      <w:tblPr>
        <w:tblStyle w:val="31"/>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14:paraId="15B0DEC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61" w:hRule="atLeast"/>
          <w:jc w:val="center"/>
        </w:trPr>
        <w:tc>
          <w:tcPr>
            <w:tcW w:w="4232" w:type="dxa"/>
            <w:vAlign w:val="center"/>
          </w:tcPr>
          <w:p w14:paraId="0D7A34FD">
            <w:pPr>
              <w:pStyle w:val="45"/>
              <w:spacing w:line="460" w:lineRule="exact"/>
              <w:ind w:firstLine="0" w:firstLineChars="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正面</w:t>
            </w:r>
          </w:p>
        </w:tc>
        <w:tc>
          <w:tcPr>
            <w:tcW w:w="4232" w:type="dxa"/>
            <w:vAlign w:val="center"/>
          </w:tcPr>
          <w:p w14:paraId="55BD9FF2">
            <w:pPr>
              <w:pStyle w:val="45"/>
              <w:spacing w:line="460" w:lineRule="exact"/>
              <w:ind w:firstLine="0" w:firstLineChars="0"/>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背面</w:t>
            </w:r>
          </w:p>
        </w:tc>
      </w:tr>
    </w:tbl>
    <w:p w14:paraId="5810BE9B">
      <w:pPr>
        <w:adjustRightInd/>
        <w:snapToGrid/>
        <w:spacing w:line="276" w:lineRule="auto"/>
        <w:rPr>
          <w:rFonts w:hint="eastAsia" w:ascii="宋体" w:hAnsi="宋体" w:eastAsia="宋体" w:cs="宋体"/>
          <w:color w:val="auto"/>
          <w:highlight w:val="none"/>
        </w:rPr>
      </w:pPr>
      <w:bookmarkStart w:id="298" w:name="_Toc22486"/>
      <w:r>
        <w:rPr>
          <w:rFonts w:hint="eastAsia" w:ascii="宋体" w:hAnsi="宋体" w:eastAsia="宋体" w:cs="宋体"/>
          <w:color w:val="auto"/>
          <w:szCs w:val="21"/>
          <w:highlight w:val="none"/>
        </w:rPr>
        <w:br w:type="page"/>
      </w:r>
    </w:p>
    <w:p w14:paraId="13A1C974">
      <w:pPr>
        <w:pStyle w:val="5"/>
        <w:widowControl w:val="0"/>
        <w:overflowPunct w:val="0"/>
        <w:spacing w:line="240" w:lineRule="auto"/>
        <w:rPr>
          <w:rFonts w:hint="eastAsia" w:ascii="宋体" w:hAnsi="宋体" w:eastAsia="宋体" w:cs="宋体"/>
          <w:color w:val="auto"/>
          <w:sz w:val="21"/>
          <w:szCs w:val="21"/>
          <w:highlight w:val="none"/>
        </w:rPr>
      </w:pPr>
      <w:bookmarkStart w:id="299" w:name="_Toc24799"/>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.资格申明</w:t>
      </w:r>
      <w:bookmarkEnd w:id="299"/>
    </w:p>
    <w:p w14:paraId="3E55CA79">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资格申明</w:t>
      </w:r>
    </w:p>
    <w:p w14:paraId="267A2E03">
      <w:pPr>
        <w:pStyle w:val="45"/>
        <w:spacing w:line="420" w:lineRule="atLeas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xxx   </w:t>
      </w:r>
      <w:r>
        <w:rPr>
          <w:rFonts w:hint="eastAsia" w:ascii="宋体" w:hAnsi="宋体" w:eastAsia="宋体" w:cs="宋体"/>
          <w:color w:val="auto"/>
          <w:sz w:val="21"/>
          <w:szCs w:val="21"/>
          <w:highlight w:val="none"/>
        </w:rPr>
        <w:t>公司：</w:t>
      </w:r>
    </w:p>
    <w:p w14:paraId="6AE5F27D">
      <w:pPr>
        <w:ind w:firstLine="420" w:firstLineChars="200"/>
        <w:rPr>
          <w:rFonts w:hint="eastAsia" w:ascii="宋体" w:hAnsi="宋体" w:eastAsia="宋体" w:cs="宋体"/>
          <w:color w:val="auto"/>
          <w:szCs w:val="21"/>
          <w:highlight w:val="none"/>
        </w:rPr>
      </w:pPr>
    </w:p>
    <w:p w14:paraId="63078992">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我方愿响应贵方关于（项目名称：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）的投标邀请，参与投标，提供用户需求书中规定的货物及相关服务，并按采购文件要求提交所附资格文件且声明和保证如下：</w:t>
      </w:r>
    </w:p>
    <w:p w14:paraId="3E9A2CA8">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一、我方具备投标人邀请中所要求得资格条件，已清楚采购文件所有要求及有关规定；并承诺参加本次采购活动中，如有违法、违规、弄虚作假行为，所造成的损失、不良后果及法律责任，一律由我方承担；</w:t>
      </w:r>
    </w:p>
    <w:p w14:paraId="756171B4">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二、我方依法注册，在法律上、财务上和运作上完全独立于</w:t>
      </w:r>
      <w:r>
        <w:rPr>
          <w:rFonts w:hint="eastAsia" w:ascii="宋体" w:hAnsi="宋体" w:eastAsia="宋体" w:cs="宋体"/>
          <w:color w:val="auto"/>
          <w:szCs w:val="21"/>
          <w:highlight w:val="none"/>
          <w:u w:val="single"/>
        </w:rPr>
        <w:t xml:space="preserve">  xxxx   </w:t>
      </w:r>
      <w:r>
        <w:rPr>
          <w:rFonts w:hint="eastAsia" w:ascii="宋体" w:hAnsi="宋体" w:eastAsia="宋体" w:cs="宋体"/>
          <w:color w:val="auto"/>
          <w:szCs w:val="21"/>
          <w:highlight w:val="none"/>
        </w:rPr>
        <w:t>公司（采购人）及</w:t>
      </w:r>
      <w:r>
        <w:rPr>
          <w:rFonts w:hint="eastAsia" w:ascii="宋体" w:hAnsi="宋体" w:eastAsia="宋体" w:cs="宋体"/>
          <w:color w:val="auto"/>
          <w:szCs w:val="21"/>
          <w:highlight w:val="none"/>
          <w:u w:val="single"/>
        </w:rPr>
        <w:t xml:space="preserve">    xxx   </w:t>
      </w:r>
      <w:r>
        <w:rPr>
          <w:rFonts w:hint="eastAsia" w:ascii="宋体" w:hAnsi="宋体" w:eastAsia="宋体" w:cs="宋体"/>
          <w:color w:val="auto"/>
          <w:szCs w:val="21"/>
          <w:highlight w:val="none"/>
        </w:rPr>
        <w:t>公司（采购代理机构）。</w:t>
      </w:r>
    </w:p>
    <w:p w14:paraId="76177186">
      <w:pPr>
        <w:pStyle w:val="45"/>
        <w:spacing w:line="500" w:lineRule="atLeast"/>
        <w:ind w:firstLine="3517" w:firstLineChars="1675"/>
        <w:rPr>
          <w:rFonts w:hint="eastAsia" w:ascii="宋体" w:hAnsi="宋体" w:eastAsia="宋体" w:cs="宋体"/>
          <w:color w:val="auto"/>
          <w:sz w:val="21"/>
          <w:szCs w:val="21"/>
          <w:highlight w:val="none"/>
        </w:rPr>
      </w:pPr>
    </w:p>
    <w:p w14:paraId="4CF5D54A">
      <w:pPr>
        <w:pStyle w:val="45"/>
        <w:spacing w:line="500" w:lineRule="atLeast"/>
        <w:ind w:firstLine="3517" w:firstLineChars="1675"/>
        <w:rPr>
          <w:rFonts w:hint="eastAsia" w:ascii="宋体" w:hAnsi="宋体" w:eastAsia="宋体" w:cs="宋体"/>
          <w:color w:val="auto"/>
          <w:sz w:val="21"/>
          <w:szCs w:val="21"/>
          <w:highlight w:val="none"/>
        </w:rPr>
      </w:pPr>
    </w:p>
    <w:p w14:paraId="0A4D1CE4">
      <w:pPr>
        <w:pStyle w:val="45"/>
        <w:spacing w:line="50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投标人名称（加盖公章）：</w:t>
      </w:r>
    </w:p>
    <w:p w14:paraId="3BD20919">
      <w:pPr>
        <w:pStyle w:val="45"/>
        <w:spacing w:line="50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法定代表人或其授权代表（签名或盖私章）：</w:t>
      </w:r>
    </w:p>
    <w:p w14:paraId="2DE91E71">
      <w:pPr>
        <w:pStyle w:val="45"/>
        <w:spacing w:line="50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     期：年月日</w:t>
      </w:r>
    </w:p>
    <w:p w14:paraId="02CF4E36">
      <w:pPr>
        <w:pStyle w:val="45"/>
        <w:spacing w:line="500" w:lineRule="atLeas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308A9F42">
      <w:pPr>
        <w:pStyle w:val="5"/>
        <w:widowControl w:val="0"/>
        <w:overflowPunct w:val="0"/>
        <w:spacing w:line="240" w:lineRule="auto"/>
        <w:rPr>
          <w:rFonts w:hint="eastAsia" w:ascii="宋体" w:hAnsi="宋体" w:eastAsia="宋体" w:cs="宋体"/>
          <w:color w:val="auto"/>
          <w:sz w:val="21"/>
          <w:szCs w:val="21"/>
          <w:highlight w:val="none"/>
        </w:rPr>
      </w:pPr>
      <w:bookmarkStart w:id="300" w:name="_Toc12210"/>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.营业执照</w:t>
      </w:r>
      <w:bookmarkEnd w:id="300"/>
    </w:p>
    <w:p w14:paraId="070133F5">
      <w:pPr>
        <w:jc w:val="center"/>
        <w:rPr>
          <w:rFonts w:hint="eastAsia" w:ascii="宋体" w:hAnsi="宋体" w:eastAsia="宋体" w:cs="宋体"/>
          <w:color w:val="auto"/>
          <w:sz w:val="28"/>
          <w:szCs w:val="28"/>
          <w:highlight w:val="none"/>
        </w:rPr>
      </w:pPr>
      <w:bookmarkStart w:id="301" w:name="_Toc4926"/>
      <w:bookmarkStart w:id="302" w:name="_Toc17470"/>
      <w:bookmarkStart w:id="303" w:name="_Toc5919"/>
      <w:bookmarkStart w:id="304" w:name="_Toc1511"/>
      <w:bookmarkStart w:id="305" w:name="_Toc24210"/>
      <w:r>
        <w:rPr>
          <w:rFonts w:hint="eastAsia" w:ascii="宋体" w:hAnsi="宋体" w:eastAsia="宋体" w:cs="宋体"/>
          <w:color w:val="auto"/>
          <w:sz w:val="28"/>
          <w:szCs w:val="28"/>
          <w:highlight w:val="none"/>
        </w:rPr>
        <w:t>营业执照</w:t>
      </w:r>
      <w:bookmarkEnd w:id="301"/>
      <w:bookmarkEnd w:id="302"/>
      <w:bookmarkEnd w:id="303"/>
      <w:bookmarkEnd w:id="304"/>
      <w:bookmarkEnd w:id="305"/>
    </w:p>
    <w:p w14:paraId="239D858B">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603DCC05">
      <w:pPr>
        <w:pStyle w:val="5"/>
        <w:widowControl w:val="0"/>
        <w:overflowPunct w:val="0"/>
        <w:spacing w:line="240" w:lineRule="auto"/>
        <w:rPr>
          <w:rFonts w:hint="eastAsia" w:ascii="宋体" w:hAnsi="宋体" w:eastAsia="宋体" w:cs="宋体"/>
          <w:color w:val="auto"/>
          <w:sz w:val="21"/>
          <w:szCs w:val="21"/>
          <w:highlight w:val="none"/>
        </w:rPr>
      </w:pPr>
      <w:bookmarkStart w:id="306" w:name="_Toc5969"/>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.相关资质证明文件</w:t>
      </w:r>
      <w:bookmarkEnd w:id="306"/>
    </w:p>
    <w:p w14:paraId="3C4AB253">
      <w:pPr>
        <w:rPr>
          <w:rFonts w:hint="eastAsia" w:ascii="宋体" w:hAnsi="宋体" w:eastAsia="宋体" w:cs="宋体"/>
          <w:color w:val="auto"/>
          <w:highlight w:val="none"/>
        </w:rPr>
      </w:pPr>
    </w:p>
    <w:p w14:paraId="4B1D3923">
      <w:pPr>
        <w:jc w:val="center"/>
        <w:rPr>
          <w:rFonts w:hint="eastAsia" w:ascii="宋体" w:hAnsi="宋体" w:eastAsia="宋体" w:cs="宋体"/>
          <w:color w:val="auto"/>
          <w:sz w:val="28"/>
          <w:szCs w:val="28"/>
          <w:highlight w:val="none"/>
        </w:rPr>
      </w:pPr>
      <w:bookmarkStart w:id="307" w:name="_Toc16233"/>
      <w:bookmarkStart w:id="308" w:name="_Toc16698"/>
      <w:bookmarkStart w:id="309" w:name="_Toc13458"/>
      <w:bookmarkStart w:id="310" w:name="_Toc9592"/>
      <w:bookmarkStart w:id="311" w:name="_Toc30307"/>
      <w:r>
        <w:rPr>
          <w:rFonts w:hint="eastAsia" w:ascii="宋体" w:hAnsi="宋体" w:eastAsia="宋体" w:cs="宋体"/>
          <w:color w:val="auto"/>
          <w:sz w:val="28"/>
          <w:szCs w:val="28"/>
          <w:highlight w:val="none"/>
        </w:rPr>
        <w:t>相关资质证明文件</w:t>
      </w:r>
      <w:bookmarkEnd w:id="298"/>
      <w:bookmarkEnd w:id="307"/>
      <w:bookmarkEnd w:id="308"/>
      <w:bookmarkEnd w:id="309"/>
      <w:bookmarkEnd w:id="310"/>
      <w:bookmarkEnd w:id="311"/>
    </w:p>
    <w:p w14:paraId="208F0060">
      <w:pPr>
        <w:numPr>
          <w:ilvl w:val="0"/>
          <w:numId w:val="26"/>
        </w:numPr>
        <w:tabs>
          <w:tab w:val="left" w:pos="1680"/>
        </w:tabs>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符合投标邀请书“投标人资格要求”其他要求对应的证明文件；</w:t>
      </w:r>
    </w:p>
    <w:p w14:paraId="7A5E0179">
      <w:pPr>
        <w:numPr>
          <w:ilvl w:val="0"/>
          <w:numId w:val="26"/>
        </w:numPr>
        <w:tabs>
          <w:tab w:val="left" w:pos="1680"/>
        </w:tabs>
        <w:jc w:val="both"/>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投标人认为必要的文件。</w:t>
      </w:r>
      <w:r>
        <w:rPr>
          <w:rFonts w:hint="eastAsia" w:ascii="宋体" w:hAnsi="宋体" w:eastAsia="宋体" w:cs="宋体"/>
          <w:b/>
          <w:bCs/>
          <w:color w:val="auto"/>
          <w:szCs w:val="21"/>
          <w:highlight w:val="none"/>
        </w:rPr>
        <w:br w:type="page"/>
      </w:r>
    </w:p>
    <w:p w14:paraId="74C2D515">
      <w:pPr>
        <w:pStyle w:val="5"/>
        <w:widowControl w:val="0"/>
        <w:overflowPunct w:val="0"/>
        <w:spacing w:line="240" w:lineRule="auto"/>
        <w:rPr>
          <w:rFonts w:hint="eastAsia" w:ascii="宋体" w:hAnsi="宋体" w:eastAsia="宋体" w:cs="宋体"/>
          <w:color w:val="auto"/>
          <w:highlight w:val="none"/>
        </w:rPr>
      </w:pPr>
      <w:bookmarkStart w:id="312" w:name="_Toc5405"/>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.在经营活动中没有重大违法记录的书面声明格式</w:t>
      </w:r>
      <w:bookmarkEnd w:id="312"/>
    </w:p>
    <w:p w14:paraId="5BD5515E">
      <w:pPr>
        <w:rPr>
          <w:rFonts w:hint="eastAsia" w:ascii="宋体" w:hAnsi="宋体" w:eastAsia="宋体" w:cs="宋体"/>
          <w:color w:val="auto"/>
          <w:highlight w:val="none"/>
        </w:rPr>
      </w:pPr>
    </w:p>
    <w:p w14:paraId="36787C6A">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投标人在经营活动中前三年内未有重大违法记录、没有不良信用记录的声明函</w:t>
      </w:r>
    </w:p>
    <w:p w14:paraId="05757445">
      <w:pPr>
        <w:ind w:firstLine="420" w:firstLineChars="200"/>
        <w:rPr>
          <w:rFonts w:hint="eastAsia" w:ascii="宋体" w:hAnsi="宋体" w:eastAsia="宋体" w:cs="宋体"/>
          <w:color w:val="auto"/>
          <w:szCs w:val="21"/>
          <w:highlight w:val="none"/>
        </w:rPr>
      </w:pPr>
    </w:p>
    <w:p w14:paraId="03E2FFA0">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XDY-GK-2026-003</w:t>
      </w:r>
      <w:r>
        <w:rPr>
          <w:rFonts w:hint="eastAsia" w:ascii="宋体" w:hAnsi="宋体" w:eastAsia="宋体" w:cs="宋体"/>
          <w:color w:val="auto"/>
          <w:szCs w:val="21"/>
          <w:highlight w:val="none"/>
        </w:rPr>
        <w:t>x公司：</w:t>
      </w:r>
    </w:p>
    <w:p w14:paraId="57E4774C">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我公司郑重承诺：在参加“</w:t>
      </w:r>
      <w:r>
        <w:rPr>
          <w:rFonts w:hint="eastAsia" w:ascii="宋体" w:hAnsi="宋体" w:eastAsia="宋体" w:cs="宋体"/>
          <w:color w:val="auto"/>
          <w:szCs w:val="21"/>
          <w:highlight w:val="none"/>
          <w:u w:val="single"/>
        </w:rPr>
        <w:t xml:space="preserve">       （采购项目名称）</w:t>
      </w:r>
      <w:r>
        <w:rPr>
          <w:rFonts w:hint="eastAsia" w:ascii="宋体" w:hAnsi="宋体" w:eastAsia="宋体" w:cs="宋体"/>
          <w:color w:val="auto"/>
          <w:szCs w:val="21"/>
          <w:highlight w:val="none"/>
        </w:rPr>
        <w:t>” （项目编号:</w:t>
      </w:r>
      <w:r>
        <w:rPr>
          <w:rFonts w:hint="eastAsia" w:ascii="宋体" w:hAnsi="宋体" w:eastAsia="宋体" w:cs="宋体"/>
          <w:color w:val="auto"/>
          <w:szCs w:val="21"/>
          <w:highlight w:val="none"/>
          <w:lang w:val="en-US" w:eastAsia="zh-CN"/>
        </w:rPr>
        <w:t>XX</w:t>
      </w:r>
      <w:r>
        <w:rPr>
          <w:rFonts w:hint="eastAsia" w:ascii="宋体" w:hAnsi="宋体" w:eastAsia="宋体" w:cs="宋体"/>
          <w:color w:val="auto"/>
          <w:szCs w:val="21"/>
          <w:highlight w:val="none"/>
        </w:rPr>
        <w:t>）采购活动前三年内（设立不满三年的从设立之日计算），在经营活动中没有重大违法记录；至本项目提交投标文件截止时间止未被列入“信用中国”网站失信被执行人、重大税收违法失信主体、政府采购严重违法失信行为记录名单。</w:t>
      </w:r>
    </w:p>
    <w:p w14:paraId="64811566">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我公司以上承诺均为真实有效，绝无任何虚假、伪造的成份，否则，愿承担相应的后果和法律责任。</w:t>
      </w:r>
    </w:p>
    <w:p w14:paraId="535E6FC9">
      <w:pPr>
        <w:ind w:firstLine="420" w:firstLineChars="200"/>
        <w:rPr>
          <w:rFonts w:hint="eastAsia" w:ascii="宋体" w:hAnsi="宋体" w:eastAsia="宋体" w:cs="宋体"/>
          <w:color w:val="auto"/>
          <w:szCs w:val="21"/>
          <w:highlight w:val="none"/>
        </w:rPr>
      </w:pPr>
    </w:p>
    <w:p w14:paraId="3CE227E1">
      <w:pPr>
        <w:rPr>
          <w:rFonts w:hint="eastAsia" w:ascii="宋体" w:hAnsi="宋体" w:eastAsia="宋体" w:cs="宋体"/>
          <w:color w:val="auto"/>
          <w:szCs w:val="21"/>
          <w:highlight w:val="none"/>
        </w:rPr>
      </w:pPr>
    </w:p>
    <w:p w14:paraId="45EF9D8D">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投标人名称（盖章）：</w:t>
      </w:r>
    </w:p>
    <w:p w14:paraId="10AC074A">
      <w:pPr>
        <w:rPr>
          <w:rFonts w:hint="eastAsia" w:ascii="宋体" w:hAnsi="宋体" w:eastAsia="宋体" w:cs="宋体"/>
          <w:color w:val="auto"/>
          <w:szCs w:val="21"/>
          <w:highlight w:val="none"/>
        </w:rPr>
      </w:pPr>
    </w:p>
    <w:p w14:paraId="3C2F96C9">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p>
    <w:p w14:paraId="38110ED3">
      <w:pPr>
        <w:rPr>
          <w:rFonts w:hint="eastAsia" w:ascii="宋体" w:hAnsi="宋体" w:eastAsia="宋体" w:cs="宋体"/>
          <w:color w:val="auto"/>
          <w:highlight w:val="none"/>
        </w:rPr>
      </w:pPr>
    </w:p>
    <w:p w14:paraId="3CC79A8A">
      <w:pPr>
        <w:rPr>
          <w:rFonts w:hint="eastAsia" w:ascii="宋体" w:hAnsi="宋体" w:eastAsia="宋体" w:cs="宋体"/>
          <w:color w:val="auto"/>
          <w:szCs w:val="21"/>
          <w:highlight w:val="none"/>
        </w:rPr>
      </w:pPr>
    </w:p>
    <w:p w14:paraId="2CE0FB83">
      <w:pPr>
        <w:pStyle w:val="10"/>
        <w:rPr>
          <w:rFonts w:hint="eastAsia" w:ascii="宋体" w:hAnsi="宋体" w:eastAsia="宋体" w:cs="宋体"/>
          <w:color w:val="auto"/>
          <w:sz w:val="21"/>
          <w:szCs w:val="21"/>
          <w:highlight w:val="none"/>
        </w:rPr>
      </w:pPr>
    </w:p>
    <w:p w14:paraId="190CD303">
      <w:pPr>
        <w:rPr>
          <w:rFonts w:hint="eastAsia" w:ascii="宋体" w:hAnsi="宋体" w:eastAsia="宋体" w:cs="宋体"/>
          <w:color w:val="auto"/>
          <w:szCs w:val="21"/>
          <w:highlight w:val="none"/>
        </w:rPr>
      </w:pPr>
    </w:p>
    <w:p w14:paraId="2ED90177">
      <w:pPr>
        <w:pStyle w:val="10"/>
        <w:rPr>
          <w:rFonts w:hint="eastAsia" w:ascii="宋体" w:hAnsi="宋体" w:eastAsia="宋体" w:cs="宋体"/>
          <w:color w:val="auto"/>
          <w:sz w:val="21"/>
          <w:szCs w:val="21"/>
          <w:highlight w:val="none"/>
        </w:rPr>
      </w:pPr>
    </w:p>
    <w:p w14:paraId="019B62D7">
      <w:pPr>
        <w:rPr>
          <w:rFonts w:hint="eastAsia" w:ascii="宋体" w:hAnsi="宋体" w:eastAsia="宋体" w:cs="宋体"/>
          <w:color w:val="auto"/>
          <w:szCs w:val="21"/>
          <w:highlight w:val="none"/>
        </w:rPr>
      </w:pPr>
    </w:p>
    <w:p w14:paraId="0751ED8E">
      <w:pPr>
        <w:pStyle w:val="10"/>
        <w:rPr>
          <w:rFonts w:hint="eastAsia" w:ascii="宋体" w:hAnsi="宋体" w:eastAsia="宋体" w:cs="宋体"/>
          <w:color w:val="auto"/>
          <w:sz w:val="21"/>
          <w:szCs w:val="21"/>
          <w:highlight w:val="none"/>
        </w:rPr>
      </w:pPr>
    </w:p>
    <w:p w14:paraId="4D165CFF">
      <w:pPr>
        <w:rPr>
          <w:rFonts w:hint="eastAsia" w:ascii="宋体" w:hAnsi="宋体" w:eastAsia="宋体" w:cs="宋体"/>
          <w:color w:val="auto"/>
          <w:szCs w:val="21"/>
          <w:highlight w:val="none"/>
        </w:rPr>
      </w:pPr>
    </w:p>
    <w:p w14:paraId="7EC2FEC4">
      <w:pPr>
        <w:pStyle w:val="10"/>
        <w:rPr>
          <w:rFonts w:hint="eastAsia" w:ascii="宋体" w:hAnsi="宋体" w:eastAsia="宋体" w:cs="宋体"/>
          <w:color w:val="auto"/>
          <w:sz w:val="21"/>
          <w:szCs w:val="21"/>
          <w:highlight w:val="none"/>
        </w:rPr>
      </w:pPr>
    </w:p>
    <w:p w14:paraId="55CF8E0B">
      <w:pPr>
        <w:rPr>
          <w:rFonts w:hint="eastAsia" w:ascii="宋体" w:hAnsi="宋体" w:eastAsia="宋体" w:cs="宋体"/>
          <w:color w:val="auto"/>
          <w:szCs w:val="21"/>
          <w:highlight w:val="none"/>
        </w:rPr>
      </w:pPr>
    </w:p>
    <w:p w14:paraId="0D1C32A8">
      <w:pPr>
        <w:pStyle w:val="10"/>
        <w:rPr>
          <w:rFonts w:hint="eastAsia" w:ascii="宋体" w:hAnsi="宋体" w:eastAsia="宋体" w:cs="宋体"/>
          <w:color w:val="auto"/>
          <w:sz w:val="21"/>
          <w:szCs w:val="21"/>
          <w:highlight w:val="none"/>
        </w:rPr>
      </w:pPr>
    </w:p>
    <w:p w14:paraId="6C356988">
      <w:pPr>
        <w:rPr>
          <w:rFonts w:hint="eastAsia" w:ascii="宋体" w:hAnsi="宋体" w:eastAsia="宋体" w:cs="宋体"/>
          <w:color w:val="auto"/>
          <w:highlight w:val="none"/>
        </w:rPr>
      </w:pPr>
    </w:p>
    <w:p w14:paraId="5CB0C88B">
      <w:pPr>
        <w:pStyle w:val="5"/>
        <w:widowControl w:val="0"/>
        <w:overflowPunct w:val="0"/>
        <w:spacing w:line="240" w:lineRule="auto"/>
        <w:rPr>
          <w:rFonts w:hint="eastAsia" w:ascii="宋体" w:hAnsi="宋体" w:eastAsia="宋体" w:cs="宋体"/>
          <w:color w:val="auto"/>
          <w:highlight w:val="none"/>
        </w:rPr>
      </w:pPr>
      <w:bookmarkStart w:id="313" w:name="_Toc10988"/>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.承诺书格式</w:t>
      </w:r>
      <w:bookmarkEnd w:id="313"/>
    </w:p>
    <w:p w14:paraId="6E78D4C4">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承诺书</w:t>
      </w:r>
    </w:p>
    <w:p w14:paraId="53FD9449">
      <w:pPr>
        <w:pStyle w:val="45"/>
        <w:spacing w:line="420" w:lineRule="atLeast"/>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lang w:eastAsia="zh-CN"/>
        </w:rPr>
        <w:t>广东中科招标有限公司</w:t>
      </w:r>
      <w:r>
        <w:rPr>
          <w:rFonts w:hint="eastAsia" w:ascii="宋体" w:hAnsi="宋体" w:eastAsia="宋体" w:cs="宋体"/>
          <w:color w:val="auto"/>
          <w:sz w:val="21"/>
          <w:szCs w:val="21"/>
          <w:highlight w:val="none"/>
        </w:rPr>
        <w:t>：</w:t>
      </w:r>
    </w:p>
    <w:p w14:paraId="1DD9A762">
      <w:pPr>
        <w:jc w:val="center"/>
        <w:rPr>
          <w:rFonts w:hint="eastAsia" w:ascii="宋体" w:hAnsi="宋体" w:eastAsia="宋体" w:cs="宋体"/>
          <w:color w:val="auto"/>
          <w:szCs w:val="21"/>
          <w:highlight w:val="none"/>
        </w:rPr>
      </w:pPr>
    </w:p>
    <w:p w14:paraId="75828E6A">
      <w:pPr>
        <w:pStyle w:val="45"/>
        <w:spacing w:line="420" w:lineRule="exact"/>
        <w:ind w:firstLine="43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我方已完整阅读了</w:t>
      </w:r>
      <w:r>
        <w:rPr>
          <w:rFonts w:hint="eastAsia" w:ascii="宋体" w:hAnsi="宋体" w:eastAsia="宋体" w:cs="宋体"/>
          <w:color w:val="auto"/>
          <w:sz w:val="21"/>
          <w:szCs w:val="21"/>
          <w:highlight w:val="none"/>
          <w:u w:val="single"/>
        </w:rPr>
        <w:t xml:space="preserve">  （项目名称）     </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）采购文件的所有内容（包括澄清，以及所有已提供的参考资料和有关附件），并完全理解上述文件所表达的意思，该项目递交投标文件时间截止后，我方承诺不再对上述文件内容有异议。</w:t>
      </w:r>
      <w:r>
        <w:rPr>
          <w:rFonts w:hint="eastAsia" w:ascii="宋体" w:hAnsi="宋体" w:eastAsia="宋体" w:cs="宋体"/>
          <w:color w:val="auto"/>
          <w:sz w:val="21"/>
          <w:szCs w:val="21"/>
          <w:highlight w:val="none"/>
        </w:rPr>
        <w:cr/>
      </w:r>
    </w:p>
    <w:p w14:paraId="644FFA14">
      <w:pPr>
        <w:pStyle w:val="45"/>
        <w:spacing w:line="420" w:lineRule="exact"/>
        <w:ind w:firstLine="433"/>
        <w:rPr>
          <w:rFonts w:hint="eastAsia" w:ascii="宋体" w:hAnsi="宋体" w:eastAsia="宋体" w:cs="宋体"/>
          <w:color w:val="auto"/>
          <w:sz w:val="21"/>
          <w:szCs w:val="21"/>
          <w:highlight w:val="none"/>
        </w:rPr>
      </w:pPr>
    </w:p>
    <w:p w14:paraId="2995049C">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投标人名称（加盖公章）：</w:t>
      </w:r>
    </w:p>
    <w:p w14:paraId="13970056">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法定代表人或被授权人（签名或盖私章）：</w:t>
      </w:r>
    </w:p>
    <w:p w14:paraId="477E370D">
      <w:pPr>
        <w:ind w:right="561"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p>
    <w:p w14:paraId="72FE7E71">
      <w:pPr>
        <w:rPr>
          <w:rFonts w:hint="eastAsia" w:ascii="宋体" w:hAnsi="宋体" w:eastAsia="宋体" w:cs="宋体"/>
          <w:color w:val="auto"/>
          <w:highlight w:val="none"/>
        </w:rPr>
      </w:pPr>
    </w:p>
    <w:p w14:paraId="0921C844">
      <w:pPr>
        <w:rPr>
          <w:rFonts w:hint="eastAsia" w:ascii="宋体" w:hAnsi="宋体" w:eastAsia="宋体" w:cs="宋体"/>
          <w:color w:val="auto"/>
          <w:szCs w:val="21"/>
          <w:highlight w:val="none"/>
        </w:rPr>
      </w:pPr>
    </w:p>
    <w:p w14:paraId="2C24D49F">
      <w:pPr>
        <w:pStyle w:val="10"/>
        <w:rPr>
          <w:rFonts w:hint="eastAsia" w:ascii="宋体" w:hAnsi="宋体" w:eastAsia="宋体" w:cs="宋体"/>
          <w:color w:val="auto"/>
          <w:sz w:val="21"/>
          <w:szCs w:val="21"/>
          <w:highlight w:val="none"/>
        </w:rPr>
      </w:pPr>
    </w:p>
    <w:p w14:paraId="75CD97A5">
      <w:pPr>
        <w:rPr>
          <w:rFonts w:hint="eastAsia" w:ascii="宋体" w:hAnsi="宋体" w:eastAsia="宋体" w:cs="宋体"/>
          <w:color w:val="auto"/>
          <w:szCs w:val="21"/>
          <w:highlight w:val="none"/>
        </w:rPr>
      </w:pPr>
    </w:p>
    <w:p w14:paraId="6351AF88">
      <w:pPr>
        <w:pStyle w:val="10"/>
        <w:rPr>
          <w:rFonts w:hint="eastAsia" w:ascii="宋体" w:hAnsi="宋体" w:eastAsia="宋体" w:cs="宋体"/>
          <w:color w:val="auto"/>
          <w:sz w:val="21"/>
          <w:szCs w:val="21"/>
          <w:highlight w:val="none"/>
        </w:rPr>
      </w:pPr>
    </w:p>
    <w:p w14:paraId="701E293F">
      <w:pPr>
        <w:rPr>
          <w:rFonts w:hint="eastAsia" w:ascii="宋体" w:hAnsi="宋体" w:eastAsia="宋体" w:cs="宋体"/>
          <w:color w:val="auto"/>
          <w:szCs w:val="21"/>
          <w:highlight w:val="none"/>
        </w:rPr>
      </w:pPr>
    </w:p>
    <w:p w14:paraId="32D1C3AE">
      <w:pPr>
        <w:pStyle w:val="10"/>
        <w:rPr>
          <w:rFonts w:hint="eastAsia" w:ascii="宋体" w:hAnsi="宋体" w:eastAsia="宋体" w:cs="宋体"/>
          <w:color w:val="auto"/>
          <w:sz w:val="21"/>
          <w:szCs w:val="21"/>
          <w:highlight w:val="none"/>
        </w:rPr>
      </w:pPr>
    </w:p>
    <w:p w14:paraId="1968264E">
      <w:pPr>
        <w:rPr>
          <w:rFonts w:hint="eastAsia" w:ascii="宋体" w:hAnsi="宋体" w:eastAsia="宋体" w:cs="宋体"/>
          <w:color w:val="auto"/>
          <w:szCs w:val="21"/>
          <w:highlight w:val="none"/>
        </w:rPr>
      </w:pPr>
    </w:p>
    <w:p w14:paraId="06403CED">
      <w:pPr>
        <w:pStyle w:val="10"/>
        <w:rPr>
          <w:rFonts w:hint="eastAsia" w:ascii="宋体" w:hAnsi="宋体" w:eastAsia="宋体" w:cs="宋体"/>
          <w:color w:val="auto"/>
          <w:sz w:val="21"/>
          <w:szCs w:val="21"/>
          <w:highlight w:val="none"/>
        </w:rPr>
      </w:pPr>
    </w:p>
    <w:p w14:paraId="4761BD14">
      <w:pPr>
        <w:rPr>
          <w:rFonts w:hint="eastAsia" w:ascii="宋体" w:hAnsi="宋体" w:eastAsia="宋体" w:cs="宋体"/>
          <w:color w:val="auto"/>
          <w:szCs w:val="21"/>
          <w:highlight w:val="none"/>
        </w:rPr>
      </w:pPr>
    </w:p>
    <w:p w14:paraId="1C045BFB">
      <w:pPr>
        <w:pStyle w:val="10"/>
        <w:rPr>
          <w:rFonts w:hint="eastAsia" w:ascii="宋体" w:hAnsi="宋体" w:eastAsia="宋体" w:cs="宋体"/>
          <w:color w:val="auto"/>
          <w:sz w:val="21"/>
          <w:szCs w:val="21"/>
          <w:highlight w:val="none"/>
        </w:rPr>
      </w:pPr>
    </w:p>
    <w:p w14:paraId="6326558F">
      <w:pPr>
        <w:rPr>
          <w:rFonts w:hint="eastAsia" w:ascii="宋体" w:hAnsi="宋体" w:eastAsia="宋体" w:cs="宋体"/>
          <w:color w:val="auto"/>
          <w:szCs w:val="21"/>
          <w:highlight w:val="none"/>
        </w:rPr>
      </w:pPr>
    </w:p>
    <w:p w14:paraId="4F1AE4F1">
      <w:pPr>
        <w:pStyle w:val="10"/>
        <w:rPr>
          <w:rFonts w:hint="eastAsia" w:ascii="宋体" w:hAnsi="宋体" w:eastAsia="宋体" w:cs="宋体"/>
          <w:color w:val="auto"/>
          <w:sz w:val="21"/>
          <w:szCs w:val="21"/>
          <w:highlight w:val="none"/>
        </w:rPr>
      </w:pPr>
    </w:p>
    <w:p w14:paraId="668AABD5">
      <w:pPr>
        <w:rPr>
          <w:rFonts w:hint="eastAsia" w:ascii="宋体" w:hAnsi="宋体" w:eastAsia="宋体" w:cs="宋体"/>
          <w:color w:val="auto"/>
          <w:szCs w:val="21"/>
          <w:highlight w:val="none"/>
        </w:rPr>
      </w:pPr>
    </w:p>
    <w:p w14:paraId="2F35045A">
      <w:pPr>
        <w:pStyle w:val="10"/>
        <w:rPr>
          <w:rFonts w:hint="eastAsia" w:ascii="宋体" w:hAnsi="宋体" w:eastAsia="宋体" w:cs="宋体"/>
          <w:color w:val="auto"/>
          <w:sz w:val="21"/>
          <w:szCs w:val="21"/>
          <w:highlight w:val="none"/>
        </w:rPr>
      </w:pPr>
    </w:p>
    <w:p w14:paraId="5A71D9C2">
      <w:pPr>
        <w:rPr>
          <w:rFonts w:hint="eastAsia" w:ascii="宋体" w:hAnsi="宋体" w:eastAsia="宋体" w:cs="宋体"/>
          <w:color w:val="auto"/>
          <w:szCs w:val="21"/>
          <w:highlight w:val="none"/>
        </w:rPr>
      </w:pPr>
    </w:p>
    <w:p w14:paraId="13DA5922">
      <w:pPr>
        <w:pStyle w:val="10"/>
        <w:rPr>
          <w:rFonts w:hint="eastAsia" w:ascii="宋体" w:hAnsi="宋体" w:eastAsia="宋体" w:cs="宋体"/>
          <w:color w:val="auto"/>
          <w:sz w:val="21"/>
          <w:szCs w:val="21"/>
          <w:highlight w:val="none"/>
        </w:rPr>
      </w:pPr>
    </w:p>
    <w:p w14:paraId="11B5FA64">
      <w:pPr>
        <w:rPr>
          <w:rFonts w:hint="eastAsia" w:ascii="宋体" w:hAnsi="宋体" w:eastAsia="宋体" w:cs="宋体"/>
          <w:color w:val="auto"/>
          <w:highlight w:val="none"/>
        </w:rPr>
      </w:pPr>
    </w:p>
    <w:p w14:paraId="4C61742C">
      <w:pPr>
        <w:pStyle w:val="5"/>
        <w:widowControl w:val="0"/>
        <w:overflowPunct w:val="0"/>
        <w:spacing w:line="240" w:lineRule="auto"/>
        <w:rPr>
          <w:rFonts w:hint="eastAsia" w:ascii="宋体" w:hAnsi="宋体" w:eastAsia="宋体" w:cs="宋体"/>
          <w:color w:val="auto"/>
          <w:sz w:val="21"/>
          <w:szCs w:val="21"/>
          <w:highlight w:val="none"/>
        </w:rPr>
      </w:pPr>
      <w:bookmarkStart w:id="314" w:name="_Toc29781"/>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.商务需求条款偏离表格式</w:t>
      </w:r>
      <w:bookmarkEnd w:id="314"/>
    </w:p>
    <w:p w14:paraId="1BD5EB18">
      <w:pPr>
        <w:jc w:val="center"/>
        <w:rPr>
          <w:rFonts w:hint="eastAsia" w:ascii="宋体" w:hAnsi="宋体" w:eastAsia="宋体" w:cs="宋体"/>
          <w:color w:val="auto"/>
          <w:sz w:val="28"/>
          <w:szCs w:val="28"/>
          <w:highlight w:val="none"/>
        </w:rPr>
      </w:pPr>
    </w:p>
    <w:p w14:paraId="0D837878">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商务需求条款偏离表</w:t>
      </w:r>
    </w:p>
    <w:tbl>
      <w:tblPr>
        <w:tblStyle w:val="31"/>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360"/>
        <w:gridCol w:w="1587"/>
        <w:gridCol w:w="1133"/>
        <w:gridCol w:w="1730"/>
      </w:tblGrid>
      <w:tr w14:paraId="063E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08" w:type="dxa"/>
            <w:vAlign w:val="center"/>
          </w:tcPr>
          <w:p w14:paraId="51FF4D4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620" w:type="dxa"/>
            <w:vAlign w:val="center"/>
          </w:tcPr>
          <w:p w14:paraId="532331D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服务项目名称</w:t>
            </w:r>
          </w:p>
        </w:tc>
        <w:tc>
          <w:tcPr>
            <w:tcW w:w="1360" w:type="dxa"/>
            <w:vAlign w:val="center"/>
          </w:tcPr>
          <w:p w14:paraId="157A217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采购要求</w:t>
            </w:r>
          </w:p>
        </w:tc>
        <w:tc>
          <w:tcPr>
            <w:tcW w:w="1587" w:type="dxa"/>
            <w:vAlign w:val="center"/>
          </w:tcPr>
          <w:p w14:paraId="48AFC18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投标实际响应</w:t>
            </w:r>
          </w:p>
        </w:tc>
        <w:tc>
          <w:tcPr>
            <w:tcW w:w="1133" w:type="dxa"/>
            <w:vAlign w:val="center"/>
          </w:tcPr>
          <w:p w14:paraId="427BFF3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是否偏离</w:t>
            </w:r>
          </w:p>
        </w:tc>
        <w:tc>
          <w:tcPr>
            <w:tcW w:w="1730" w:type="dxa"/>
            <w:vAlign w:val="center"/>
          </w:tcPr>
          <w:p w14:paraId="0BED435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6D31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6DE60F2">
            <w:pPr>
              <w:jc w:val="center"/>
              <w:rPr>
                <w:rFonts w:hint="eastAsia" w:ascii="宋体" w:hAnsi="宋体" w:eastAsia="宋体" w:cs="宋体"/>
                <w:color w:val="auto"/>
                <w:szCs w:val="21"/>
                <w:highlight w:val="none"/>
              </w:rPr>
            </w:pPr>
          </w:p>
        </w:tc>
        <w:tc>
          <w:tcPr>
            <w:tcW w:w="1620" w:type="dxa"/>
            <w:vAlign w:val="center"/>
          </w:tcPr>
          <w:p w14:paraId="0204B4EB">
            <w:pPr>
              <w:jc w:val="center"/>
              <w:rPr>
                <w:rFonts w:hint="eastAsia" w:ascii="宋体" w:hAnsi="宋体" w:eastAsia="宋体" w:cs="宋体"/>
                <w:color w:val="auto"/>
                <w:szCs w:val="21"/>
                <w:highlight w:val="none"/>
              </w:rPr>
            </w:pPr>
          </w:p>
        </w:tc>
        <w:tc>
          <w:tcPr>
            <w:tcW w:w="1360" w:type="dxa"/>
            <w:vAlign w:val="center"/>
          </w:tcPr>
          <w:p w14:paraId="3AF7267B">
            <w:pPr>
              <w:jc w:val="center"/>
              <w:rPr>
                <w:rFonts w:hint="eastAsia" w:ascii="宋体" w:hAnsi="宋体" w:eastAsia="宋体" w:cs="宋体"/>
                <w:color w:val="auto"/>
                <w:szCs w:val="21"/>
                <w:highlight w:val="none"/>
              </w:rPr>
            </w:pPr>
          </w:p>
        </w:tc>
        <w:tc>
          <w:tcPr>
            <w:tcW w:w="1587" w:type="dxa"/>
            <w:vAlign w:val="center"/>
          </w:tcPr>
          <w:p w14:paraId="7FF42E1D">
            <w:pPr>
              <w:jc w:val="center"/>
              <w:rPr>
                <w:rFonts w:hint="eastAsia" w:ascii="宋体" w:hAnsi="宋体" w:eastAsia="宋体" w:cs="宋体"/>
                <w:color w:val="auto"/>
                <w:szCs w:val="21"/>
                <w:highlight w:val="none"/>
              </w:rPr>
            </w:pPr>
          </w:p>
        </w:tc>
        <w:tc>
          <w:tcPr>
            <w:tcW w:w="1133" w:type="dxa"/>
            <w:vAlign w:val="center"/>
          </w:tcPr>
          <w:p w14:paraId="60EE8B94">
            <w:pPr>
              <w:jc w:val="center"/>
              <w:rPr>
                <w:rFonts w:hint="eastAsia" w:ascii="宋体" w:hAnsi="宋体" w:eastAsia="宋体" w:cs="宋体"/>
                <w:color w:val="auto"/>
                <w:szCs w:val="21"/>
                <w:highlight w:val="none"/>
              </w:rPr>
            </w:pPr>
          </w:p>
        </w:tc>
        <w:tc>
          <w:tcPr>
            <w:tcW w:w="1730" w:type="dxa"/>
            <w:vAlign w:val="center"/>
          </w:tcPr>
          <w:p w14:paraId="0680C02F">
            <w:pPr>
              <w:jc w:val="center"/>
              <w:rPr>
                <w:rFonts w:hint="eastAsia" w:ascii="宋体" w:hAnsi="宋体" w:eastAsia="宋体" w:cs="宋体"/>
                <w:color w:val="auto"/>
                <w:szCs w:val="21"/>
                <w:highlight w:val="none"/>
              </w:rPr>
            </w:pPr>
          </w:p>
        </w:tc>
      </w:tr>
      <w:tr w14:paraId="100B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B537DD6">
            <w:pPr>
              <w:jc w:val="center"/>
              <w:rPr>
                <w:rFonts w:hint="eastAsia" w:ascii="宋体" w:hAnsi="宋体" w:eastAsia="宋体" w:cs="宋体"/>
                <w:color w:val="auto"/>
                <w:szCs w:val="21"/>
                <w:highlight w:val="none"/>
              </w:rPr>
            </w:pPr>
          </w:p>
        </w:tc>
        <w:tc>
          <w:tcPr>
            <w:tcW w:w="1620" w:type="dxa"/>
            <w:vAlign w:val="center"/>
          </w:tcPr>
          <w:p w14:paraId="58FFAC9C">
            <w:pPr>
              <w:jc w:val="center"/>
              <w:rPr>
                <w:rFonts w:hint="eastAsia" w:ascii="宋体" w:hAnsi="宋体" w:eastAsia="宋体" w:cs="宋体"/>
                <w:color w:val="auto"/>
                <w:szCs w:val="21"/>
                <w:highlight w:val="none"/>
              </w:rPr>
            </w:pPr>
          </w:p>
        </w:tc>
        <w:tc>
          <w:tcPr>
            <w:tcW w:w="1360" w:type="dxa"/>
            <w:vAlign w:val="center"/>
          </w:tcPr>
          <w:p w14:paraId="6BA738C4">
            <w:pPr>
              <w:jc w:val="center"/>
              <w:rPr>
                <w:rFonts w:hint="eastAsia" w:ascii="宋体" w:hAnsi="宋体" w:eastAsia="宋体" w:cs="宋体"/>
                <w:color w:val="auto"/>
                <w:szCs w:val="21"/>
                <w:highlight w:val="none"/>
              </w:rPr>
            </w:pPr>
          </w:p>
        </w:tc>
        <w:tc>
          <w:tcPr>
            <w:tcW w:w="1587" w:type="dxa"/>
            <w:vAlign w:val="center"/>
          </w:tcPr>
          <w:p w14:paraId="580498EE">
            <w:pPr>
              <w:jc w:val="center"/>
              <w:rPr>
                <w:rFonts w:hint="eastAsia" w:ascii="宋体" w:hAnsi="宋体" w:eastAsia="宋体" w:cs="宋体"/>
                <w:color w:val="auto"/>
                <w:szCs w:val="21"/>
                <w:highlight w:val="none"/>
              </w:rPr>
            </w:pPr>
          </w:p>
        </w:tc>
        <w:tc>
          <w:tcPr>
            <w:tcW w:w="1133" w:type="dxa"/>
            <w:vAlign w:val="center"/>
          </w:tcPr>
          <w:p w14:paraId="7D78AA71">
            <w:pPr>
              <w:jc w:val="center"/>
              <w:rPr>
                <w:rFonts w:hint="eastAsia" w:ascii="宋体" w:hAnsi="宋体" w:eastAsia="宋体" w:cs="宋体"/>
                <w:color w:val="auto"/>
                <w:szCs w:val="21"/>
                <w:highlight w:val="none"/>
              </w:rPr>
            </w:pPr>
          </w:p>
        </w:tc>
        <w:tc>
          <w:tcPr>
            <w:tcW w:w="1730" w:type="dxa"/>
            <w:vAlign w:val="center"/>
          </w:tcPr>
          <w:p w14:paraId="5D95847C">
            <w:pPr>
              <w:jc w:val="center"/>
              <w:rPr>
                <w:rFonts w:hint="eastAsia" w:ascii="宋体" w:hAnsi="宋体" w:eastAsia="宋体" w:cs="宋体"/>
                <w:color w:val="auto"/>
                <w:szCs w:val="21"/>
                <w:highlight w:val="none"/>
              </w:rPr>
            </w:pPr>
          </w:p>
        </w:tc>
      </w:tr>
      <w:tr w14:paraId="597E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CC13867">
            <w:pPr>
              <w:jc w:val="center"/>
              <w:rPr>
                <w:rFonts w:hint="eastAsia" w:ascii="宋体" w:hAnsi="宋体" w:eastAsia="宋体" w:cs="宋体"/>
                <w:color w:val="auto"/>
                <w:szCs w:val="21"/>
                <w:highlight w:val="none"/>
              </w:rPr>
            </w:pPr>
          </w:p>
        </w:tc>
        <w:tc>
          <w:tcPr>
            <w:tcW w:w="1620" w:type="dxa"/>
            <w:vAlign w:val="center"/>
          </w:tcPr>
          <w:p w14:paraId="1EFEAE5E">
            <w:pPr>
              <w:jc w:val="center"/>
              <w:rPr>
                <w:rFonts w:hint="eastAsia" w:ascii="宋体" w:hAnsi="宋体" w:eastAsia="宋体" w:cs="宋体"/>
                <w:color w:val="auto"/>
                <w:szCs w:val="21"/>
                <w:highlight w:val="none"/>
              </w:rPr>
            </w:pPr>
          </w:p>
        </w:tc>
        <w:tc>
          <w:tcPr>
            <w:tcW w:w="1360" w:type="dxa"/>
            <w:vAlign w:val="center"/>
          </w:tcPr>
          <w:p w14:paraId="78358AE4">
            <w:pPr>
              <w:jc w:val="center"/>
              <w:rPr>
                <w:rFonts w:hint="eastAsia" w:ascii="宋体" w:hAnsi="宋体" w:eastAsia="宋体" w:cs="宋体"/>
                <w:color w:val="auto"/>
                <w:szCs w:val="21"/>
                <w:highlight w:val="none"/>
              </w:rPr>
            </w:pPr>
          </w:p>
        </w:tc>
        <w:tc>
          <w:tcPr>
            <w:tcW w:w="1587" w:type="dxa"/>
            <w:vAlign w:val="center"/>
          </w:tcPr>
          <w:p w14:paraId="68291CF3">
            <w:pPr>
              <w:jc w:val="center"/>
              <w:rPr>
                <w:rFonts w:hint="eastAsia" w:ascii="宋体" w:hAnsi="宋体" w:eastAsia="宋体" w:cs="宋体"/>
                <w:color w:val="auto"/>
                <w:szCs w:val="21"/>
                <w:highlight w:val="none"/>
              </w:rPr>
            </w:pPr>
          </w:p>
        </w:tc>
        <w:tc>
          <w:tcPr>
            <w:tcW w:w="1133" w:type="dxa"/>
            <w:vAlign w:val="center"/>
          </w:tcPr>
          <w:p w14:paraId="7B2D9FEA">
            <w:pPr>
              <w:jc w:val="center"/>
              <w:rPr>
                <w:rFonts w:hint="eastAsia" w:ascii="宋体" w:hAnsi="宋体" w:eastAsia="宋体" w:cs="宋体"/>
                <w:color w:val="auto"/>
                <w:szCs w:val="21"/>
                <w:highlight w:val="none"/>
              </w:rPr>
            </w:pPr>
          </w:p>
        </w:tc>
        <w:tc>
          <w:tcPr>
            <w:tcW w:w="1730" w:type="dxa"/>
            <w:vAlign w:val="center"/>
          </w:tcPr>
          <w:p w14:paraId="1C7865AE">
            <w:pPr>
              <w:jc w:val="center"/>
              <w:rPr>
                <w:rFonts w:hint="eastAsia" w:ascii="宋体" w:hAnsi="宋体" w:eastAsia="宋体" w:cs="宋体"/>
                <w:color w:val="auto"/>
                <w:szCs w:val="21"/>
                <w:highlight w:val="none"/>
              </w:rPr>
            </w:pPr>
          </w:p>
        </w:tc>
      </w:tr>
      <w:tr w14:paraId="0013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2D39D7E">
            <w:pPr>
              <w:jc w:val="center"/>
              <w:rPr>
                <w:rFonts w:hint="eastAsia" w:ascii="宋体" w:hAnsi="宋体" w:eastAsia="宋体" w:cs="宋体"/>
                <w:color w:val="auto"/>
                <w:szCs w:val="21"/>
                <w:highlight w:val="none"/>
              </w:rPr>
            </w:pPr>
          </w:p>
        </w:tc>
        <w:tc>
          <w:tcPr>
            <w:tcW w:w="1620" w:type="dxa"/>
            <w:vAlign w:val="center"/>
          </w:tcPr>
          <w:p w14:paraId="43109C33">
            <w:pPr>
              <w:jc w:val="center"/>
              <w:rPr>
                <w:rFonts w:hint="eastAsia" w:ascii="宋体" w:hAnsi="宋体" w:eastAsia="宋体" w:cs="宋体"/>
                <w:color w:val="auto"/>
                <w:szCs w:val="21"/>
                <w:highlight w:val="none"/>
              </w:rPr>
            </w:pPr>
          </w:p>
        </w:tc>
        <w:tc>
          <w:tcPr>
            <w:tcW w:w="1360" w:type="dxa"/>
            <w:vAlign w:val="center"/>
          </w:tcPr>
          <w:p w14:paraId="3BA4F2D7">
            <w:pPr>
              <w:jc w:val="center"/>
              <w:rPr>
                <w:rFonts w:hint="eastAsia" w:ascii="宋体" w:hAnsi="宋体" w:eastAsia="宋体" w:cs="宋体"/>
                <w:color w:val="auto"/>
                <w:szCs w:val="21"/>
                <w:highlight w:val="none"/>
              </w:rPr>
            </w:pPr>
          </w:p>
        </w:tc>
        <w:tc>
          <w:tcPr>
            <w:tcW w:w="1587" w:type="dxa"/>
            <w:vAlign w:val="center"/>
          </w:tcPr>
          <w:p w14:paraId="4F92A76C">
            <w:pPr>
              <w:jc w:val="center"/>
              <w:rPr>
                <w:rFonts w:hint="eastAsia" w:ascii="宋体" w:hAnsi="宋体" w:eastAsia="宋体" w:cs="宋体"/>
                <w:color w:val="auto"/>
                <w:szCs w:val="21"/>
                <w:highlight w:val="none"/>
              </w:rPr>
            </w:pPr>
          </w:p>
        </w:tc>
        <w:tc>
          <w:tcPr>
            <w:tcW w:w="1133" w:type="dxa"/>
            <w:vAlign w:val="center"/>
          </w:tcPr>
          <w:p w14:paraId="6AE5C8DD">
            <w:pPr>
              <w:jc w:val="center"/>
              <w:rPr>
                <w:rFonts w:hint="eastAsia" w:ascii="宋体" w:hAnsi="宋体" w:eastAsia="宋体" w:cs="宋体"/>
                <w:color w:val="auto"/>
                <w:szCs w:val="21"/>
                <w:highlight w:val="none"/>
              </w:rPr>
            </w:pPr>
          </w:p>
        </w:tc>
        <w:tc>
          <w:tcPr>
            <w:tcW w:w="1730" w:type="dxa"/>
            <w:vAlign w:val="center"/>
          </w:tcPr>
          <w:p w14:paraId="0F473510">
            <w:pPr>
              <w:jc w:val="center"/>
              <w:rPr>
                <w:rFonts w:hint="eastAsia" w:ascii="宋体" w:hAnsi="宋体" w:eastAsia="宋体" w:cs="宋体"/>
                <w:color w:val="auto"/>
                <w:szCs w:val="21"/>
                <w:highlight w:val="none"/>
              </w:rPr>
            </w:pPr>
          </w:p>
        </w:tc>
      </w:tr>
      <w:tr w14:paraId="4160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8704E9A">
            <w:pPr>
              <w:jc w:val="center"/>
              <w:rPr>
                <w:rFonts w:hint="eastAsia" w:ascii="宋体" w:hAnsi="宋体" w:eastAsia="宋体" w:cs="宋体"/>
                <w:color w:val="auto"/>
                <w:szCs w:val="21"/>
                <w:highlight w:val="none"/>
              </w:rPr>
            </w:pPr>
          </w:p>
        </w:tc>
        <w:tc>
          <w:tcPr>
            <w:tcW w:w="1620" w:type="dxa"/>
            <w:vAlign w:val="center"/>
          </w:tcPr>
          <w:p w14:paraId="2A513880">
            <w:pPr>
              <w:jc w:val="center"/>
              <w:rPr>
                <w:rFonts w:hint="eastAsia" w:ascii="宋体" w:hAnsi="宋体" w:eastAsia="宋体" w:cs="宋体"/>
                <w:color w:val="auto"/>
                <w:szCs w:val="21"/>
                <w:highlight w:val="none"/>
              </w:rPr>
            </w:pPr>
          </w:p>
        </w:tc>
        <w:tc>
          <w:tcPr>
            <w:tcW w:w="1360" w:type="dxa"/>
            <w:vAlign w:val="center"/>
          </w:tcPr>
          <w:p w14:paraId="1FF26BDC">
            <w:pPr>
              <w:jc w:val="center"/>
              <w:rPr>
                <w:rFonts w:hint="eastAsia" w:ascii="宋体" w:hAnsi="宋体" w:eastAsia="宋体" w:cs="宋体"/>
                <w:color w:val="auto"/>
                <w:szCs w:val="21"/>
                <w:highlight w:val="none"/>
              </w:rPr>
            </w:pPr>
          </w:p>
        </w:tc>
        <w:tc>
          <w:tcPr>
            <w:tcW w:w="1587" w:type="dxa"/>
            <w:vAlign w:val="center"/>
          </w:tcPr>
          <w:p w14:paraId="70211341">
            <w:pPr>
              <w:jc w:val="center"/>
              <w:rPr>
                <w:rFonts w:hint="eastAsia" w:ascii="宋体" w:hAnsi="宋体" w:eastAsia="宋体" w:cs="宋体"/>
                <w:color w:val="auto"/>
                <w:szCs w:val="21"/>
                <w:highlight w:val="none"/>
              </w:rPr>
            </w:pPr>
          </w:p>
        </w:tc>
        <w:tc>
          <w:tcPr>
            <w:tcW w:w="1133" w:type="dxa"/>
            <w:vAlign w:val="center"/>
          </w:tcPr>
          <w:p w14:paraId="511556B2">
            <w:pPr>
              <w:jc w:val="center"/>
              <w:rPr>
                <w:rFonts w:hint="eastAsia" w:ascii="宋体" w:hAnsi="宋体" w:eastAsia="宋体" w:cs="宋体"/>
                <w:color w:val="auto"/>
                <w:szCs w:val="21"/>
                <w:highlight w:val="none"/>
              </w:rPr>
            </w:pPr>
          </w:p>
        </w:tc>
        <w:tc>
          <w:tcPr>
            <w:tcW w:w="1730" w:type="dxa"/>
            <w:vAlign w:val="center"/>
          </w:tcPr>
          <w:p w14:paraId="205331E7">
            <w:pPr>
              <w:jc w:val="center"/>
              <w:rPr>
                <w:rFonts w:hint="eastAsia" w:ascii="宋体" w:hAnsi="宋体" w:eastAsia="宋体" w:cs="宋体"/>
                <w:color w:val="auto"/>
                <w:szCs w:val="21"/>
                <w:highlight w:val="none"/>
              </w:rPr>
            </w:pPr>
          </w:p>
        </w:tc>
      </w:tr>
      <w:tr w14:paraId="0248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841E5BD">
            <w:pPr>
              <w:jc w:val="center"/>
              <w:rPr>
                <w:rFonts w:hint="eastAsia" w:ascii="宋体" w:hAnsi="宋体" w:eastAsia="宋体" w:cs="宋体"/>
                <w:color w:val="auto"/>
                <w:szCs w:val="21"/>
                <w:highlight w:val="none"/>
              </w:rPr>
            </w:pPr>
          </w:p>
        </w:tc>
        <w:tc>
          <w:tcPr>
            <w:tcW w:w="1620" w:type="dxa"/>
            <w:vAlign w:val="center"/>
          </w:tcPr>
          <w:p w14:paraId="74A105E2">
            <w:pPr>
              <w:jc w:val="center"/>
              <w:rPr>
                <w:rFonts w:hint="eastAsia" w:ascii="宋体" w:hAnsi="宋体" w:eastAsia="宋体" w:cs="宋体"/>
                <w:color w:val="auto"/>
                <w:szCs w:val="21"/>
                <w:highlight w:val="none"/>
              </w:rPr>
            </w:pPr>
          </w:p>
        </w:tc>
        <w:tc>
          <w:tcPr>
            <w:tcW w:w="1360" w:type="dxa"/>
            <w:vAlign w:val="center"/>
          </w:tcPr>
          <w:p w14:paraId="197ECAE7">
            <w:pPr>
              <w:jc w:val="center"/>
              <w:rPr>
                <w:rFonts w:hint="eastAsia" w:ascii="宋体" w:hAnsi="宋体" w:eastAsia="宋体" w:cs="宋体"/>
                <w:color w:val="auto"/>
                <w:szCs w:val="21"/>
                <w:highlight w:val="none"/>
              </w:rPr>
            </w:pPr>
          </w:p>
        </w:tc>
        <w:tc>
          <w:tcPr>
            <w:tcW w:w="1587" w:type="dxa"/>
            <w:vAlign w:val="center"/>
          </w:tcPr>
          <w:p w14:paraId="151FAE46">
            <w:pPr>
              <w:jc w:val="center"/>
              <w:rPr>
                <w:rFonts w:hint="eastAsia" w:ascii="宋体" w:hAnsi="宋体" w:eastAsia="宋体" w:cs="宋体"/>
                <w:color w:val="auto"/>
                <w:szCs w:val="21"/>
                <w:highlight w:val="none"/>
              </w:rPr>
            </w:pPr>
          </w:p>
        </w:tc>
        <w:tc>
          <w:tcPr>
            <w:tcW w:w="1133" w:type="dxa"/>
            <w:vAlign w:val="center"/>
          </w:tcPr>
          <w:p w14:paraId="56DBA08E">
            <w:pPr>
              <w:jc w:val="center"/>
              <w:rPr>
                <w:rFonts w:hint="eastAsia" w:ascii="宋体" w:hAnsi="宋体" w:eastAsia="宋体" w:cs="宋体"/>
                <w:color w:val="auto"/>
                <w:szCs w:val="21"/>
                <w:highlight w:val="none"/>
              </w:rPr>
            </w:pPr>
          </w:p>
        </w:tc>
        <w:tc>
          <w:tcPr>
            <w:tcW w:w="1730" w:type="dxa"/>
            <w:vAlign w:val="center"/>
          </w:tcPr>
          <w:p w14:paraId="492BB3CB">
            <w:pPr>
              <w:jc w:val="center"/>
              <w:rPr>
                <w:rFonts w:hint="eastAsia" w:ascii="宋体" w:hAnsi="宋体" w:eastAsia="宋体" w:cs="宋体"/>
                <w:color w:val="auto"/>
                <w:szCs w:val="21"/>
                <w:highlight w:val="none"/>
              </w:rPr>
            </w:pPr>
          </w:p>
        </w:tc>
      </w:tr>
      <w:tr w14:paraId="26F0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5087C286">
            <w:pPr>
              <w:jc w:val="center"/>
              <w:rPr>
                <w:rFonts w:hint="eastAsia" w:ascii="宋体" w:hAnsi="宋体" w:eastAsia="宋体" w:cs="宋体"/>
                <w:color w:val="auto"/>
                <w:szCs w:val="21"/>
                <w:highlight w:val="none"/>
              </w:rPr>
            </w:pPr>
          </w:p>
        </w:tc>
        <w:tc>
          <w:tcPr>
            <w:tcW w:w="1620" w:type="dxa"/>
            <w:vAlign w:val="center"/>
          </w:tcPr>
          <w:p w14:paraId="4C381F29">
            <w:pPr>
              <w:jc w:val="center"/>
              <w:rPr>
                <w:rFonts w:hint="eastAsia" w:ascii="宋体" w:hAnsi="宋体" w:eastAsia="宋体" w:cs="宋体"/>
                <w:color w:val="auto"/>
                <w:szCs w:val="21"/>
                <w:highlight w:val="none"/>
              </w:rPr>
            </w:pPr>
          </w:p>
        </w:tc>
        <w:tc>
          <w:tcPr>
            <w:tcW w:w="1360" w:type="dxa"/>
            <w:vAlign w:val="center"/>
          </w:tcPr>
          <w:p w14:paraId="792F4A09">
            <w:pPr>
              <w:jc w:val="center"/>
              <w:rPr>
                <w:rFonts w:hint="eastAsia" w:ascii="宋体" w:hAnsi="宋体" w:eastAsia="宋体" w:cs="宋体"/>
                <w:color w:val="auto"/>
                <w:szCs w:val="21"/>
                <w:highlight w:val="none"/>
              </w:rPr>
            </w:pPr>
          </w:p>
        </w:tc>
        <w:tc>
          <w:tcPr>
            <w:tcW w:w="1587" w:type="dxa"/>
            <w:vAlign w:val="center"/>
          </w:tcPr>
          <w:p w14:paraId="63FC4F42">
            <w:pPr>
              <w:jc w:val="center"/>
              <w:rPr>
                <w:rFonts w:hint="eastAsia" w:ascii="宋体" w:hAnsi="宋体" w:eastAsia="宋体" w:cs="宋体"/>
                <w:color w:val="auto"/>
                <w:szCs w:val="21"/>
                <w:highlight w:val="none"/>
              </w:rPr>
            </w:pPr>
          </w:p>
        </w:tc>
        <w:tc>
          <w:tcPr>
            <w:tcW w:w="1133" w:type="dxa"/>
            <w:vAlign w:val="center"/>
          </w:tcPr>
          <w:p w14:paraId="5C7A0187">
            <w:pPr>
              <w:jc w:val="center"/>
              <w:rPr>
                <w:rFonts w:hint="eastAsia" w:ascii="宋体" w:hAnsi="宋体" w:eastAsia="宋体" w:cs="宋体"/>
                <w:color w:val="auto"/>
                <w:szCs w:val="21"/>
                <w:highlight w:val="none"/>
              </w:rPr>
            </w:pPr>
          </w:p>
        </w:tc>
        <w:tc>
          <w:tcPr>
            <w:tcW w:w="1730" w:type="dxa"/>
            <w:vAlign w:val="center"/>
          </w:tcPr>
          <w:p w14:paraId="614593B7">
            <w:pPr>
              <w:jc w:val="center"/>
              <w:rPr>
                <w:rFonts w:hint="eastAsia" w:ascii="宋体" w:hAnsi="宋体" w:eastAsia="宋体" w:cs="宋体"/>
                <w:color w:val="auto"/>
                <w:szCs w:val="21"/>
                <w:highlight w:val="none"/>
              </w:rPr>
            </w:pPr>
          </w:p>
        </w:tc>
      </w:tr>
      <w:tr w14:paraId="5A30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923C36D">
            <w:pPr>
              <w:jc w:val="center"/>
              <w:rPr>
                <w:rFonts w:hint="eastAsia" w:ascii="宋体" w:hAnsi="宋体" w:eastAsia="宋体" w:cs="宋体"/>
                <w:color w:val="auto"/>
                <w:szCs w:val="21"/>
                <w:highlight w:val="none"/>
              </w:rPr>
            </w:pPr>
          </w:p>
        </w:tc>
        <w:tc>
          <w:tcPr>
            <w:tcW w:w="1620" w:type="dxa"/>
            <w:vAlign w:val="center"/>
          </w:tcPr>
          <w:p w14:paraId="57D31A49">
            <w:pPr>
              <w:jc w:val="center"/>
              <w:rPr>
                <w:rFonts w:hint="eastAsia" w:ascii="宋体" w:hAnsi="宋体" w:eastAsia="宋体" w:cs="宋体"/>
                <w:color w:val="auto"/>
                <w:szCs w:val="21"/>
                <w:highlight w:val="none"/>
              </w:rPr>
            </w:pPr>
          </w:p>
        </w:tc>
        <w:tc>
          <w:tcPr>
            <w:tcW w:w="1360" w:type="dxa"/>
            <w:vAlign w:val="center"/>
          </w:tcPr>
          <w:p w14:paraId="49ADDD67">
            <w:pPr>
              <w:jc w:val="center"/>
              <w:rPr>
                <w:rFonts w:hint="eastAsia" w:ascii="宋体" w:hAnsi="宋体" w:eastAsia="宋体" w:cs="宋体"/>
                <w:color w:val="auto"/>
                <w:szCs w:val="21"/>
                <w:highlight w:val="none"/>
              </w:rPr>
            </w:pPr>
          </w:p>
        </w:tc>
        <w:tc>
          <w:tcPr>
            <w:tcW w:w="1587" w:type="dxa"/>
            <w:vAlign w:val="center"/>
          </w:tcPr>
          <w:p w14:paraId="2D1733A4">
            <w:pPr>
              <w:jc w:val="center"/>
              <w:rPr>
                <w:rFonts w:hint="eastAsia" w:ascii="宋体" w:hAnsi="宋体" w:eastAsia="宋体" w:cs="宋体"/>
                <w:color w:val="auto"/>
                <w:szCs w:val="21"/>
                <w:highlight w:val="none"/>
              </w:rPr>
            </w:pPr>
          </w:p>
        </w:tc>
        <w:tc>
          <w:tcPr>
            <w:tcW w:w="1133" w:type="dxa"/>
            <w:vAlign w:val="center"/>
          </w:tcPr>
          <w:p w14:paraId="5A51D346">
            <w:pPr>
              <w:jc w:val="center"/>
              <w:rPr>
                <w:rFonts w:hint="eastAsia" w:ascii="宋体" w:hAnsi="宋体" w:eastAsia="宋体" w:cs="宋体"/>
                <w:color w:val="auto"/>
                <w:szCs w:val="21"/>
                <w:highlight w:val="none"/>
              </w:rPr>
            </w:pPr>
          </w:p>
        </w:tc>
        <w:tc>
          <w:tcPr>
            <w:tcW w:w="1730" w:type="dxa"/>
            <w:vAlign w:val="center"/>
          </w:tcPr>
          <w:p w14:paraId="6683163E">
            <w:pPr>
              <w:jc w:val="center"/>
              <w:rPr>
                <w:rFonts w:hint="eastAsia" w:ascii="宋体" w:hAnsi="宋体" w:eastAsia="宋体" w:cs="宋体"/>
                <w:color w:val="auto"/>
                <w:szCs w:val="21"/>
                <w:highlight w:val="none"/>
              </w:rPr>
            </w:pPr>
          </w:p>
        </w:tc>
      </w:tr>
      <w:tr w14:paraId="7BD4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5FA38C72">
            <w:pPr>
              <w:jc w:val="center"/>
              <w:rPr>
                <w:rFonts w:hint="eastAsia" w:ascii="宋体" w:hAnsi="宋体" w:eastAsia="宋体" w:cs="宋体"/>
                <w:color w:val="auto"/>
                <w:szCs w:val="21"/>
                <w:highlight w:val="none"/>
              </w:rPr>
            </w:pPr>
          </w:p>
        </w:tc>
        <w:tc>
          <w:tcPr>
            <w:tcW w:w="1620" w:type="dxa"/>
            <w:vAlign w:val="center"/>
          </w:tcPr>
          <w:p w14:paraId="287E737C">
            <w:pPr>
              <w:jc w:val="center"/>
              <w:rPr>
                <w:rFonts w:hint="eastAsia" w:ascii="宋体" w:hAnsi="宋体" w:eastAsia="宋体" w:cs="宋体"/>
                <w:color w:val="auto"/>
                <w:szCs w:val="21"/>
                <w:highlight w:val="none"/>
              </w:rPr>
            </w:pPr>
          </w:p>
        </w:tc>
        <w:tc>
          <w:tcPr>
            <w:tcW w:w="1360" w:type="dxa"/>
            <w:vAlign w:val="center"/>
          </w:tcPr>
          <w:p w14:paraId="28091BB2">
            <w:pPr>
              <w:jc w:val="center"/>
              <w:rPr>
                <w:rFonts w:hint="eastAsia" w:ascii="宋体" w:hAnsi="宋体" w:eastAsia="宋体" w:cs="宋体"/>
                <w:color w:val="auto"/>
                <w:szCs w:val="21"/>
                <w:highlight w:val="none"/>
              </w:rPr>
            </w:pPr>
          </w:p>
        </w:tc>
        <w:tc>
          <w:tcPr>
            <w:tcW w:w="1587" w:type="dxa"/>
            <w:vAlign w:val="center"/>
          </w:tcPr>
          <w:p w14:paraId="5E6867FE">
            <w:pPr>
              <w:jc w:val="center"/>
              <w:rPr>
                <w:rFonts w:hint="eastAsia" w:ascii="宋体" w:hAnsi="宋体" w:eastAsia="宋体" w:cs="宋体"/>
                <w:color w:val="auto"/>
                <w:szCs w:val="21"/>
                <w:highlight w:val="none"/>
              </w:rPr>
            </w:pPr>
          </w:p>
        </w:tc>
        <w:tc>
          <w:tcPr>
            <w:tcW w:w="1133" w:type="dxa"/>
            <w:vAlign w:val="center"/>
          </w:tcPr>
          <w:p w14:paraId="18BECF1B">
            <w:pPr>
              <w:jc w:val="center"/>
              <w:rPr>
                <w:rFonts w:hint="eastAsia" w:ascii="宋体" w:hAnsi="宋体" w:eastAsia="宋体" w:cs="宋体"/>
                <w:color w:val="auto"/>
                <w:szCs w:val="21"/>
                <w:highlight w:val="none"/>
              </w:rPr>
            </w:pPr>
          </w:p>
        </w:tc>
        <w:tc>
          <w:tcPr>
            <w:tcW w:w="1730" w:type="dxa"/>
            <w:vAlign w:val="center"/>
          </w:tcPr>
          <w:p w14:paraId="61209090">
            <w:pPr>
              <w:jc w:val="center"/>
              <w:rPr>
                <w:rFonts w:hint="eastAsia" w:ascii="宋体" w:hAnsi="宋体" w:eastAsia="宋体" w:cs="宋体"/>
                <w:color w:val="auto"/>
                <w:szCs w:val="21"/>
                <w:highlight w:val="none"/>
              </w:rPr>
            </w:pPr>
          </w:p>
        </w:tc>
      </w:tr>
      <w:tr w14:paraId="2A99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B57FFF3">
            <w:pPr>
              <w:jc w:val="center"/>
              <w:rPr>
                <w:rFonts w:hint="eastAsia" w:ascii="宋体" w:hAnsi="宋体" w:eastAsia="宋体" w:cs="宋体"/>
                <w:color w:val="auto"/>
                <w:szCs w:val="21"/>
                <w:highlight w:val="none"/>
              </w:rPr>
            </w:pPr>
          </w:p>
        </w:tc>
        <w:tc>
          <w:tcPr>
            <w:tcW w:w="1620" w:type="dxa"/>
            <w:vAlign w:val="center"/>
          </w:tcPr>
          <w:p w14:paraId="73C40740">
            <w:pPr>
              <w:jc w:val="center"/>
              <w:rPr>
                <w:rFonts w:hint="eastAsia" w:ascii="宋体" w:hAnsi="宋体" w:eastAsia="宋体" w:cs="宋体"/>
                <w:color w:val="auto"/>
                <w:szCs w:val="21"/>
                <w:highlight w:val="none"/>
              </w:rPr>
            </w:pPr>
          </w:p>
        </w:tc>
        <w:tc>
          <w:tcPr>
            <w:tcW w:w="1360" w:type="dxa"/>
            <w:vAlign w:val="center"/>
          </w:tcPr>
          <w:p w14:paraId="5851BA8F">
            <w:pPr>
              <w:jc w:val="center"/>
              <w:rPr>
                <w:rFonts w:hint="eastAsia" w:ascii="宋体" w:hAnsi="宋体" w:eastAsia="宋体" w:cs="宋体"/>
                <w:color w:val="auto"/>
                <w:szCs w:val="21"/>
                <w:highlight w:val="none"/>
              </w:rPr>
            </w:pPr>
          </w:p>
        </w:tc>
        <w:tc>
          <w:tcPr>
            <w:tcW w:w="1587" w:type="dxa"/>
            <w:vAlign w:val="center"/>
          </w:tcPr>
          <w:p w14:paraId="73B94C7A">
            <w:pPr>
              <w:jc w:val="center"/>
              <w:rPr>
                <w:rFonts w:hint="eastAsia" w:ascii="宋体" w:hAnsi="宋体" w:eastAsia="宋体" w:cs="宋体"/>
                <w:color w:val="auto"/>
                <w:szCs w:val="21"/>
                <w:highlight w:val="none"/>
              </w:rPr>
            </w:pPr>
          </w:p>
        </w:tc>
        <w:tc>
          <w:tcPr>
            <w:tcW w:w="1133" w:type="dxa"/>
            <w:vAlign w:val="center"/>
          </w:tcPr>
          <w:p w14:paraId="50822041">
            <w:pPr>
              <w:jc w:val="center"/>
              <w:rPr>
                <w:rFonts w:hint="eastAsia" w:ascii="宋体" w:hAnsi="宋体" w:eastAsia="宋体" w:cs="宋体"/>
                <w:color w:val="auto"/>
                <w:szCs w:val="21"/>
                <w:highlight w:val="none"/>
              </w:rPr>
            </w:pPr>
          </w:p>
        </w:tc>
        <w:tc>
          <w:tcPr>
            <w:tcW w:w="1730" w:type="dxa"/>
            <w:vAlign w:val="center"/>
          </w:tcPr>
          <w:p w14:paraId="2E2FA3D7">
            <w:pPr>
              <w:jc w:val="center"/>
              <w:rPr>
                <w:rFonts w:hint="eastAsia" w:ascii="宋体" w:hAnsi="宋体" w:eastAsia="宋体" w:cs="宋体"/>
                <w:color w:val="auto"/>
                <w:szCs w:val="21"/>
                <w:highlight w:val="none"/>
              </w:rPr>
            </w:pPr>
          </w:p>
        </w:tc>
      </w:tr>
    </w:tbl>
    <w:p w14:paraId="0CE8D082">
      <w:pPr>
        <w:rPr>
          <w:rFonts w:hint="eastAsia" w:ascii="宋体" w:hAnsi="宋体" w:eastAsia="宋体" w:cs="宋体"/>
          <w:color w:val="auto"/>
          <w:szCs w:val="21"/>
          <w:highlight w:val="none"/>
        </w:rPr>
      </w:pPr>
    </w:p>
    <w:p w14:paraId="77F3245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11E6274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3D52D254">
      <w:pPr>
        <w:rPr>
          <w:rFonts w:hint="eastAsia" w:ascii="宋体" w:hAnsi="宋体" w:eastAsia="宋体" w:cs="宋体"/>
          <w:color w:val="auto"/>
          <w:szCs w:val="21"/>
          <w:highlight w:val="none"/>
        </w:rPr>
      </w:pPr>
    </w:p>
    <w:p w14:paraId="13D1FD64">
      <w:pPr>
        <w:ind w:left="718" w:hanging="718" w:hangingChars="342"/>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02A0AFB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1、投标人应对照采购文件商务需求书中商务要求，说明已对采购文件的商务内容做出了实质性的响应。</w:t>
      </w:r>
    </w:p>
    <w:p w14:paraId="264D851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论出于何种原因此表未填写完整，投标人都被认为已清楚了解采购文件“商务需求书”的内容并对采购人所需的服务要求作全面响应，投标人必须承担完成“商务需求书”所描述内容的义务，因此对投标人投标产生负面影响的，投标人自行承担后果。</w:t>
      </w:r>
    </w:p>
    <w:p w14:paraId="1D3A691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3、如有偏离，应在“偏离情况”栏内注明“正”、“负”或“无”，并在“说明”栏内予以说明。</w:t>
      </w:r>
    </w:p>
    <w:p w14:paraId="385AC5D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4、如投标人差异内容较多可另附页说明。</w:t>
      </w:r>
    </w:p>
    <w:p w14:paraId="6333390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5、如投标人对用户需求书商务要求的条款全部响应的，也可以在表格下面用文字总括性的说明。</w:t>
      </w:r>
    </w:p>
    <w:p w14:paraId="4883B50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1B7B7E67">
      <w:pPr>
        <w:pStyle w:val="5"/>
        <w:widowControl w:val="0"/>
        <w:overflowPunct w:val="0"/>
        <w:spacing w:line="240" w:lineRule="auto"/>
        <w:rPr>
          <w:rFonts w:hint="eastAsia" w:ascii="宋体" w:hAnsi="宋体" w:eastAsia="宋体" w:cs="宋体"/>
          <w:color w:val="auto"/>
          <w:sz w:val="30"/>
          <w:szCs w:val="30"/>
          <w:highlight w:val="none"/>
        </w:rPr>
      </w:pPr>
      <w:bookmarkStart w:id="315" w:name="_Toc3657"/>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.业绩表</w:t>
      </w:r>
      <w:bookmarkEnd w:id="315"/>
    </w:p>
    <w:p w14:paraId="17F57EC0">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业绩表</w:t>
      </w:r>
    </w:p>
    <w:tbl>
      <w:tblPr>
        <w:tblStyle w:val="32"/>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5"/>
        <w:gridCol w:w="1697"/>
      </w:tblGrid>
      <w:tr w14:paraId="4A42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vAlign w:val="center"/>
          </w:tcPr>
          <w:p w14:paraId="46EA8A57">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705" w:type="dxa"/>
            <w:vAlign w:val="center"/>
          </w:tcPr>
          <w:p w14:paraId="66CEC49D">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1706" w:type="dxa"/>
            <w:vAlign w:val="center"/>
          </w:tcPr>
          <w:p w14:paraId="2AC47201">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项目金额</w:t>
            </w:r>
          </w:p>
        </w:tc>
        <w:tc>
          <w:tcPr>
            <w:tcW w:w="1705" w:type="dxa"/>
            <w:vAlign w:val="center"/>
          </w:tcPr>
          <w:p w14:paraId="31322603">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项目合同签订时间</w:t>
            </w:r>
          </w:p>
        </w:tc>
        <w:tc>
          <w:tcPr>
            <w:tcW w:w="1697" w:type="dxa"/>
            <w:vAlign w:val="center"/>
          </w:tcPr>
          <w:p w14:paraId="0A704BCF">
            <w:pPr>
              <w:adjustRightInd/>
              <w:snapToGrid/>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6C81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vAlign w:val="center"/>
          </w:tcPr>
          <w:p w14:paraId="2181A7C1">
            <w:pPr>
              <w:adjustRightInd/>
              <w:snapToGrid/>
              <w:jc w:val="center"/>
              <w:rPr>
                <w:rFonts w:hint="eastAsia" w:ascii="宋体" w:hAnsi="宋体" w:eastAsia="宋体" w:cs="宋体"/>
                <w:color w:val="auto"/>
                <w:szCs w:val="21"/>
                <w:highlight w:val="none"/>
              </w:rPr>
            </w:pPr>
          </w:p>
        </w:tc>
        <w:tc>
          <w:tcPr>
            <w:tcW w:w="1705" w:type="dxa"/>
            <w:vAlign w:val="center"/>
          </w:tcPr>
          <w:p w14:paraId="2C6D4C50">
            <w:pPr>
              <w:adjustRightInd/>
              <w:snapToGrid/>
              <w:jc w:val="center"/>
              <w:rPr>
                <w:rFonts w:hint="eastAsia" w:ascii="宋体" w:hAnsi="宋体" w:eastAsia="宋体" w:cs="宋体"/>
                <w:color w:val="auto"/>
                <w:szCs w:val="21"/>
                <w:highlight w:val="none"/>
              </w:rPr>
            </w:pPr>
          </w:p>
        </w:tc>
        <w:tc>
          <w:tcPr>
            <w:tcW w:w="1706" w:type="dxa"/>
            <w:vAlign w:val="center"/>
          </w:tcPr>
          <w:p w14:paraId="177D37A5">
            <w:pPr>
              <w:adjustRightInd/>
              <w:snapToGrid/>
              <w:jc w:val="center"/>
              <w:rPr>
                <w:rFonts w:hint="eastAsia" w:ascii="宋体" w:hAnsi="宋体" w:eastAsia="宋体" w:cs="宋体"/>
                <w:color w:val="auto"/>
                <w:szCs w:val="21"/>
                <w:highlight w:val="none"/>
              </w:rPr>
            </w:pPr>
          </w:p>
        </w:tc>
        <w:tc>
          <w:tcPr>
            <w:tcW w:w="1705" w:type="dxa"/>
            <w:vAlign w:val="center"/>
          </w:tcPr>
          <w:p w14:paraId="4F1EC182">
            <w:pPr>
              <w:adjustRightInd/>
              <w:snapToGrid/>
              <w:jc w:val="center"/>
              <w:rPr>
                <w:rFonts w:hint="eastAsia" w:ascii="宋体" w:hAnsi="宋体" w:eastAsia="宋体" w:cs="宋体"/>
                <w:color w:val="auto"/>
                <w:szCs w:val="21"/>
                <w:highlight w:val="none"/>
              </w:rPr>
            </w:pPr>
          </w:p>
        </w:tc>
        <w:tc>
          <w:tcPr>
            <w:tcW w:w="1697" w:type="dxa"/>
            <w:vAlign w:val="center"/>
          </w:tcPr>
          <w:p w14:paraId="3EF9D423">
            <w:pPr>
              <w:adjustRightInd/>
              <w:snapToGrid/>
              <w:jc w:val="center"/>
              <w:rPr>
                <w:rFonts w:hint="eastAsia" w:ascii="宋体" w:hAnsi="宋体" w:eastAsia="宋体" w:cs="宋体"/>
                <w:color w:val="auto"/>
                <w:szCs w:val="21"/>
                <w:highlight w:val="none"/>
              </w:rPr>
            </w:pPr>
          </w:p>
        </w:tc>
      </w:tr>
      <w:tr w14:paraId="05BE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4CCD3F51">
            <w:pPr>
              <w:adjustRightInd/>
              <w:snapToGrid/>
              <w:rPr>
                <w:rFonts w:hint="eastAsia" w:ascii="宋体" w:hAnsi="宋体" w:eastAsia="宋体" w:cs="宋体"/>
                <w:color w:val="auto"/>
                <w:szCs w:val="21"/>
                <w:highlight w:val="none"/>
              </w:rPr>
            </w:pPr>
          </w:p>
        </w:tc>
        <w:tc>
          <w:tcPr>
            <w:tcW w:w="1705" w:type="dxa"/>
          </w:tcPr>
          <w:p w14:paraId="26B0621D">
            <w:pPr>
              <w:adjustRightInd/>
              <w:snapToGrid/>
              <w:rPr>
                <w:rFonts w:hint="eastAsia" w:ascii="宋体" w:hAnsi="宋体" w:eastAsia="宋体" w:cs="宋体"/>
                <w:color w:val="auto"/>
                <w:szCs w:val="21"/>
                <w:highlight w:val="none"/>
              </w:rPr>
            </w:pPr>
          </w:p>
        </w:tc>
        <w:tc>
          <w:tcPr>
            <w:tcW w:w="1706" w:type="dxa"/>
          </w:tcPr>
          <w:p w14:paraId="212F4870">
            <w:pPr>
              <w:adjustRightInd/>
              <w:snapToGrid/>
              <w:rPr>
                <w:rFonts w:hint="eastAsia" w:ascii="宋体" w:hAnsi="宋体" w:eastAsia="宋体" w:cs="宋体"/>
                <w:color w:val="auto"/>
                <w:szCs w:val="21"/>
                <w:highlight w:val="none"/>
              </w:rPr>
            </w:pPr>
          </w:p>
        </w:tc>
        <w:tc>
          <w:tcPr>
            <w:tcW w:w="1705" w:type="dxa"/>
          </w:tcPr>
          <w:p w14:paraId="520E28F7">
            <w:pPr>
              <w:adjustRightInd/>
              <w:snapToGrid/>
              <w:rPr>
                <w:rFonts w:hint="eastAsia" w:ascii="宋体" w:hAnsi="宋体" w:eastAsia="宋体" w:cs="宋体"/>
                <w:color w:val="auto"/>
                <w:szCs w:val="21"/>
                <w:highlight w:val="none"/>
              </w:rPr>
            </w:pPr>
          </w:p>
        </w:tc>
        <w:tc>
          <w:tcPr>
            <w:tcW w:w="1697" w:type="dxa"/>
          </w:tcPr>
          <w:p w14:paraId="7250B920">
            <w:pPr>
              <w:adjustRightInd/>
              <w:snapToGrid/>
              <w:rPr>
                <w:rFonts w:hint="eastAsia" w:ascii="宋体" w:hAnsi="宋体" w:eastAsia="宋体" w:cs="宋体"/>
                <w:color w:val="auto"/>
                <w:szCs w:val="21"/>
                <w:highlight w:val="none"/>
              </w:rPr>
            </w:pPr>
          </w:p>
        </w:tc>
      </w:tr>
      <w:tr w14:paraId="4C38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151603AF">
            <w:pPr>
              <w:adjustRightInd/>
              <w:snapToGrid/>
              <w:rPr>
                <w:rFonts w:hint="eastAsia" w:ascii="宋体" w:hAnsi="宋体" w:eastAsia="宋体" w:cs="宋体"/>
                <w:color w:val="auto"/>
                <w:szCs w:val="21"/>
                <w:highlight w:val="none"/>
              </w:rPr>
            </w:pPr>
          </w:p>
        </w:tc>
        <w:tc>
          <w:tcPr>
            <w:tcW w:w="1705" w:type="dxa"/>
          </w:tcPr>
          <w:p w14:paraId="623F09AF">
            <w:pPr>
              <w:adjustRightInd/>
              <w:snapToGrid/>
              <w:rPr>
                <w:rFonts w:hint="eastAsia" w:ascii="宋体" w:hAnsi="宋体" w:eastAsia="宋体" w:cs="宋体"/>
                <w:color w:val="auto"/>
                <w:szCs w:val="21"/>
                <w:highlight w:val="none"/>
              </w:rPr>
            </w:pPr>
          </w:p>
        </w:tc>
        <w:tc>
          <w:tcPr>
            <w:tcW w:w="1706" w:type="dxa"/>
          </w:tcPr>
          <w:p w14:paraId="3AAB853E">
            <w:pPr>
              <w:adjustRightInd/>
              <w:snapToGrid/>
              <w:rPr>
                <w:rFonts w:hint="eastAsia" w:ascii="宋体" w:hAnsi="宋体" w:eastAsia="宋体" w:cs="宋体"/>
                <w:color w:val="auto"/>
                <w:szCs w:val="21"/>
                <w:highlight w:val="none"/>
              </w:rPr>
            </w:pPr>
          </w:p>
        </w:tc>
        <w:tc>
          <w:tcPr>
            <w:tcW w:w="1705" w:type="dxa"/>
          </w:tcPr>
          <w:p w14:paraId="243A0221">
            <w:pPr>
              <w:adjustRightInd/>
              <w:snapToGrid/>
              <w:rPr>
                <w:rFonts w:hint="eastAsia" w:ascii="宋体" w:hAnsi="宋体" w:eastAsia="宋体" w:cs="宋体"/>
                <w:color w:val="auto"/>
                <w:szCs w:val="21"/>
                <w:highlight w:val="none"/>
              </w:rPr>
            </w:pPr>
          </w:p>
        </w:tc>
        <w:tc>
          <w:tcPr>
            <w:tcW w:w="1697" w:type="dxa"/>
          </w:tcPr>
          <w:p w14:paraId="3FCDCFFC">
            <w:pPr>
              <w:adjustRightInd/>
              <w:snapToGrid/>
              <w:rPr>
                <w:rFonts w:hint="eastAsia" w:ascii="宋体" w:hAnsi="宋体" w:eastAsia="宋体" w:cs="宋体"/>
                <w:color w:val="auto"/>
                <w:szCs w:val="21"/>
                <w:highlight w:val="none"/>
              </w:rPr>
            </w:pPr>
          </w:p>
        </w:tc>
      </w:tr>
      <w:tr w14:paraId="609D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286607D3">
            <w:pPr>
              <w:adjustRightInd/>
              <w:snapToGrid/>
              <w:rPr>
                <w:rFonts w:hint="eastAsia" w:ascii="宋体" w:hAnsi="宋体" w:eastAsia="宋体" w:cs="宋体"/>
                <w:color w:val="auto"/>
                <w:szCs w:val="21"/>
                <w:highlight w:val="none"/>
              </w:rPr>
            </w:pPr>
          </w:p>
        </w:tc>
        <w:tc>
          <w:tcPr>
            <w:tcW w:w="1705" w:type="dxa"/>
          </w:tcPr>
          <w:p w14:paraId="0F47950F">
            <w:pPr>
              <w:adjustRightInd/>
              <w:snapToGrid/>
              <w:rPr>
                <w:rFonts w:hint="eastAsia" w:ascii="宋体" w:hAnsi="宋体" w:eastAsia="宋体" w:cs="宋体"/>
                <w:color w:val="auto"/>
                <w:szCs w:val="21"/>
                <w:highlight w:val="none"/>
              </w:rPr>
            </w:pPr>
          </w:p>
        </w:tc>
        <w:tc>
          <w:tcPr>
            <w:tcW w:w="1706" w:type="dxa"/>
          </w:tcPr>
          <w:p w14:paraId="77F0EB9F">
            <w:pPr>
              <w:adjustRightInd/>
              <w:snapToGrid/>
              <w:rPr>
                <w:rFonts w:hint="eastAsia" w:ascii="宋体" w:hAnsi="宋体" w:eastAsia="宋体" w:cs="宋体"/>
                <w:color w:val="auto"/>
                <w:szCs w:val="21"/>
                <w:highlight w:val="none"/>
              </w:rPr>
            </w:pPr>
          </w:p>
        </w:tc>
        <w:tc>
          <w:tcPr>
            <w:tcW w:w="1705" w:type="dxa"/>
          </w:tcPr>
          <w:p w14:paraId="521B71CC">
            <w:pPr>
              <w:adjustRightInd/>
              <w:snapToGrid/>
              <w:rPr>
                <w:rFonts w:hint="eastAsia" w:ascii="宋体" w:hAnsi="宋体" w:eastAsia="宋体" w:cs="宋体"/>
                <w:color w:val="auto"/>
                <w:szCs w:val="21"/>
                <w:highlight w:val="none"/>
              </w:rPr>
            </w:pPr>
          </w:p>
        </w:tc>
        <w:tc>
          <w:tcPr>
            <w:tcW w:w="1697" w:type="dxa"/>
          </w:tcPr>
          <w:p w14:paraId="0316A8B7">
            <w:pPr>
              <w:adjustRightInd/>
              <w:snapToGrid/>
              <w:rPr>
                <w:rFonts w:hint="eastAsia" w:ascii="宋体" w:hAnsi="宋体" w:eastAsia="宋体" w:cs="宋体"/>
                <w:color w:val="auto"/>
                <w:szCs w:val="21"/>
                <w:highlight w:val="none"/>
              </w:rPr>
            </w:pPr>
          </w:p>
        </w:tc>
      </w:tr>
      <w:tr w14:paraId="6EB5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6793F454">
            <w:pPr>
              <w:adjustRightInd/>
              <w:snapToGrid/>
              <w:rPr>
                <w:rFonts w:hint="eastAsia" w:ascii="宋体" w:hAnsi="宋体" w:eastAsia="宋体" w:cs="宋体"/>
                <w:color w:val="auto"/>
                <w:szCs w:val="21"/>
                <w:highlight w:val="none"/>
              </w:rPr>
            </w:pPr>
          </w:p>
        </w:tc>
        <w:tc>
          <w:tcPr>
            <w:tcW w:w="1705" w:type="dxa"/>
          </w:tcPr>
          <w:p w14:paraId="1F3BA915">
            <w:pPr>
              <w:adjustRightInd/>
              <w:snapToGrid/>
              <w:rPr>
                <w:rFonts w:hint="eastAsia" w:ascii="宋体" w:hAnsi="宋体" w:eastAsia="宋体" w:cs="宋体"/>
                <w:color w:val="auto"/>
                <w:szCs w:val="21"/>
                <w:highlight w:val="none"/>
              </w:rPr>
            </w:pPr>
          </w:p>
        </w:tc>
        <w:tc>
          <w:tcPr>
            <w:tcW w:w="1706" w:type="dxa"/>
          </w:tcPr>
          <w:p w14:paraId="6260A4CB">
            <w:pPr>
              <w:adjustRightInd/>
              <w:snapToGrid/>
              <w:rPr>
                <w:rFonts w:hint="eastAsia" w:ascii="宋体" w:hAnsi="宋体" w:eastAsia="宋体" w:cs="宋体"/>
                <w:color w:val="auto"/>
                <w:szCs w:val="21"/>
                <w:highlight w:val="none"/>
              </w:rPr>
            </w:pPr>
          </w:p>
        </w:tc>
        <w:tc>
          <w:tcPr>
            <w:tcW w:w="1705" w:type="dxa"/>
          </w:tcPr>
          <w:p w14:paraId="107D6D39">
            <w:pPr>
              <w:adjustRightInd/>
              <w:snapToGrid/>
              <w:rPr>
                <w:rFonts w:hint="eastAsia" w:ascii="宋体" w:hAnsi="宋体" w:eastAsia="宋体" w:cs="宋体"/>
                <w:color w:val="auto"/>
                <w:szCs w:val="21"/>
                <w:highlight w:val="none"/>
              </w:rPr>
            </w:pPr>
          </w:p>
        </w:tc>
        <w:tc>
          <w:tcPr>
            <w:tcW w:w="1697" w:type="dxa"/>
          </w:tcPr>
          <w:p w14:paraId="6679C3D4">
            <w:pPr>
              <w:adjustRightInd/>
              <w:snapToGrid/>
              <w:rPr>
                <w:rFonts w:hint="eastAsia" w:ascii="宋体" w:hAnsi="宋体" w:eastAsia="宋体" w:cs="宋体"/>
                <w:color w:val="auto"/>
                <w:szCs w:val="21"/>
                <w:highlight w:val="none"/>
              </w:rPr>
            </w:pPr>
          </w:p>
        </w:tc>
      </w:tr>
      <w:tr w14:paraId="27B0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09567B12">
            <w:pPr>
              <w:adjustRightInd/>
              <w:snapToGrid/>
              <w:rPr>
                <w:rFonts w:hint="eastAsia" w:ascii="宋体" w:hAnsi="宋体" w:eastAsia="宋体" w:cs="宋体"/>
                <w:color w:val="auto"/>
                <w:szCs w:val="21"/>
                <w:highlight w:val="none"/>
              </w:rPr>
            </w:pPr>
          </w:p>
        </w:tc>
        <w:tc>
          <w:tcPr>
            <w:tcW w:w="1705" w:type="dxa"/>
          </w:tcPr>
          <w:p w14:paraId="43292759">
            <w:pPr>
              <w:adjustRightInd/>
              <w:snapToGrid/>
              <w:rPr>
                <w:rFonts w:hint="eastAsia" w:ascii="宋体" w:hAnsi="宋体" w:eastAsia="宋体" w:cs="宋体"/>
                <w:color w:val="auto"/>
                <w:szCs w:val="21"/>
                <w:highlight w:val="none"/>
              </w:rPr>
            </w:pPr>
          </w:p>
        </w:tc>
        <w:tc>
          <w:tcPr>
            <w:tcW w:w="1706" w:type="dxa"/>
          </w:tcPr>
          <w:p w14:paraId="36AC14A8">
            <w:pPr>
              <w:adjustRightInd/>
              <w:snapToGrid/>
              <w:rPr>
                <w:rFonts w:hint="eastAsia" w:ascii="宋体" w:hAnsi="宋体" w:eastAsia="宋体" w:cs="宋体"/>
                <w:color w:val="auto"/>
                <w:szCs w:val="21"/>
                <w:highlight w:val="none"/>
              </w:rPr>
            </w:pPr>
          </w:p>
        </w:tc>
        <w:tc>
          <w:tcPr>
            <w:tcW w:w="1705" w:type="dxa"/>
          </w:tcPr>
          <w:p w14:paraId="3A1064CA">
            <w:pPr>
              <w:adjustRightInd/>
              <w:snapToGrid/>
              <w:rPr>
                <w:rFonts w:hint="eastAsia" w:ascii="宋体" w:hAnsi="宋体" w:eastAsia="宋体" w:cs="宋体"/>
                <w:color w:val="auto"/>
                <w:szCs w:val="21"/>
                <w:highlight w:val="none"/>
              </w:rPr>
            </w:pPr>
          </w:p>
        </w:tc>
        <w:tc>
          <w:tcPr>
            <w:tcW w:w="1697" w:type="dxa"/>
          </w:tcPr>
          <w:p w14:paraId="0F0ABB44">
            <w:pPr>
              <w:adjustRightInd/>
              <w:snapToGrid/>
              <w:rPr>
                <w:rFonts w:hint="eastAsia" w:ascii="宋体" w:hAnsi="宋体" w:eastAsia="宋体" w:cs="宋体"/>
                <w:color w:val="auto"/>
                <w:szCs w:val="21"/>
                <w:highlight w:val="none"/>
              </w:rPr>
            </w:pPr>
          </w:p>
        </w:tc>
      </w:tr>
    </w:tbl>
    <w:p w14:paraId="52430129">
      <w:pPr>
        <w:pStyle w:val="42"/>
        <w:rPr>
          <w:rFonts w:hint="eastAsia" w:ascii="宋体" w:hAnsi="宋体" w:eastAsia="宋体" w:cs="宋体"/>
          <w:color w:val="auto"/>
          <w:szCs w:val="21"/>
          <w:highlight w:val="none"/>
        </w:rPr>
      </w:pPr>
    </w:p>
    <w:p w14:paraId="7601F152">
      <w:pPr>
        <w:pStyle w:val="42"/>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6DA8AC7F">
      <w:pPr>
        <w:pStyle w:val="42"/>
        <w:numPr>
          <w:ilvl w:val="0"/>
          <w:numId w:val="27"/>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该表格为参考格式，投标人可按实际情况自行制订。</w:t>
      </w:r>
    </w:p>
    <w:p w14:paraId="6673B65E">
      <w:pPr>
        <w:pStyle w:val="42"/>
        <w:numPr>
          <w:ilvl w:val="0"/>
          <w:numId w:val="27"/>
        </w:num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业绩表所列出的材料应为真实准确的，并应提供相关证明材料复印件加盖公章。请勿提供虚假、过期材料，否则将依据相关规定严肃处理。</w:t>
      </w:r>
    </w:p>
    <w:p w14:paraId="7E1FE65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3ACF5F7D">
      <w:pPr>
        <w:pStyle w:val="10"/>
        <w:rPr>
          <w:rFonts w:hint="eastAsia" w:ascii="宋体" w:hAnsi="宋体" w:eastAsia="宋体" w:cs="宋体"/>
          <w:color w:val="auto"/>
          <w:szCs w:val="21"/>
          <w:highlight w:val="none"/>
        </w:rPr>
        <w:sectPr>
          <w:headerReference r:id="rId13" w:type="first"/>
          <w:footerReference r:id="rId15" w:type="first"/>
          <w:headerReference r:id="rId11" w:type="default"/>
          <w:footerReference r:id="rId14" w:type="default"/>
          <w:headerReference r:id="rId12" w:type="even"/>
          <w:pgSz w:w="11906" w:h="16838"/>
          <w:pgMar w:top="1440" w:right="1800" w:bottom="1440" w:left="1800" w:header="708" w:footer="708" w:gutter="0"/>
          <w:cols w:space="708" w:num="1"/>
          <w:titlePg/>
          <w:docGrid w:type="lines" w:linePitch="360" w:charSpace="0"/>
        </w:sectPr>
      </w:pPr>
    </w:p>
    <w:p w14:paraId="66F14282">
      <w:pPr>
        <w:pStyle w:val="5"/>
        <w:widowControl w:val="0"/>
        <w:overflowPunct w:val="0"/>
        <w:spacing w:line="240" w:lineRule="auto"/>
        <w:rPr>
          <w:rFonts w:hint="eastAsia" w:ascii="宋体" w:hAnsi="宋体" w:eastAsia="宋体" w:cs="宋体"/>
          <w:color w:val="auto"/>
          <w:sz w:val="21"/>
          <w:szCs w:val="21"/>
          <w:highlight w:val="none"/>
          <w:lang w:eastAsia="zh-CN"/>
        </w:rPr>
      </w:pPr>
      <w:bookmarkStart w:id="316" w:name="_Toc22995"/>
      <w:bookmarkStart w:id="317" w:name="_Toc18086"/>
      <w:bookmarkStart w:id="318" w:name="_Toc24267"/>
      <w:bookmarkStart w:id="319" w:name="_Toc32126"/>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服务响应承诺函</w:t>
      </w:r>
      <w:bookmarkEnd w:id="316"/>
      <w:bookmarkEnd w:id="317"/>
    </w:p>
    <w:bookmarkEnd w:id="318"/>
    <w:bookmarkEnd w:id="319"/>
    <w:p w14:paraId="1529E833">
      <w:pPr>
        <w:jc w:val="center"/>
        <w:rPr>
          <w:rFonts w:hint="eastAsia" w:ascii="宋体" w:hAnsi="宋体" w:eastAsia="宋体" w:cs="宋体"/>
          <w:b/>
          <w:bCs/>
          <w:color w:val="auto"/>
          <w:sz w:val="21"/>
          <w:highlight w:val="none"/>
          <w:lang w:eastAsia="zh-CN"/>
        </w:rPr>
      </w:pPr>
      <w:r>
        <w:rPr>
          <w:rFonts w:hint="eastAsia" w:ascii="宋体" w:hAnsi="宋体" w:eastAsia="宋体" w:cs="宋体"/>
          <w:b/>
          <w:bCs/>
          <w:color w:val="auto"/>
          <w:sz w:val="21"/>
          <w:highlight w:val="none"/>
          <w:lang w:eastAsia="zh-CN"/>
        </w:rPr>
        <w:t>服务响应承诺函</w:t>
      </w:r>
    </w:p>
    <w:p w14:paraId="1F90E326">
      <w:pPr>
        <w:pStyle w:val="8"/>
        <w:rPr>
          <w:rFonts w:hint="eastAsia" w:ascii="宋体" w:hAnsi="宋体" w:eastAsia="宋体" w:cs="宋体"/>
          <w:color w:val="auto"/>
          <w:highlight w:val="none"/>
        </w:rPr>
      </w:pPr>
    </w:p>
    <w:p w14:paraId="71274A75">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投标人名称（公章）：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招标编号：</w:t>
      </w:r>
      <w:r>
        <w:rPr>
          <w:rFonts w:hint="eastAsia" w:ascii="宋体" w:hAnsi="宋体" w:eastAsia="宋体" w:cs="宋体"/>
          <w:color w:val="auto"/>
          <w:sz w:val="21"/>
          <w:szCs w:val="21"/>
          <w:highlight w:val="none"/>
          <w:lang w:eastAsia="zh-CN"/>
        </w:rPr>
        <w:t>XDY-GK-2026-002</w:t>
      </w:r>
    </w:p>
    <w:p w14:paraId="34DEEDE3">
      <w:pPr>
        <w:pStyle w:val="8"/>
        <w:ind w:firstLine="0"/>
        <w:rPr>
          <w:rFonts w:hint="eastAsia" w:ascii="宋体" w:hAnsi="宋体" w:eastAsia="宋体" w:cs="宋体"/>
          <w:color w:val="auto"/>
          <w:sz w:val="21"/>
          <w:szCs w:val="21"/>
          <w:highlight w:val="none"/>
        </w:rPr>
      </w:pPr>
    </w:p>
    <w:p w14:paraId="7465D2DA">
      <w:pPr>
        <w:widowControl/>
        <w:spacing w:line="360" w:lineRule="auto"/>
        <w:ind w:firstLine="630" w:firstLineChars="3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u w:val="single"/>
          <w:lang w:val="en-US" w:eastAsia="zh-CN"/>
        </w:rPr>
        <w:t xml:space="preserve">    （投标人公司名称）    </w:t>
      </w:r>
      <w:r>
        <w:rPr>
          <w:rFonts w:hint="eastAsia" w:ascii="宋体" w:hAnsi="宋体" w:eastAsia="宋体" w:cs="宋体"/>
          <w:color w:val="auto"/>
          <w:sz w:val="21"/>
          <w:szCs w:val="21"/>
          <w:highlight w:val="none"/>
          <w:lang w:eastAsia="zh-CN"/>
        </w:rPr>
        <w:t>承诺如中标本项目，将严格按照采购人要求，在</w:t>
      </w:r>
      <w:r>
        <w:rPr>
          <w:rFonts w:hint="eastAsia" w:ascii="宋体" w:hAnsi="宋体" w:eastAsia="宋体" w:cs="宋体"/>
          <w:color w:val="auto"/>
          <w:sz w:val="21"/>
          <w:szCs w:val="21"/>
          <w:highlight w:val="none"/>
          <w:lang w:val="zh-CN" w:eastAsia="zh-CN"/>
        </w:rPr>
        <w:t>收到采购人应急服务要求通知后</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zh-CN" w:eastAsia="zh-CN"/>
        </w:rPr>
        <w:t>小时（含）内到达采购人指定地点，进行相应服务。我公司承诺如达不到承诺要求的，我公司接受采购人做出如下相应处罚（①承诺接到采购人通知后</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val="zh-CN" w:eastAsia="zh-CN"/>
        </w:rPr>
        <w:t>小时（含）内到达采购人指定地点的，未达到承诺要求每次处罚人民币10,000.00元；②投标人承诺接到采购人通知后</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val="zh-CN" w:eastAsia="zh-CN"/>
        </w:rPr>
        <w:t>小时（不含）以上至</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lang w:val="zh-CN" w:eastAsia="zh-CN"/>
        </w:rPr>
        <w:t>小时（含）内到达采购人指定地点，未达到承诺要求的每次处罚人民币5,000.00元；③投标人承诺接到采购人通知后</w:t>
      </w: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lang w:val="zh-CN" w:eastAsia="zh-CN"/>
        </w:rPr>
        <w:t>小时（不含）以上至</w:t>
      </w:r>
      <w:r>
        <w:rPr>
          <w:rFonts w:hint="eastAsia" w:ascii="宋体" w:hAnsi="宋体" w:eastAsia="宋体" w:cs="宋体"/>
          <w:color w:val="auto"/>
          <w:sz w:val="21"/>
          <w:szCs w:val="21"/>
          <w:highlight w:val="none"/>
          <w:lang w:val="en-US" w:eastAsia="zh-CN"/>
        </w:rPr>
        <w:t>48</w:t>
      </w:r>
      <w:r>
        <w:rPr>
          <w:rFonts w:hint="eastAsia" w:ascii="宋体" w:hAnsi="宋体" w:eastAsia="宋体" w:cs="宋体"/>
          <w:color w:val="auto"/>
          <w:sz w:val="21"/>
          <w:szCs w:val="21"/>
          <w:highlight w:val="none"/>
          <w:lang w:val="zh-CN" w:eastAsia="zh-CN"/>
        </w:rPr>
        <w:t>小时（含）内到达采购人指定地点的，未达到承诺要求的每次处罚人民币3,000.00元。）</w:t>
      </w:r>
    </w:p>
    <w:p w14:paraId="05D8ABEC">
      <w:pPr>
        <w:widowControl/>
        <w:spacing w:line="360" w:lineRule="auto"/>
        <w:jc w:val="left"/>
        <w:rPr>
          <w:rFonts w:hint="eastAsia" w:ascii="宋体" w:hAnsi="宋体" w:eastAsia="宋体" w:cs="宋体"/>
          <w:color w:val="auto"/>
          <w:sz w:val="21"/>
          <w:szCs w:val="21"/>
          <w:highlight w:val="none"/>
        </w:rPr>
      </w:pPr>
    </w:p>
    <w:p w14:paraId="1947E345">
      <w:pPr>
        <w:pStyle w:val="11"/>
        <w:rPr>
          <w:rFonts w:hint="eastAsia" w:ascii="宋体" w:hAnsi="宋体" w:eastAsia="宋体" w:cs="宋体"/>
          <w:color w:val="auto"/>
          <w:sz w:val="21"/>
          <w:szCs w:val="21"/>
          <w:highlight w:val="none"/>
        </w:rPr>
      </w:pPr>
    </w:p>
    <w:p w14:paraId="09F5E87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投标人法定代表人或其委托人签字： _____________</w:t>
      </w:r>
    </w:p>
    <w:p w14:paraId="3AE3891F">
      <w:pPr>
        <w:rPr>
          <w:rFonts w:hint="eastAsia" w:ascii="宋体" w:hAnsi="宋体" w:eastAsia="宋体" w:cs="宋体"/>
          <w:color w:val="auto"/>
          <w:sz w:val="21"/>
          <w:szCs w:val="21"/>
          <w:highlight w:val="none"/>
        </w:rPr>
      </w:pPr>
      <w:r>
        <w:rPr>
          <w:rFonts w:hint="eastAsia" w:ascii="宋体" w:hAnsi="宋体" w:eastAsia="宋体" w:cs="宋体"/>
          <w:color w:val="auto"/>
          <w:spacing w:val="0"/>
          <w:kern w:val="2"/>
          <w:sz w:val="21"/>
          <w:szCs w:val="21"/>
          <w:highlight w:val="none"/>
        </w:rPr>
        <w:t>日  期：</w:t>
      </w:r>
      <w:r>
        <w:rPr>
          <w:rFonts w:hint="eastAsia" w:ascii="宋体" w:hAnsi="宋体" w:eastAsia="宋体" w:cs="宋体"/>
          <w:color w:val="auto"/>
          <w:sz w:val="21"/>
          <w:szCs w:val="21"/>
          <w:highlight w:val="none"/>
        </w:rPr>
        <w:br w:type="page"/>
      </w:r>
    </w:p>
    <w:p w14:paraId="4B1464E7">
      <w:pPr>
        <w:pStyle w:val="5"/>
        <w:widowControl w:val="0"/>
        <w:overflowPunct w:val="0"/>
        <w:spacing w:line="240" w:lineRule="auto"/>
        <w:rPr>
          <w:rFonts w:hint="eastAsia" w:ascii="宋体" w:hAnsi="宋体" w:eastAsia="宋体" w:cs="宋体"/>
          <w:color w:val="auto"/>
          <w:sz w:val="21"/>
          <w:szCs w:val="21"/>
          <w:highlight w:val="none"/>
          <w:lang w:eastAsia="zh-CN"/>
        </w:rPr>
      </w:pPr>
      <w:bookmarkStart w:id="320" w:name="_Toc30516"/>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报价全包承诺函</w:t>
      </w:r>
      <w:bookmarkEnd w:id="320"/>
    </w:p>
    <w:p w14:paraId="650868D3">
      <w:pPr>
        <w:jc w:val="center"/>
        <w:rPr>
          <w:rFonts w:hint="eastAsia" w:ascii="宋体" w:hAnsi="宋体" w:eastAsia="宋体" w:cs="宋体"/>
          <w:b/>
          <w:bCs/>
          <w:color w:val="auto"/>
          <w:sz w:val="21"/>
          <w:highlight w:val="none"/>
          <w:lang w:eastAsia="zh-CN"/>
        </w:rPr>
      </w:pPr>
      <w:r>
        <w:rPr>
          <w:rFonts w:hint="eastAsia" w:ascii="宋体" w:hAnsi="宋体" w:eastAsia="宋体" w:cs="宋体"/>
          <w:color w:val="auto"/>
          <w:sz w:val="21"/>
          <w:szCs w:val="21"/>
          <w:highlight w:val="none"/>
          <w:lang w:eastAsia="zh-CN"/>
        </w:rPr>
        <w:t>报价全包承诺函</w:t>
      </w:r>
    </w:p>
    <w:p w14:paraId="42A09954">
      <w:pPr>
        <w:pStyle w:val="8"/>
        <w:rPr>
          <w:rFonts w:hint="eastAsia" w:ascii="宋体" w:hAnsi="宋体" w:eastAsia="宋体" w:cs="宋体"/>
          <w:color w:val="auto"/>
          <w:highlight w:val="none"/>
        </w:rPr>
      </w:pPr>
    </w:p>
    <w:p w14:paraId="7E6F308B">
      <w:pPr>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投标人名称（公章）：         招标编号：</w:t>
      </w:r>
      <w:r>
        <w:rPr>
          <w:rFonts w:hint="eastAsia" w:ascii="宋体" w:hAnsi="宋体" w:eastAsia="宋体" w:cs="宋体"/>
          <w:color w:val="auto"/>
          <w:sz w:val="21"/>
          <w:szCs w:val="21"/>
          <w:highlight w:val="none"/>
          <w:lang w:eastAsia="zh-CN"/>
        </w:rPr>
        <w:t>XDY-GK-2026-002</w:t>
      </w:r>
    </w:p>
    <w:p w14:paraId="70ECB185">
      <w:pPr>
        <w:pStyle w:val="8"/>
        <w:ind w:firstLine="0"/>
        <w:rPr>
          <w:rFonts w:hint="eastAsia" w:ascii="宋体" w:hAnsi="宋体" w:eastAsia="宋体" w:cs="宋体"/>
          <w:color w:val="auto"/>
          <w:szCs w:val="21"/>
          <w:highlight w:val="none"/>
        </w:rPr>
      </w:pPr>
    </w:p>
    <w:p w14:paraId="15A2B727">
      <w:pPr>
        <w:widowControl/>
        <w:spacing w:line="360" w:lineRule="auto"/>
        <w:ind w:firstLine="630" w:firstLineChars="3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u w:val="single"/>
          <w:lang w:val="en-US" w:eastAsia="zh-CN"/>
        </w:rPr>
        <w:t xml:space="preserve">    （投标人公司名称）    </w:t>
      </w:r>
      <w:r>
        <w:rPr>
          <w:rFonts w:hint="eastAsia" w:ascii="宋体" w:hAnsi="宋体" w:eastAsia="宋体" w:cs="宋体"/>
          <w:color w:val="auto"/>
          <w:sz w:val="21"/>
          <w:szCs w:val="21"/>
          <w:highlight w:val="none"/>
          <w:lang w:eastAsia="zh-CN"/>
        </w:rPr>
        <w:t>承诺如已</w:t>
      </w:r>
      <w:r>
        <w:rPr>
          <w:rFonts w:hint="eastAsia" w:ascii="宋体" w:hAnsi="宋体" w:eastAsia="宋体" w:cs="宋体"/>
          <w:color w:val="auto"/>
          <w:highlight w:val="none"/>
          <w:lang w:val="en-US" w:eastAsia="zh-CN"/>
        </w:rPr>
        <w:t>充分了解本项目在春节及其他节假日施工的可能性，投标报价已经充分考虑春节及其他节假日可能产生的全部费用</w:t>
      </w:r>
      <w:r>
        <w:rPr>
          <w:rFonts w:hint="eastAsia" w:ascii="宋体" w:hAnsi="宋体" w:eastAsia="宋体" w:cs="宋体"/>
          <w:color w:val="auto"/>
          <w:sz w:val="21"/>
          <w:szCs w:val="21"/>
          <w:highlight w:val="none"/>
          <w:lang w:val="en-US" w:eastAsia="zh-CN"/>
        </w:rPr>
        <w:t>，报价均为全包价，所有费用我公司自行承担，不增加任何费用。</w:t>
      </w:r>
    </w:p>
    <w:p w14:paraId="6B8A75F5">
      <w:pPr>
        <w:widowControl/>
        <w:spacing w:line="360" w:lineRule="auto"/>
        <w:jc w:val="left"/>
        <w:rPr>
          <w:rFonts w:hint="eastAsia" w:ascii="宋体" w:hAnsi="宋体" w:eastAsia="宋体" w:cs="宋体"/>
          <w:color w:val="auto"/>
          <w:sz w:val="21"/>
          <w:szCs w:val="21"/>
          <w:highlight w:val="none"/>
        </w:rPr>
      </w:pPr>
    </w:p>
    <w:p w14:paraId="0906B273">
      <w:pPr>
        <w:pStyle w:val="11"/>
        <w:rPr>
          <w:rFonts w:hint="eastAsia" w:ascii="宋体" w:hAnsi="宋体" w:eastAsia="宋体" w:cs="宋体"/>
          <w:color w:val="auto"/>
          <w:sz w:val="21"/>
          <w:szCs w:val="21"/>
          <w:highlight w:val="none"/>
        </w:rPr>
      </w:pPr>
    </w:p>
    <w:p w14:paraId="2F8896E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投标人法定代表人或其委托人签字： _____________</w:t>
      </w:r>
    </w:p>
    <w:p w14:paraId="1169D6A3">
      <w:pPr>
        <w:rPr>
          <w:rFonts w:hint="eastAsia" w:ascii="宋体" w:hAnsi="宋体" w:eastAsia="宋体" w:cs="宋体"/>
          <w:color w:val="auto"/>
          <w:sz w:val="21"/>
          <w:szCs w:val="21"/>
          <w:highlight w:val="none"/>
        </w:rPr>
      </w:pPr>
      <w:r>
        <w:rPr>
          <w:rFonts w:hint="eastAsia" w:ascii="宋体" w:hAnsi="宋体" w:eastAsia="宋体" w:cs="宋体"/>
          <w:color w:val="auto"/>
          <w:highlight w:val="none"/>
        </w:rPr>
        <w:t>日  期：</w:t>
      </w:r>
      <w:r>
        <w:rPr>
          <w:rFonts w:hint="eastAsia" w:ascii="宋体" w:hAnsi="宋体" w:eastAsia="宋体" w:cs="宋体"/>
          <w:color w:val="auto"/>
          <w:sz w:val="21"/>
          <w:szCs w:val="21"/>
          <w:highlight w:val="none"/>
        </w:rPr>
        <w:br w:type="page"/>
      </w:r>
    </w:p>
    <w:p w14:paraId="706765E0">
      <w:pPr>
        <w:pStyle w:val="5"/>
        <w:widowControl w:val="0"/>
        <w:overflowPunct w:val="0"/>
        <w:spacing w:line="240" w:lineRule="auto"/>
        <w:rPr>
          <w:rFonts w:hint="eastAsia" w:ascii="宋体" w:hAnsi="宋体" w:eastAsia="宋体" w:cs="宋体"/>
          <w:color w:val="auto"/>
          <w:highlight w:val="none"/>
        </w:rPr>
      </w:pPr>
      <w:bookmarkStart w:id="321" w:name="_Toc31361"/>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.联合体协议书</w:t>
      </w:r>
      <w:r>
        <w:rPr>
          <w:rFonts w:hint="eastAsia" w:ascii="宋体" w:hAnsi="宋体" w:eastAsia="宋体" w:cs="宋体"/>
          <w:color w:val="auto"/>
          <w:highlight w:val="none"/>
        </w:rPr>
        <w:t>（如有）</w:t>
      </w:r>
      <w:bookmarkEnd w:id="321"/>
    </w:p>
    <w:p w14:paraId="705C41F4">
      <w:pPr>
        <w:rPr>
          <w:rFonts w:hint="eastAsia" w:ascii="宋体" w:hAnsi="宋体" w:eastAsia="宋体" w:cs="宋体"/>
          <w:color w:val="auto"/>
          <w:highlight w:val="none"/>
        </w:rPr>
      </w:pPr>
    </w:p>
    <w:p w14:paraId="03CA0DE2">
      <w:pPr>
        <w:jc w:val="center"/>
        <w:rPr>
          <w:rFonts w:hint="eastAsia" w:ascii="宋体" w:hAnsi="宋体" w:eastAsia="宋体" w:cs="宋体"/>
          <w:color w:val="auto"/>
          <w:highlight w:val="none"/>
        </w:rPr>
      </w:pPr>
      <w:r>
        <w:rPr>
          <w:rFonts w:hint="eastAsia" w:ascii="宋体" w:hAnsi="宋体" w:eastAsia="宋体" w:cs="宋体"/>
          <w:b/>
          <w:bCs/>
          <w:color w:val="auto"/>
          <w:highlight w:val="none"/>
        </w:rPr>
        <w:t>联合体共同投标协议书</w:t>
      </w:r>
    </w:p>
    <w:p w14:paraId="6BAE32A4">
      <w:pPr>
        <w:jc w:val="center"/>
        <w:rPr>
          <w:rFonts w:hint="eastAsia" w:ascii="宋体" w:hAnsi="宋体" w:eastAsia="宋体" w:cs="宋体"/>
          <w:color w:val="auto"/>
          <w:highlight w:val="none"/>
        </w:rPr>
      </w:pPr>
    </w:p>
    <w:p w14:paraId="6D1B5A1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立约方：（甲公司全称）</w:t>
      </w:r>
    </w:p>
    <w:p w14:paraId="6E478D0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（乙公司全称）</w:t>
      </w:r>
    </w:p>
    <w:p w14:paraId="6D6D620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（……公司全称）</w:t>
      </w:r>
    </w:p>
    <w:p w14:paraId="67BFE8FB">
      <w:pP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（甲公司全称）、（乙公司全称）、（……公司全称）</w:t>
      </w:r>
      <w:r>
        <w:rPr>
          <w:rFonts w:hint="eastAsia" w:ascii="宋体" w:hAnsi="宋体" w:eastAsia="宋体" w:cs="宋体"/>
          <w:color w:val="auto"/>
          <w:szCs w:val="21"/>
          <w:highlight w:val="none"/>
        </w:rPr>
        <w:t>自愿组成联合体，以一个投标人的身份共同参加</w:t>
      </w:r>
      <w:r>
        <w:rPr>
          <w:rFonts w:hint="eastAsia" w:ascii="宋体" w:hAnsi="宋体" w:eastAsia="宋体" w:cs="宋体"/>
          <w:color w:val="auto"/>
          <w:szCs w:val="21"/>
          <w:highlight w:val="none"/>
          <w:u w:val="single"/>
        </w:rPr>
        <w:t>（xxxx项目） （项目编号：xxxx）</w:t>
      </w:r>
      <w:r>
        <w:rPr>
          <w:rFonts w:hint="eastAsia" w:ascii="宋体" w:hAnsi="宋体" w:eastAsia="宋体" w:cs="宋体"/>
          <w:color w:val="auto"/>
          <w:szCs w:val="21"/>
          <w:highlight w:val="none"/>
        </w:rPr>
        <w:t>的招标活动。经各方充分协商一致，就项目的投标和合同实施阶段的有关事务协商一致订立协议如下：</w:t>
      </w:r>
    </w:p>
    <w:p w14:paraId="017857E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一、联合体各方关系</w:t>
      </w:r>
    </w:p>
    <w:p w14:paraId="3438027A">
      <w:pP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1.（甲公司全称）、（乙公司全称）、（……公司全称）</w:t>
      </w:r>
      <w:r>
        <w:rPr>
          <w:rFonts w:hint="eastAsia" w:ascii="宋体" w:hAnsi="宋体" w:eastAsia="宋体" w:cs="宋体"/>
          <w:color w:val="auto"/>
          <w:szCs w:val="21"/>
          <w:highlight w:val="none"/>
        </w:rPr>
        <w:t>共同组成一个联合体，以一个投标人的身份共同参加本项目的投标。</w:t>
      </w:r>
      <w:r>
        <w:rPr>
          <w:rFonts w:hint="eastAsia" w:ascii="宋体" w:hAnsi="宋体" w:eastAsia="宋体" w:cs="宋体"/>
          <w:color w:val="auto"/>
          <w:szCs w:val="21"/>
          <w:highlight w:val="none"/>
          <w:u w:val="single"/>
        </w:rPr>
        <w:t>（甲公司全称）、（乙公司全称）、（……公司全称）</w:t>
      </w:r>
      <w:r>
        <w:rPr>
          <w:rFonts w:hint="eastAsia" w:ascii="宋体" w:hAnsi="宋体" w:eastAsia="宋体" w:cs="宋体"/>
          <w:color w:val="auto"/>
          <w:szCs w:val="21"/>
          <w:highlight w:val="none"/>
        </w:rPr>
        <w:t>作为联合体成员，若中标，联合体各方共同与</w:t>
      </w:r>
      <w:r>
        <w:rPr>
          <w:rFonts w:hint="eastAsia" w:ascii="宋体" w:hAnsi="宋体" w:eastAsia="宋体" w:cs="宋体"/>
          <w:color w:val="auto"/>
          <w:szCs w:val="21"/>
          <w:highlight w:val="none"/>
          <w:u w:val="single"/>
        </w:rPr>
        <w:t>（采购人）</w:t>
      </w:r>
      <w:r>
        <w:rPr>
          <w:rFonts w:hint="eastAsia" w:ascii="宋体" w:hAnsi="宋体" w:eastAsia="宋体" w:cs="宋体"/>
          <w:color w:val="auto"/>
          <w:szCs w:val="21"/>
          <w:highlight w:val="none"/>
        </w:rPr>
        <w:t>签订合同。</w:t>
      </w:r>
    </w:p>
    <w:p w14:paraId="0FEDA04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2.本次投标中，以</w:t>
      </w:r>
      <w:r>
        <w:rPr>
          <w:rFonts w:hint="eastAsia" w:ascii="宋体" w:hAnsi="宋体" w:eastAsia="宋体" w:cs="宋体"/>
          <w:color w:val="auto"/>
          <w:szCs w:val="21"/>
          <w:highlight w:val="none"/>
          <w:u w:val="single"/>
        </w:rPr>
        <w:t>（公司全称）</w:t>
      </w:r>
      <w:r>
        <w:rPr>
          <w:rFonts w:hint="eastAsia" w:ascii="宋体" w:hAnsi="宋体" w:eastAsia="宋体" w:cs="宋体"/>
          <w:color w:val="auto"/>
          <w:szCs w:val="21"/>
          <w:highlight w:val="none"/>
        </w:rPr>
        <w:t>为联合体牵头人。</w:t>
      </w:r>
    </w:p>
    <w:p w14:paraId="1F57034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二、联合体内部有关事项约定如下：</w:t>
      </w:r>
    </w:p>
    <w:p w14:paraId="0657E5D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1.联合体牵头人合法代表联合体各成员，负责本项目投标文件编制和投标工作，并代表联合体成员递交和接受相关的资料、信息及指示，并处理与之有关的一切事务，负责合同实施阶段的主办、组织和协调工作。</w:t>
      </w:r>
    </w:p>
    <w:p w14:paraId="42EB80B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2.联合体将严格按照文件的各项要求，递交投标文件，切实执行一切合同文件，共同承担合同规定的一切义务和责任，同时按照内部职责的划分，承担自身所负的责任和风险，在法律上承担连带责任。</w:t>
      </w:r>
    </w:p>
    <w:p w14:paraId="75439A0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3.如中标，联合体各方共同与（采购人）签订合同书，并就中标项目向采购人负有连带的和各自的法律责任；</w:t>
      </w:r>
    </w:p>
    <w:p w14:paraId="7B17658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4.联合体各成员单位内部的职责分工如下：</w:t>
      </w:r>
    </w:p>
    <w:p w14:paraId="13642BA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p w14:paraId="7EFD28D2">
      <w:pPr>
        <w:rPr>
          <w:rFonts w:hint="eastAsia" w:ascii="宋体" w:hAnsi="宋体" w:eastAsia="宋体" w:cs="宋体"/>
          <w:color w:val="auto"/>
          <w:highlight w:val="none"/>
        </w:rPr>
      </w:pPr>
      <w:r>
        <w:rPr>
          <w:rFonts w:hint="eastAsia" w:ascii="宋体" w:hAnsi="宋体" w:eastAsia="宋体" w:cs="宋体"/>
          <w:color w:val="auto"/>
          <w:szCs w:val="21"/>
          <w:highlight w:val="none"/>
        </w:rPr>
        <w:t>（2）</w:t>
      </w:r>
    </w:p>
    <w:p w14:paraId="541A138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联合体各方不得再以自己名义参与本项目投标，联合体各方不能作为其它联合体或单独投标单位的项目组成员参加本项目投标。因发生上述问题导致联合体成为无效投标，联合体的其他成员可追究其违约责任和经济损失。</w:t>
      </w:r>
    </w:p>
    <w:p w14:paraId="53954F8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四、联合体如因违约过失责任而导致采购人经济损失或被索赔时，本联合体任何一方均同意无条件优先清偿采购人的一切债务和经济赔偿。</w:t>
      </w:r>
    </w:p>
    <w:p w14:paraId="53D02C7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五、联合体中标后，本联合体协议是合同的附件，对联合体各成员单位有合同约束力。</w:t>
      </w:r>
    </w:p>
    <w:p w14:paraId="37AE401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六、本协议在自签署之日起生效，投标有效期内有效，如获中标资格，本协议有效期延续至合同履行完毕之日。</w:t>
      </w:r>
    </w:p>
    <w:p w14:paraId="4A403AD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七、本协议书一式____份，联合体成员和采购人各执一份。 </w:t>
      </w:r>
    </w:p>
    <w:p w14:paraId="6DFBB932">
      <w:pPr>
        <w:rPr>
          <w:rFonts w:hint="eastAsia" w:ascii="宋体" w:hAnsi="宋体" w:eastAsia="宋体" w:cs="宋体"/>
          <w:color w:val="auto"/>
          <w:szCs w:val="21"/>
          <w:highlight w:val="none"/>
        </w:rPr>
      </w:pPr>
    </w:p>
    <w:p w14:paraId="6CC20C90">
      <w:pPr>
        <w:pStyle w:val="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注：本协议书由委托人签字的，应附法定代表人签字的授权委托书。</w:t>
      </w:r>
    </w:p>
    <w:p w14:paraId="28818105">
      <w:pPr>
        <w:pStyle w:val="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牵头人名称：_______________________（盖单位公章）</w:t>
      </w:r>
    </w:p>
    <w:p w14:paraId="64FB686E">
      <w:pPr>
        <w:pStyle w:val="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37430463">
      <w:pPr>
        <w:pStyle w:val="10"/>
        <w:rPr>
          <w:rFonts w:hint="eastAsia" w:ascii="宋体" w:hAnsi="宋体" w:eastAsia="宋体" w:cs="宋体"/>
          <w:color w:val="auto"/>
          <w:sz w:val="21"/>
          <w:szCs w:val="21"/>
          <w:highlight w:val="none"/>
        </w:rPr>
      </w:pPr>
    </w:p>
    <w:p w14:paraId="2563B8CB">
      <w:pPr>
        <w:pStyle w:val="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成员一名称：_______________________（盖单位公章）</w:t>
      </w:r>
    </w:p>
    <w:p w14:paraId="0EB5707C">
      <w:pPr>
        <w:pStyle w:val="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012E61B2">
      <w:pPr>
        <w:pStyle w:val="10"/>
        <w:rPr>
          <w:rFonts w:hint="eastAsia" w:ascii="宋体" w:hAnsi="宋体" w:eastAsia="宋体" w:cs="宋体"/>
          <w:color w:val="auto"/>
          <w:sz w:val="21"/>
          <w:szCs w:val="21"/>
          <w:highlight w:val="none"/>
        </w:rPr>
      </w:pPr>
    </w:p>
    <w:p w14:paraId="3F6AAC11">
      <w:pPr>
        <w:pStyle w:val="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成员二名称：_______________________（盖单位公章）</w:t>
      </w:r>
    </w:p>
    <w:p w14:paraId="6D3BC235">
      <w:pPr>
        <w:pStyle w:val="1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法定代表人或其委托代理人：_____________（签字）</w:t>
      </w:r>
    </w:p>
    <w:p w14:paraId="1A97FC25">
      <w:pPr>
        <w:pStyle w:val="10"/>
        <w:ind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74911D0">
      <w:pPr>
        <w:pStyle w:val="10"/>
        <w:rPr>
          <w:rFonts w:hint="eastAsia" w:ascii="宋体" w:hAnsi="宋体" w:eastAsia="宋体" w:cs="宋体"/>
          <w:color w:val="auto"/>
          <w:highlight w:val="none"/>
          <w:lang w:val="en-US"/>
        </w:rPr>
        <w:sectPr>
          <w:pgSz w:w="11906" w:h="16838"/>
          <w:pgMar w:top="1440" w:right="1800" w:bottom="1440" w:left="1800" w:header="708" w:footer="708" w:gutter="0"/>
          <w:cols w:space="708" w:num="1"/>
          <w:titlePg/>
          <w:docGrid w:type="lines" w:linePitch="360" w:charSpace="0"/>
        </w:sectPr>
      </w:pPr>
      <w:r>
        <w:rPr>
          <w:rFonts w:hint="eastAsia" w:ascii="宋体" w:hAnsi="宋体" w:eastAsia="宋体" w:cs="宋体"/>
          <w:color w:val="auto"/>
          <w:sz w:val="21"/>
          <w:szCs w:val="21"/>
          <w:highlight w:val="none"/>
        </w:rPr>
        <w:t xml:space="preserve">        年     月     日</w:t>
      </w:r>
    </w:p>
    <w:p w14:paraId="689B8BE4">
      <w:pPr>
        <w:pStyle w:val="10"/>
        <w:rPr>
          <w:rFonts w:hint="eastAsia" w:ascii="宋体" w:hAnsi="宋体" w:eastAsia="宋体" w:cs="宋体"/>
          <w:color w:val="auto"/>
          <w:highlight w:val="none"/>
        </w:rPr>
      </w:pPr>
    </w:p>
    <w:p w14:paraId="742C5FA6">
      <w:pPr>
        <w:pStyle w:val="2"/>
        <w:spacing w:before="0" w:after="0" w:line="360" w:lineRule="auto"/>
        <w:jc w:val="center"/>
        <w:rPr>
          <w:rFonts w:hint="eastAsia" w:ascii="宋体" w:hAnsi="宋体" w:eastAsia="宋体" w:cs="宋体"/>
          <w:color w:val="auto"/>
          <w:sz w:val="72"/>
          <w:szCs w:val="72"/>
          <w:highlight w:val="none"/>
        </w:rPr>
      </w:pPr>
      <w:bookmarkStart w:id="322" w:name="_Toc3067"/>
      <w:r>
        <w:rPr>
          <w:rFonts w:hint="eastAsia" w:ascii="宋体" w:hAnsi="宋体" w:eastAsia="宋体" w:cs="宋体"/>
          <w:color w:val="auto"/>
          <w:sz w:val="72"/>
          <w:szCs w:val="72"/>
          <w:highlight w:val="none"/>
        </w:rPr>
        <w:t>技术文件</w:t>
      </w:r>
      <w:bookmarkEnd w:id="322"/>
    </w:p>
    <w:p w14:paraId="2287431A">
      <w:pPr>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（单独装订成册）</w:t>
      </w:r>
    </w:p>
    <w:p w14:paraId="341F6628">
      <w:pPr>
        <w:rPr>
          <w:rFonts w:hint="eastAsia" w:ascii="宋体" w:hAnsi="宋体" w:eastAsia="宋体" w:cs="宋体"/>
          <w:color w:val="auto"/>
          <w:highlight w:val="none"/>
        </w:rPr>
      </w:pPr>
    </w:p>
    <w:p w14:paraId="1C23204F">
      <w:pPr>
        <w:pStyle w:val="10"/>
        <w:rPr>
          <w:rFonts w:hint="eastAsia" w:ascii="宋体" w:hAnsi="宋体" w:eastAsia="宋体" w:cs="宋体"/>
          <w:color w:val="auto"/>
          <w:highlight w:val="none"/>
        </w:rPr>
      </w:pPr>
    </w:p>
    <w:p w14:paraId="524A0E94">
      <w:pPr>
        <w:pStyle w:val="29"/>
        <w:ind w:firstLine="240"/>
        <w:rPr>
          <w:rFonts w:hint="eastAsia" w:ascii="宋体" w:hAnsi="宋体" w:eastAsia="宋体" w:cs="宋体"/>
          <w:color w:val="auto"/>
          <w:highlight w:val="none"/>
        </w:rPr>
      </w:pPr>
    </w:p>
    <w:p w14:paraId="6B59F482">
      <w:pPr>
        <w:rPr>
          <w:rFonts w:hint="eastAsia" w:ascii="宋体" w:hAnsi="宋体" w:eastAsia="宋体" w:cs="宋体"/>
          <w:b/>
          <w:bCs/>
          <w:color w:val="auto"/>
          <w:spacing w:val="-6"/>
          <w:sz w:val="32"/>
          <w:szCs w:val="32"/>
          <w:highlight w:val="none"/>
        </w:rPr>
      </w:pPr>
      <w:r>
        <w:rPr>
          <w:rFonts w:hint="eastAsia" w:ascii="宋体" w:hAnsi="宋体" w:eastAsia="宋体" w:cs="宋体"/>
          <w:b/>
          <w:bCs/>
          <w:color w:val="auto"/>
          <w:spacing w:val="53"/>
          <w:kern w:val="0"/>
          <w:sz w:val="32"/>
          <w:szCs w:val="32"/>
          <w:highlight w:val="none"/>
          <w:fitText w:val="1600" w:id="292250509"/>
        </w:rPr>
        <w:t>项目名</w:t>
      </w:r>
      <w:r>
        <w:rPr>
          <w:rFonts w:hint="eastAsia" w:ascii="宋体" w:hAnsi="宋体" w:eastAsia="宋体" w:cs="宋体"/>
          <w:b/>
          <w:bCs/>
          <w:color w:val="auto"/>
          <w:spacing w:val="1"/>
          <w:kern w:val="0"/>
          <w:sz w:val="32"/>
          <w:szCs w:val="32"/>
          <w:highlight w:val="none"/>
          <w:fitText w:val="1600" w:id="292250509"/>
        </w:rPr>
        <w:t>称</w:t>
      </w:r>
      <w:r>
        <w:rPr>
          <w:rFonts w:hint="eastAsia" w:ascii="宋体" w:hAnsi="宋体" w:eastAsia="宋体" w:cs="宋体"/>
          <w:b/>
          <w:bCs/>
          <w:color w:val="auto"/>
          <w:spacing w:val="-6"/>
          <w:sz w:val="32"/>
          <w:szCs w:val="32"/>
          <w:highlight w:val="none"/>
        </w:rPr>
        <w:t>：</w:t>
      </w:r>
    </w:p>
    <w:p w14:paraId="002B749A">
      <w:pPr>
        <w:rPr>
          <w:rFonts w:hint="eastAsia" w:ascii="宋体" w:hAnsi="宋体" w:eastAsia="宋体" w:cs="宋体"/>
          <w:b/>
          <w:bCs/>
          <w:color w:val="auto"/>
          <w:sz w:val="32"/>
          <w:szCs w:val="32"/>
          <w:highlight w:val="none"/>
        </w:rPr>
      </w:pPr>
      <w:r>
        <w:rPr>
          <w:rFonts w:hint="eastAsia" w:ascii="宋体" w:hAnsi="宋体" w:eastAsia="宋体" w:cs="宋体"/>
          <w:b/>
          <w:bCs/>
          <w:color w:val="auto"/>
          <w:spacing w:val="53"/>
          <w:kern w:val="0"/>
          <w:sz w:val="32"/>
          <w:szCs w:val="32"/>
          <w:highlight w:val="none"/>
          <w:fitText w:val="1600" w:id="1231831253"/>
        </w:rPr>
        <w:t>项目编</w:t>
      </w:r>
      <w:r>
        <w:rPr>
          <w:rFonts w:hint="eastAsia" w:ascii="宋体" w:hAnsi="宋体" w:eastAsia="宋体" w:cs="宋体"/>
          <w:b/>
          <w:bCs/>
          <w:color w:val="auto"/>
          <w:spacing w:val="1"/>
          <w:kern w:val="0"/>
          <w:sz w:val="32"/>
          <w:szCs w:val="32"/>
          <w:highlight w:val="none"/>
          <w:fitText w:val="1600" w:id="1231831253"/>
        </w:rPr>
        <w:t>号</w:t>
      </w:r>
      <w:r>
        <w:rPr>
          <w:rFonts w:hint="eastAsia" w:ascii="宋体" w:hAnsi="宋体" w:eastAsia="宋体" w:cs="宋体"/>
          <w:b/>
          <w:bCs/>
          <w:color w:val="auto"/>
          <w:sz w:val="32"/>
          <w:szCs w:val="32"/>
          <w:highlight w:val="none"/>
        </w:rPr>
        <w:t>：</w:t>
      </w:r>
    </w:p>
    <w:p w14:paraId="51E40C27">
      <w:pPr>
        <w:pStyle w:val="10"/>
        <w:ind w:left="0"/>
        <w:rPr>
          <w:rFonts w:hint="eastAsia" w:ascii="宋体" w:hAnsi="宋体" w:eastAsia="宋体" w:cs="宋体"/>
          <w:b/>
          <w:color w:val="auto"/>
          <w:spacing w:val="1280"/>
          <w:sz w:val="32"/>
          <w:szCs w:val="32"/>
          <w:highlight w:val="none"/>
        </w:rPr>
      </w:pPr>
      <w:r>
        <w:rPr>
          <w:rFonts w:hint="eastAsia" w:ascii="宋体" w:hAnsi="宋体" w:eastAsia="宋体" w:cs="宋体"/>
          <w:b/>
          <w:color w:val="auto"/>
          <w:spacing w:val="106"/>
          <w:sz w:val="32"/>
          <w:szCs w:val="32"/>
          <w:highlight w:val="none"/>
          <w:lang w:val="en-US" w:bidi="ar-SA"/>
        </w:rPr>
        <w:t>包组号（如有）：</w:t>
      </w:r>
    </w:p>
    <w:p w14:paraId="07A33EB5">
      <w:pPr>
        <w:rPr>
          <w:rFonts w:hint="eastAsia" w:ascii="宋体" w:hAnsi="宋体" w:eastAsia="宋体" w:cs="宋体"/>
          <w:b/>
          <w:color w:val="auto"/>
          <w:sz w:val="32"/>
          <w:szCs w:val="32"/>
          <w:highlight w:val="none"/>
        </w:rPr>
      </w:pPr>
      <w:r>
        <w:rPr>
          <w:rFonts w:hint="eastAsia" w:ascii="宋体" w:hAnsi="宋体" w:eastAsia="宋体" w:cs="宋体"/>
          <w:b/>
          <w:color w:val="auto"/>
          <w:spacing w:val="0"/>
          <w:kern w:val="0"/>
          <w:sz w:val="32"/>
          <w:szCs w:val="32"/>
          <w:highlight w:val="none"/>
          <w:fitText w:val="1600" w:id="1764384445"/>
        </w:rPr>
        <w:t>投标人名称</w:t>
      </w:r>
      <w:r>
        <w:rPr>
          <w:rFonts w:hint="eastAsia" w:ascii="宋体" w:hAnsi="宋体" w:eastAsia="宋体" w:cs="宋体"/>
          <w:b/>
          <w:color w:val="auto"/>
          <w:sz w:val="32"/>
          <w:szCs w:val="32"/>
          <w:highlight w:val="none"/>
        </w:rPr>
        <w:t>：</w:t>
      </w:r>
    </w:p>
    <w:p w14:paraId="60E5EEE0">
      <w:pPr>
        <w:rPr>
          <w:rFonts w:hint="eastAsia" w:ascii="宋体" w:hAnsi="宋体" w:eastAsia="宋体" w:cs="宋体"/>
          <w:b/>
          <w:color w:val="auto"/>
          <w:sz w:val="32"/>
          <w:szCs w:val="32"/>
          <w:highlight w:val="none"/>
        </w:rPr>
      </w:pPr>
      <w:r>
        <w:rPr>
          <w:rFonts w:hint="eastAsia" w:ascii="宋体" w:hAnsi="宋体" w:eastAsia="宋体" w:cs="宋体"/>
          <w:b/>
          <w:color w:val="auto"/>
          <w:spacing w:val="32"/>
          <w:kern w:val="0"/>
          <w:sz w:val="32"/>
          <w:szCs w:val="32"/>
          <w:highlight w:val="none"/>
          <w:fitText w:val="1600" w:id="2061173831"/>
        </w:rPr>
        <w:t xml:space="preserve">日    </w:t>
      </w:r>
      <w:r>
        <w:rPr>
          <w:rFonts w:hint="eastAsia" w:ascii="宋体" w:hAnsi="宋体" w:eastAsia="宋体" w:cs="宋体"/>
          <w:b/>
          <w:color w:val="auto"/>
          <w:spacing w:val="0"/>
          <w:kern w:val="0"/>
          <w:sz w:val="32"/>
          <w:szCs w:val="32"/>
          <w:highlight w:val="none"/>
          <w:fitText w:val="1600" w:id="2061173831"/>
        </w:rPr>
        <w:t>期</w:t>
      </w:r>
      <w:r>
        <w:rPr>
          <w:rFonts w:hint="eastAsia" w:ascii="宋体" w:hAnsi="宋体" w:eastAsia="宋体" w:cs="宋体"/>
          <w:b/>
          <w:color w:val="auto"/>
          <w:sz w:val="32"/>
          <w:szCs w:val="32"/>
          <w:highlight w:val="none"/>
        </w:rPr>
        <w:t>：</w:t>
      </w:r>
    </w:p>
    <w:p w14:paraId="469C557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6C3DF5D1">
      <w:pPr>
        <w:pStyle w:val="5"/>
        <w:widowControl w:val="0"/>
        <w:overflowPunct w:val="0"/>
        <w:spacing w:line="240" w:lineRule="auto"/>
        <w:rPr>
          <w:rFonts w:hint="eastAsia" w:ascii="宋体" w:hAnsi="宋体" w:eastAsia="宋体" w:cs="宋体"/>
          <w:color w:val="auto"/>
          <w:sz w:val="21"/>
          <w:szCs w:val="21"/>
          <w:highlight w:val="none"/>
        </w:rPr>
      </w:pPr>
      <w:bookmarkStart w:id="323" w:name="_Toc15451"/>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技术规格偏离表格式</w:t>
      </w:r>
      <w:bookmarkEnd w:id="323"/>
    </w:p>
    <w:p w14:paraId="102697CA">
      <w:pPr>
        <w:jc w:val="center"/>
        <w:rPr>
          <w:rFonts w:hint="eastAsia" w:ascii="宋体" w:hAnsi="宋体" w:eastAsia="宋体" w:cs="宋体"/>
          <w:color w:val="auto"/>
          <w:sz w:val="28"/>
          <w:szCs w:val="28"/>
          <w:highlight w:val="none"/>
        </w:rPr>
      </w:pPr>
    </w:p>
    <w:p w14:paraId="6B4FBF82">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技术规格偏离表</w:t>
      </w:r>
    </w:p>
    <w:tbl>
      <w:tblPr>
        <w:tblStyle w:val="3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902"/>
        <w:gridCol w:w="1370"/>
        <w:gridCol w:w="1629"/>
        <w:gridCol w:w="1239"/>
        <w:gridCol w:w="1544"/>
      </w:tblGrid>
      <w:tr w14:paraId="1AC0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838" w:type="dxa"/>
            <w:vAlign w:val="center"/>
          </w:tcPr>
          <w:p w14:paraId="7949899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902" w:type="dxa"/>
            <w:vAlign w:val="center"/>
          </w:tcPr>
          <w:p w14:paraId="1473829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服务项目名称</w:t>
            </w:r>
          </w:p>
        </w:tc>
        <w:tc>
          <w:tcPr>
            <w:tcW w:w="1370" w:type="dxa"/>
            <w:vAlign w:val="center"/>
          </w:tcPr>
          <w:p w14:paraId="73524A3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采购要求</w:t>
            </w:r>
          </w:p>
        </w:tc>
        <w:tc>
          <w:tcPr>
            <w:tcW w:w="1629" w:type="dxa"/>
            <w:vAlign w:val="center"/>
          </w:tcPr>
          <w:p w14:paraId="783EFBD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投标实际响应</w:t>
            </w:r>
          </w:p>
        </w:tc>
        <w:tc>
          <w:tcPr>
            <w:tcW w:w="1239" w:type="dxa"/>
            <w:vAlign w:val="center"/>
          </w:tcPr>
          <w:p w14:paraId="3E5F16B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是否偏离</w:t>
            </w:r>
          </w:p>
        </w:tc>
        <w:tc>
          <w:tcPr>
            <w:tcW w:w="1544" w:type="dxa"/>
            <w:vAlign w:val="center"/>
          </w:tcPr>
          <w:p w14:paraId="17AFA10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5A60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64F6914F">
            <w:pPr>
              <w:jc w:val="center"/>
              <w:rPr>
                <w:rFonts w:hint="eastAsia" w:ascii="宋体" w:hAnsi="宋体" w:eastAsia="宋体" w:cs="宋体"/>
                <w:color w:val="auto"/>
                <w:szCs w:val="21"/>
                <w:highlight w:val="none"/>
              </w:rPr>
            </w:pPr>
          </w:p>
        </w:tc>
        <w:tc>
          <w:tcPr>
            <w:tcW w:w="1902" w:type="dxa"/>
            <w:vAlign w:val="center"/>
          </w:tcPr>
          <w:p w14:paraId="6D2E6097">
            <w:pPr>
              <w:jc w:val="center"/>
              <w:rPr>
                <w:rFonts w:hint="eastAsia" w:ascii="宋体" w:hAnsi="宋体" w:eastAsia="宋体" w:cs="宋体"/>
                <w:color w:val="auto"/>
                <w:szCs w:val="21"/>
                <w:highlight w:val="none"/>
              </w:rPr>
            </w:pPr>
          </w:p>
        </w:tc>
        <w:tc>
          <w:tcPr>
            <w:tcW w:w="1370" w:type="dxa"/>
            <w:vAlign w:val="center"/>
          </w:tcPr>
          <w:p w14:paraId="62C9C546">
            <w:pPr>
              <w:jc w:val="center"/>
              <w:rPr>
                <w:rFonts w:hint="eastAsia" w:ascii="宋体" w:hAnsi="宋体" w:eastAsia="宋体" w:cs="宋体"/>
                <w:color w:val="auto"/>
                <w:szCs w:val="21"/>
                <w:highlight w:val="none"/>
              </w:rPr>
            </w:pPr>
          </w:p>
        </w:tc>
        <w:tc>
          <w:tcPr>
            <w:tcW w:w="1629" w:type="dxa"/>
            <w:vAlign w:val="center"/>
          </w:tcPr>
          <w:p w14:paraId="0327CE82">
            <w:pPr>
              <w:jc w:val="center"/>
              <w:rPr>
                <w:rFonts w:hint="eastAsia" w:ascii="宋体" w:hAnsi="宋体" w:eastAsia="宋体" w:cs="宋体"/>
                <w:color w:val="auto"/>
                <w:szCs w:val="21"/>
                <w:highlight w:val="none"/>
              </w:rPr>
            </w:pPr>
          </w:p>
        </w:tc>
        <w:tc>
          <w:tcPr>
            <w:tcW w:w="1239" w:type="dxa"/>
            <w:vAlign w:val="center"/>
          </w:tcPr>
          <w:p w14:paraId="3216CB5D">
            <w:pPr>
              <w:jc w:val="center"/>
              <w:rPr>
                <w:rFonts w:hint="eastAsia" w:ascii="宋体" w:hAnsi="宋体" w:eastAsia="宋体" w:cs="宋体"/>
                <w:color w:val="auto"/>
                <w:szCs w:val="21"/>
                <w:highlight w:val="none"/>
              </w:rPr>
            </w:pPr>
          </w:p>
        </w:tc>
        <w:tc>
          <w:tcPr>
            <w:tcW w:w="1544" w:type="dxa"/>
            <w:vAlign w:val="center"/>
          </w:tcPr>
          <w:p w14:paraId="4624702B">
            <w:pPr>
              <w:jc w:val="center"/>
              <w:rPr>
                <w:rFonts w:hint="eastAsia" w:ascii="宋体" w:hAnsi="宋体" w:eastAsia="宋体" w:cs="宋体"/>
                <w:color w:val="auto"/>
                <w:szCs w:val="21"/>
                <w:highlight w:val="none"/>
              </w:rPr>
            </w:pPr>
          </w:p>
        </w:tc>
      </w:tr>
      <w:tr w14:paraId="287BC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2C523F51">
            <w:pPr>
              <w:jc w:val="center"/>
              <w:rPr>
                <w:rFonts w:hint="eastAsia" w:ascii="宋体" w:hAnsi="宋体" w:eastAsia="宋体" w:cs="宋体"/>
                <w:color w:val="auto"/>
                <w:szCs w:val="21"/>
                <w:highlight w:val="none"/>
              </w:rPr>
            </w:pPr>
          </w:p>
        </w:tc>
        <w:tc>
          <w:tcPr>
            <w:tcW w:w="1902" w:type="dxa"/>
            <w:vAlign w:val="center"/>
          </w:tcPr>
          <w:p w14:paraId="02D8D9F9">
            <w:pPr>
              <w:jc w:val="center"/>
              <w:rPr>
                <w:rFonts w:hint="eastAsia" w:ascii="宋体" w:hAnsi="宋体" w:eastAsia="宋体" w:cs="宋体"/>
                <w:color w:val="auto"/>
                <w:szCs w:val="21"/>
                <w:highlight w:val="none"/>
              </w:rPr>
            </w:pPr>
          </w:p>
        </w:tc>
        <w:tc>
          <w:tcPr>
            <w:tcW w:w="1370" w:type="dxa"/>
            <w:vAlign w:val="center"/>
          </w:tcPr>
          <w:p w14:paraId="21ED4F45">
            <w:pPr>
              <w:jc w:val="center"/>
              <w:rPr>
                <w:rFonts w:hint="eastAsia" w:ascii="宋体" w:hAnsi="宋体" w:eastAsia="宋体" w:cs="宋体"/>
                <w:color w:val="auto"/>
                <w:szCs w:val="21"/>
                <w:highlight w:val="none"/>
              </w:rPr>
            </w:pPr>
          </w:p>
        </w:tc>
        <w:tc>
          <w:tcPr>
            <w:tcW w:w="1629" w:type="dxa"/>
            <w:vAlign w:val="center"/>
          </w:tcPr>
          <w:p w14:paraId="06C75F1F">
            <w:pPr>
              <w:jc w:val="center"/>
              <w:rPr>
                <w:rFonts w:hint="eastAsia" w:ascii="宋体" w:hAnsi="宋体" w:eastAsia="宋体" w:cs="宋体"/>
                <w:color w:val="auto"/>
                <w:szCs w:val="21"/>
                <w:highlight w:val="none"/>
              </w:rPr>
            </w:pPr>
          </w:p>
        </w:tc>
        <w:tc>
          <w:tcPr>
            <w:tcW w:w="1239" w:type="dxa"/>
            <w:vAlign w:val="center"/>
          </w:tcPr>
          <w:p w14:paraId="08215777">
            <w:pPr>
              <w:jc w:val="center"/>
              <w:rPr>
                <w:rFonts w:hint="eastAsia" w:ascii="宋体" w:hAnsi="宋体" w:eastAsia="宋体" w:cs="宋体"/>
                <w:color w:val="auto"/>
                <w:szCs w:val="21"/>
                <w:highlight w:val="none"/>
              </w:rPr>
            </w:pPr>
          </w:p>
        </w:tc>
        <w:tc>
          <w:tcPr>
            <w:tcW w:w="1544" w:type="dxa"/>
            <w:vAlign w:val="center"/>
          </w:tcPr>
          <w:p w14:paraId="38243F8A">
            <w:pPr>
              <w:jc w:val="center"/>
              <w:rPr>
                <w:rFonts w:hint="eastAsia" w:ascii="宋体" w:hAnsi="宋体" w:eastAsia="宋体" w:cs="宋体"/>
                <w:color w:val="auto"/>
                <w:szCs w:val="21"/>
                <w:highlight w:val="none"/>
              </w:rPr>
            </w:pPr>
          </w:p>
        </w:tc>
      </w:tr>
      <w:tr w14:paraId="4F1D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5C60E3A1">
            <w:pPr>
              <w:jc w:val="center"/>
              <w:rPr>
                <w:rFonts w:hint="eastAsia" w:ascii="宋体" w:hAnsi="宋体" w:eastAsia="宋体" w:cs="宋体"/>
                <w:color w:val="auto"/>
                <w:szCs w:val="21"/>
                <w:highlight w:val="none"/>
              </w:rPr>
            </w:pPr>
          </w:p>
        </w:tc>
        <w:tc>
          <w:tcPr>
            <w:tcW w:w="1902" w:type="dxa"/>
            <w:vAlign w:val="center"/>
          </w:tcPr>
          <w:p w14:paraId="539CD21F">
            <w:pPr>
              <w:jc w:val="center"/>
              <w:rPr>
                <w:rFonts w:hint="eastAsia" w:ascii="宋体" w:hAnsi="宋体" w:eastAsia="宋体" w:cs="宋体"/>
                <w:color w:val="auto"/>
                <w:szCs w:val="21"/>
                <w:highlight w:val="none"/>
              </w:rPr>
            </w:pPr>
          </w:p>
        </w:tc>
        <w:tc>
          <w:tcPr>
            <w:tcW w:w="1370" w:type="dxa"/>
            <w:vAlign w:val="center"/>
          </w:tcPr>
          <w:p w14:paraId="488D809A">
            <w:pPr>
              <w:jc w:val="center"/>
              <w:rPr>
                <w:rFonts w:hint="eastAsia" w:ascii="宋体" w:hAnsi="宋体" w:eastAsia="宋体" w:cs="宋体"/>
                <w:color w:val="auto"/>
                <w:szCs w:val="21"/>
                <w:highlight w:val="none"/>
              </w:rPr>
            </w:pPr>
          </w:p>
        </w:tc>
        <w:tc>
          <w:tcPr>
            <w:tcW w:w="1629" w:type="dxa"/>
            <w:vAlign w:val="center"/>
          </w:tcPr>
          <w:p w14:paraId="35EE9F67">
            <w:pPr>
              <w:jc w:val="center"/>
              <w:rPr>
                <w:rFonts w:hint="eastAsia" w:ascii="宋体" w:hAnsi="宋体" w:eastAsia="宋体" w:cs="宋体"/>
                <w:color w:val="auto"/>
                <w:szCs w:val="21"/>
                <w:highlight w:val="none"/>
              </w:rPr>
            </w:pPr>
          </w:p>
        </w:tc>
        <w:tc>
          <w:tcPr>
            <w:tcW w:w="1239" w:type="dxa"/>
            <w:vAlign w:val="center"/>
          </w:tcPr>
          <w:p w14:paraId="65529EF4">
            <w:pPr>
              <w:jc w:val="center"/>
              <w:rPr>
                <w:rFonts w:hint="eastAsia" w:ascii="宋体" w:hAnsi="宋体" w:eastAsia="宋体" w:cs="宋体"/>
                <w:color w:val="auto"/>
                <w:szCs w:val="21"/>
                <w:highlight w:val="none"/>
              </w:rPr>
            </w:pPr>
          </w:p>
        </w:tc>
        <w:tc>
          <w:tcPr>
            <w:tcW w:w="1544" w:type="dxa"/>
            <w:vAlign w:val="center"/>
          </w:tcPr>
          <w:p w14:paraId="28E1F94A">
            <w:pPr>
              <w:jc w:val="center"/>
              <w:rPr>
                <w:rFonts w:hint="eastAsia" w:ascii="宋体" w:hAnsi="宋体" w:eastAsia="宋体" w:cs="宋体"/>
                <w:color w:val="auto"/>
                <w:szCs w:val="21"/>
                <w:highlight w:val="none"/>
              </w:rPr>
            </w:pPr>
          </w:p>
        </w:tc>
      </w:tr>
      <w:tr w14:paraId="586C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17EE75D4">
            <w:pPr>
              <w:jc w:val="center"/>
              <w:rPr>
                <w:rFonts w:hint="eastAsia" w:ascii="宋体" w:hAnsi="宋体" w:eastAsia="宋体" w:cs="宋体"/>
                <w:color w:val="auto"/>
                <w:szCs w:val="21"/>
                <w:highlight w:val="none"/>
              </w:rPr>
            </w:pPr>
          </w:p>
        </w:tc>
        <w:tc>
          <w:tcPr>
            <w:tcW w:w="1902" w:type="dxa"/>
            <w:vAlign w:val="center"/>
          </w:tcPr>
          <w:p w14:paraId="572E8FA3">
            <w:pPr>
              <w:jc w:val="center"/>
              <w:rPr>
                <w:rFonts w:hint="eastAsia" w:ascii="宋体" w:hAnsi="宋体" w:eastAsia="宋体" w:cs="宋体"/>
                <w:color w:val="auto"/>
                <w:szCs w:val="21"/>
                <w:highlight w:val="none"/>
              </w:rPr>
            </w:pPr>
          </w:p>
        </w:tc>
        <w:tc>
          <w:tcPr>
            <w:tcW w:w="1370" w:type="dxa"/>
            <w:vAlign w:val="center"/>
          </w:tcPr>
          <w:p w14:paraId="1A93D0A0">
            <w:pPr>
              <w:jc w:val="center"/>
              <w:rPr>
                <w:rFonts w:hint="eastAsia" w:ascii="宋体" w:hAnsi="宋体" w:eastAsia="宋体" w:cs="宋体"/>
                <w:color w:val="auto"/>
                <w:szCs w:val="21"/>
                <w:highlight w:val="none"/>
              </w:rPr>
            </w:pPr>
          </w:p>
        </w:tc>
        <w:tc>
          <w:tcPr>
            <w:tcW w:w="1629" w:type="dxa"/>
            <w:vAlign w:val="center"/>
          </w:tcPr>
          <w:p w14:paraId="032E0D7C">
            <w:pPr>
              <w:jc w:val="center"/>
              <w:rPr>
                <w:rFonts w:hint="eastAsia" w:ascii="宋体" w:hAnsi="宋体" w:eastAsia="宋体" w:cs="宋体"/>
                <w:color w:val="auto"/>
                <w:szCs w:val="21"/>
                <w:highlight w:val="none"/>
              </w:rPr>
            </w:pPr>
          </w:p>
        </w:tc>
        <w:tc>
          <w:tcPr>
            <w:tcW w:w="1239" w:type="dxa"/>
            <w:vAlign w:val="center"/>
          </w:tcPr>
          <w:p w14:paraId="4574BED4">
            <w:pPr>
              <w:jc w:val="center"/>
              <w:rPr>
                <w:rFonts w:hint="eastAsia" w:ascii="宋体" w:hAnsi="宋体" w:eastAsia="宋体" w:cs="宋体"/>
                <w:color w:val="auto"/>
                <w:szCs w:val="21"/>
                <w:highlight w:val="none"/>
              </w:rPr>
            </w:pPr>
          </w:p>
        </w:tc>
        <w:tc>
          <w:tcPr>
            <w:tcW w:w="1544" w:type="dxa"/>
            <w:vAlign w:val="center"/>
          </w:tcPr>
          <w:p w14:paraId="2E4C9AA5">
            <w:pPr>
              <w:jc w:val="center"/>
              <w:rPr>
                <w:rFonts w:hint="eastAsia" w:ascii="宋体" w:hAnsi="宋体" w:eastAsia="宋体" w:cs="宋体"/>
                <w:color w:val="auto"/>
                <w:szCs w:val="21"/>
                <w:highlight w:val="none"/>
              </w:rPr>
            </w:pPr>
          </w:p>
        </w:tc>
      </w:tr>
      <w:tr w14:paraId="1F91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0C9B6D94">
            <w:pPr>
              <w:jc w:val="center"/>
              <w:rPr>
                <w:rFonts w:hint="eastAsia" w:ascii="宋体" w:hAnsi="宋体" w:eastAsia="宋体" w:cs="宋体"/>
                <w:color w:val="auto"/>
                <w:szCs w:val="21"/>
                <w:highlight w:val="none"/>
              </w:rPr>
            </w:pPr>
          </w:p>
        </w:tc>
        <w:tc>
          <w:tcPr>
            <w:tcW w:w="1902" w:type="dxa"/>
            <w:vAlign w:val="center"/>
          </w:tcPr>
          <w:p w14:paraId="622B9146">
            <w:pPr>
              <w:jc w:val="center"/>
              <w:rPr>
                <w:rFonts w:hint="eastAsia" w:ascii="宋体" w:hAnsi="宋体" w:eastAsia="宋体" w:cs="宋体"/>
                <w:color w:val="auto"/>
                <w:szCs w:val="21"/>
                <w:highlight w:val="none"/>
              </w:rPr>
            </w:pPr>
          </w:p>
        </w:tc>
        <w:tc>
          <w:tcPr>
            <w:tcW w:w="1370" w:type="dxa"/>
            <w:vAlign w:val="center"/>
          </w:tcPr>
          <w:p w14:paraId="238FF9A6">
            <w:pPr>
              <w:jc w:val="center"/>
              <w:rPr>
                <w:rFonts w:hint="eastAsia" w:ascii="宋体" w:hAnsi="宋体" w:eastAsia="宋体" w:cs="宋体"/>
                <w:color w:val="auto"/>
                <w:szCs w:val="21"/>
                <w:highlight w:val="none"/>
              </w:rPr>
            </w:pPr>
          </w:p>
        </w:tc>
        <w:tc>
          <w:tcPr>
            <w:tcW w:w="1629" w:type="dxa"/>
            <w:vAlign w:val="center"/>
          </w:tcPr>
          <w:p w14:paraId="6A4D13EB">
            <w:pPr>
              <w:jc w:val="center"/>
              <w:rPr>
                <w:rFonts w:hint="eastAsia" w:ascii="宋体" w:hAnsi="宋体" w:eastAsia="宋体" w:cs="宋体"/>
                <w:color w:val="auto"/>
                <w:szCs w:val="21"/>
                <w:highlight w:val="none"/>
              </w:rPr>
            </w:pPr>
          </w:p>
        </w:tc>
        <w:tc>
          <w:tcPr>
            <w:tcW w:w="1239" w:type="dxa"/>
            <w:vAlign w:val="center"/>
          </w:tcPr>
          <w:p w14:paraId="743D52F4">
            <w:pPr>
              <w:jc w:val="center"/>
              <w:rPr>
                <w:rFonts w:hint="eastAsia" w:ascii="宋体" w:hAnsi="宋体" w:eastAsia="宋体" w:cs="宋体"/>
                <w:color w:val="auto"/>
                <w:szCs w:val="21"/>
                <w:highlight w:val="none"/>
              </w:rPr>
            </w:pPr>
          </w:p>
        </w:tc>
        <w:tc>
          <w:tcPr>
            <w:tcW w:w="1544" w:type="dxa"/>
            <w:vAlign w:val="center"/>
          </w:tcPr>
          <w:p w14:paraId="78EC40BB">
            <w:pPr>
              <w:jc w:val="center"/>
              <w:rPr>
                <w:rFonts w:hint="eastAsia" w:ascii="宋体" w:hAnsi="宋体" w:eastAsia="宋体" w:cs="宋体"/>
                <w:color w:val="auto"/>
                <w:szCs w:val="21"/>
                <w:highlight w:val="none"/>
              </w:rPr>
            </w:pPr>
          </w:p>
        </w:tc>
      </w:tr>
      <w:tr w14:paraId="1EB2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4B346C65">
            <w:pPr>
              <w:jc w:val="center"/>
              <w:rPr>
                <w:rFonts w:hint="eastAsia" w:ascii="宋体" w:hAnsi="宋体" w:eastAsia="宋体" w:cs="宋体"/>
                <w:color w:val="auto"/>
                <w:szCs w:val="21"/>
                <w:highlight w:val="none"/>
              </w:rPr>
            </w:pPr>
          </w:p>
        </w:tc>
        <w:tc>
          <w:tcPr>
            <w:tcW w:w="1902" w:type="dxa"/>
            <w:vAlign w:val="center"/>
          </w:tcPr>
          <w:p w14:paraId="679AFC47">
            <w:pPr>
              <w:jc w:val="center"/>
              <w:rPr>
                <w:rFonts w:hint="eastAsia" w:ascii="宋体" w:hAnsi="宋体" w:eastAsia="宋体" w:cs="宋体"/>
                <w:color w:val="auto"/>
                <w:szCs w:val="21"/>
                <w:highlight w:val="none"/>
              </w:rPr>
            </w:pPr>
          </w:p>
        </w:tc>
        <w:tc>
          <w:tcPr>
            <w:tcW w:w="1370" w:type="dxa"/>
            <w:vAlign w:val="center"/>
          </w:tcPr>
          <w:p w14:paraId="0D110D65">
            <w:pPr>
              <w:jc w:val="center"/>
              <w:rPr>
                <w:rFonts w:hint="eastAsia" w:ascii="宋体" w:hAnsi="宋体" w:eastAsia="宋体" w:cs="宋体"/>
                <w:color w:val="auto"/>
                <w:szCs w:val="21"/>
                <w:highlight w:val="none"/>
              </w:rPr>
            </w:pPr>
          </w:p>
        </w:tc>
        <w:tc>
          <w:tcPr>
            <w:tcW w:w="1629" w:type="dxa"/>
            <w:vAlign w:val="center"/>
          </w:tcPr>
          <w:p w14:paraId="068EBE68">
            <w:pPr>
              <w:jc w:val="center"/>
              <w:rPr>
                <w:rFonts w:hint="eastAsia" w:ascii="宋体" w:hAnsi="宋体" w:eastAsia="宋体" w:cs="宋体"/>
                <w:color w:val="auto"/>
                <w:szCs w:val="21"/>
                <w:highlight w:val="none"/>
              </w:rPr>
            </w:pPr>
          </w:p>
        </w:tc>
        <w:tc>
          <w:tcPr>
            <w:tcW w:w="1239" w:type="dxa"/>
            <w:vAlign w:val="center"/>
          </w:tcPr>
          <w:p w14:paraId="45D956FD">
            <w:pPr>
              <w:jc w:val="center"/>
              <w:rPr>
                <w:rFonts w:hint="eastAsia" w:ascii="宋体" w:hAnsi="宋体" w:eastAsia="宋体" w:cs="宋体"/>
                <w:color w:val="auto"/>
                <w:szCs w:val="21"/>
                <w:highlight w:val="none"/>
              </w:rPr>
            </w:pPr>
          </w:p>
        </w:tc>
        <w:tc>
          <w:tcPr>
            <w:tcW w:w="1544" w:type="dxa"/>
            <w:vAlign w:val="center"/>
          </w:tcPr>
          <w:p w14:paraId="0092A948">
            <w:pPr>
              <w:jc w:val="center"/>
              <w:rPr>
                <w:rFonts w:hint="eastAsia" w:ascii="宋体" w:hAnsi="宋体" w:eastAsia="宋体" w:cs="宋体"/>
                <w:color w:val="auto"/>
                <w:szCs w:val="21"/>
                <w:highlight w:val="none"/>
              </w:rPr>
            </w:pPr>
          </w:p>
        </w:tc>
      </w:tr>
      <w:tr w14:paraId="61BE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6F13EE10">
            <w:pPr>
              <w:jc w:val="center"/>
              <w:rPr>
                <w:rFonts w:hint="eastAsia" w:ascii="宋体" w:hAnsi="宋体" w:eastAsia="宋体" w:cs="宋体"/>
                <w:color w:val="auto"/>
                <w:szCs w:val="21"/>
                <w:highlight w:val="none"/>
              </w:rPr>
            </w:pPr>
          </w:p>
        </w:tc>
        <w:tc>
          <w:tcPr>
            <w:tcW w:w="1902" w:type="dxa"/>
            <w:vAlign w:val="center"/>
          </w:tcPr>
          <w:p w14:paraId="632466EA">
            <w:pPr>
              <w:jc w:val="center"/>
              <w:rPr>
                <w:rFonts w:hint="eastAsia" w:ascii="宋体" w:hAnsi="宋体" w:eastAsia="宋体" w:cs="宋体"/>
                <w:color w:val="auto"/>
                <w:szCs w:val="21"/>
                <w:highlight w:val="none"/>
              </w:rPr>
            </w:pPr>
          </w:p>
        </w:tc>
        <w:tc>
          <w:tcPr>
            <w:tcW w:w="1370" w:type="dxa"/>
            <w:vAlign w:val="center"/>
          </w:tcPr>
          <w:p w14:paraId="3B1AE1F0">
            <w:pPr>
              <w:jc w:val="center"/>
              <w:rPr>
                <w:rFonts w:hint="eastAsia" w:ascii="宋体" w:hAnsi="宋体" w:eastAsia="宋体" w:cs="宋体"/>
                <w:color w:val="auto"/>
                <w:szCs w:val="21"/>
                <w:highlight w:val="none"/>
              </w:rPr>
            </w:pPr>
          </w:p>
        </w:tc>
        <w:tc>
          <w:tcPr>
            <w:tcW w:w="1629" w:type="dxa"/>
            <w:vAlign w:val="center"/>
          </w:tcPr>
          <w:p w14:paraId="77ADD3F2">
            <w:pPr>
              <w:jc w:val="center"/>
              <w:rPr>
                <w:rFonts w:hint="eastAsia" w:ascii="宋体" w:hAnsi="宋体" w:eastAsia="宋体" w:cs="宋体"/>
                <w:color w:val="auto"/>
                <w:szCs w:val="21"/>
                <w:highlight w:val="none"/>
              </w:rPr>
            </w:pPr>
          </w:p>
        </w:tc>
        <w:tc>
          <w:tcPr>
            <w:tcW w:w="1239" w:type="dxa"/>
            <w:vAlign w:val="center"/>
          </w:tcPr>
          <w:p w14:paraId="002AC36A">
            <w:pPr>
              <w:jc w:val="center"/>
              <w:rPr>
                <w:rFonts w:hint="eastAsia" w:ascii="宋体" w:hAnsi="宋体" w:eastAsia="宋体" w:cs="宋体"/>
                <w:color w:val="auto"/>
                <w:szCs w:val="21"/>
                <w:highlight w:val="none"/>
              </w:rPr>
            </w:pPr>
          </w:p>
        </w:tc>
        <w:tc>
          <w:tcPr>
            <w:tcW w:w="1544" w:type="dxa"/>
            <w:vAlign w:val="center"/>
          </w:tcPr>
          <w:p w14:paraId="6153ED0C">
            <w:pPr>
              <w:jc w:val="center"/>
              <w:rPr>
                <w:rFonts w:hint="eastAsia" w:ascii="宋体" w:hAnsi="宋体" w:eastAsia="宋体" w:cs="宋体"/>
                <w:color w:val="auto"/>
                <w:szCs w:val="21"/>
                <w:highlight w:val="none"/>
              </w:rPr>
            </w:pPr>
          </w:p>
        </w:tc>
      </w:tr>
      <w:tr w14:paraId="4CD2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5AA49FF1">
            <w:pPr>
              <w:jc w:val="center"/>
              <w:rPr>
                <w:rFonts w:hint="eastAsia" w:ascii="宋体" w:hAnsi="宋体" w:eastAsia="宋体" w:cs="宋体"/>
                <w:color w:val="auto"/>
                <w:szCs w:val="21"/>
                <w:highlight w:val="none"/>
              </w:rPr>
            </w:pPr>
          </w:p>
        </w:tc>
        <w:tc>
          <w:tcPr>
            <w:tcW w:w="1902" w:type="dxa"/>
            <w:vAlign w:val="center"/>
          </w:tcPr>
          <w:p w14:paraId="4B6520F9">
            <w:pPr>
              <w:jc w:val="center"/>
              <w:rPr>
                <w:rFonts w:hint="eastAsia" w:ascii="宋体" w:hAnsi="宋体" w:eastAsia="宋体" w:cs="宋体"/>
                <w:color w:val="auto"/>
                <w:szCs w:val="21"/>
                <w:highlight w:val="none"/>
              </w:rPr>
            </w:pPr>
          </w:p>
        </w:tc>
        <w:tc>
          <w:tcPr>
            <w:tcW w:w="1370" w:type="dxa"/>
            <w:vAlign w:val="center"/>
          </w:tcPr>
          <w:p w14:paraId="68F882FE">
            <w:pPr>
              <w:jc w:val="center"/>
              <w:rPr>
                <w:rFonts w:hint="eastAsia" w:ascii="宋体" w:hAnsi="宋体" w:eastAsia="宋体" w:cs="宋体"/>
                <w:color w:val="auto"/>
                <w:szCs w:val="21"/>
                <w:highlight w:val="none"/>
              </w:rPr>
            </w:pPr>
          </w:p>
        </w:tc>
        <w:tc>
          <w:tcPr>
            <w:tcW w:w="1629" w:type="dxa"/>
            <w:vAlign w:val="center"/>
          </w:tcPr>
          <w:p w14:paraId="20F2F6F5">
            <w:pPr>
              <w:jc w:val="center"/>
              <w:rPr>
                <w:rFonts w:hint="eastAsia" w:ascii="宋体" w:hAnsi="宋体" w:eastAsia="宋体" w:cs="宋体"/>
                <w:color w:val="auto"/>
                <w:szCs w:val="21"/>
                <w:highlight w:val="none"/>
              </w:rPr>
            </w:pPr>
          </w:p>
        </w:tc>
        <w:tc>
          <w:tcPr>
            <w:tcW w:w="1239" w:type="dxa"/>
            <w:vAlign w:val="center"/>
          </w:tcPr>
          <w:p w14:paraId="281F87C5">
            <w:pPr>
              <w:jc w:val="center"/>
              <w:rPr>
                <w:rFonts w:hint="eastAsia" w:ascii="宋体" w:hAnsi="宋体" w:eastAsia="宋体" w:cs="宋体"/>
                <w:color w:val="auto"/>
                <w:szCs w:val="21"/>
                <w:highlight w:val="none"/>
              </w:rPr>
            </w:pPr>
          </w:p>
        </w:tc>
        <w:tc>
          <w:tcPr>
            <w:tcW w:w="1544" w:type="dxa"/>
            <w:vAlign w:val="center"/>
          </w:tcPr>
          <w:p w14:paraId="5C5965EA">
            <w:pPr>
              <w:jc w:val="center"/>
              <w:rPr>
                <w:rFonts w:hint="eastAsia" w:ascii="宋体" w:hAnsi="宋体" w:eastAsia="宋体" w:cs="宋体"/>
                <w:color w:val="auto"/>
                <w:szCs w:val="21"/>
                <w:highlight w:val="none"/>
              </w:rPr>
            </w:pPr>
          </w:p>
        </w:tc>
      </w:tr>
      <w:tr w14:paraId="6613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2A283DCA">
            <w:pPr>
              <w:jc w:val="center"/>
              <w:rPr>
                <w:rFonts w:hint="eastAsia" w:ascii="宋体" w:hAnsi="宋体" w:eastAsia="宋体" w:cs="宋体"/>
                <w:color w:val="auto"/>
                <w:szCs w:val="21"/>
                <w:highlight w:val="none"/>
              </w:rPr>
            </w:pPr>
          </w:p>
        </w:tc>
        <w:tc>
          <w:tcPr>
            <w:tcW w:w="1902" w:type="dxa"/>
            <w:vAlign w:val="center"/>
          </w:tcPr>
          <w:p w14:paraId="5CD32900">
            <w:pPr>
              <w:jc w:val="center"/>
              <w:rPr>
                <w:rFonts w:hint="eastAsia" w:ascii="宋体" w:hAnsi="宋体" w:eastAsia="宋体" w:cs="宋体"/>
                <w:color w:val="auto"/>
                <w:szCs w:val="21"/>
                <w:highlight w:val="none"/>
              </w:rPr>
            </w:pPr>
          </w:p>
        </w:tc>
        <w:tc>
          <w:tcPr>
            <w:tcW w:w="1370" w:type="dxa"/>
            <w:vAlign w:val="center"/>
          </w:tcPr>
          <w:p w14:paraId="760E2090">
            <w:pPr>
              <w:jc w:val="center"/>
              <w:rPr>
                <w:rFonts w:hint="eastAsia" w:ascii="宋体" w:hAnsi="宋体" w:eastAsia="宋体" w:cs="宋体"/>
                <w:color w:val="auto"/>
                <w:szCs w:val="21"/>
                <w:highlight w:val="none"/>
              </w:rPr>
            </w:pPr>
          </w:p>
        </w:tc>
        <w:tc>
          <w:tcPr>
            <w:tcW w:w="1629" w:type="dxa"/>
            <w:vAlign w:val="center"/>
          </w:tcPr>
          <w:p w14:paraId="57FAD942">
            <w:pPr>
              <w:jc w:val="center"/>
              <w:rPr>
                <w:rFonts w:hint="eastAsia" w:ascii="宋体" w:hAnsi="宋体" w:eastAsia="宋体" w:cs="宋体"/>
                <w:color w:val="auto"/>
                <w:szCs w:val="21"/>
                <w:highlight w:val="none"/>
              </w:rPr>
            </w:pPr>
          </w:p>
        </w:tc>
        <w:tc>
          <w:tcPr>
            <w:tcW w:w="1239" w:type="dxa"/>
            <w:vAlign w:val="center"/>
          </w:tcPr>
          <w:p w14:paraId="3CE60DB3">
            <w:pPr>
              <w:jc w:val="center"/>
              <w:rPr>
                <w:rFonts w:hint="eastAsia" w:ascii="宋体" w:hAnsi="宋体" w:eastAsia="宋体" w:cs="宋体"/>
                <w:color w:val="auto"/>
                <w:szCs w:val="21"/>
                <w:highlight w:val="none"/>
              </w:rPr>
            </w:pPr>
          </w:p>
        </w:tc>
        <w:tc>
          <w:tcPr>
            <w:tcW w:w="1544" w:type="dxa"/>
            <w:vAlign w:val="center"/>
          </w:tcPr>
          <w:p w14:paraId="59A09BBC">
            <w:pPr>
              <w:jc w:val="center"/>
              <w:rPr>
                <w:rFonts w:hint="eastAsia" w:ascii="宋体" w:hAnsi="宋体" w:eastAsia="宋体" w:cs="宋体"/>
                <w:color w:val="auto"/>
                <w:szCs w:val="21"/>
                <w:highlight w:val="none"/>
              </w:rPr>
            </w:pPr>
          </w:p>
        </w:tc>
      </w:tr>
      <w:tr w14:paraId="333F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4CF34DD8">
            <w:pPr>
              <w:jc w:val="center"/>
              <w:rPr>
                <w:rFonts w:hint="eastAsia" w:ascii="宋体" w:hAnsi="宋体" w:eastAsia="宋体" w:cs="宋体"/>
                <w:color w:val="auto"/>
                <w:szCs w:val="21"/>
                <w:highlight w:val="none"/>
              </w:rPr>
            </w:pPr>
          </w:p>
        </w:tc>
        <w:tc>
          <w:tcPr>
            <w:tcW w:w="1902" w:type="dxa"/>
            <w:vAlign w:val="center"/>
          </w:tcPr>
          <w:p w14:paraId="4FB0BFEC">
            <w:pPr>
              <w:jc w:val="center"/>
              <w:rPr>
                <w:rFonts w:hint="eastAsia" w:ascii="宋体" w:hAnsi="宋体" w:eastAsia="宋体" w:cs="宋体"/>
                <w:color w:val="auto"/>
                <w:szCs w:val="21"/>
                <w:highlight w:val="none"/>
              </w:rPr>
            </w:pPr>
          </w:p>
        </w:tc>
        <w:tc>
          <w:tcPr>
            <w:tcW w:w="1370" w:type="dxa"/>
            <w:vAlign w:val="center"/>
          </w:tcPr>
          <w:p w14:paraId="209D5655">
            <w:pPr>
              <w:jc w:val="center"/>
              <w:rPr>
                <w:rFonts w:hint="eastAsia" w:ascii="宋体" w:hAnsi="宋体" w:eastAsia="宋体" w:cs="宋体"/>
                <w:color w:val="auto"/>
                <w:szCs w:val="21"/>
                <w:highlight w:val="none"/>
              </w:rPr>
            </w:pPr>
          </w:p>
        </w:tc>
        <w:tc>
          <w:tcPr>
            <w:tcW w:w="1629" w:type="dxa"/>
            <w:vAlign w:val="center"/>
          </w:tcPr>
          <w:p w14:paraId="721DBB9B">
            <w:pPr>
              <w:jc w:val="center"/>
              <w:rPr>
                <w:rFonts w:hint="eastAsia" w:ascii="宋体" w:hAnsi="宋体" w:eastAsia="宋体" w:cs="宋体"/>
                <w:color w:val="auto"/>
                <w:szCs w:val="21"/>
                <w:highlight w:val="none"/>
              </w:rPr>
            </w:pPr>
          </w:p>
        </w:tc>
        <w:tc>
          <w:tcPr>
            <w:tcW w:w="1239" w:type="dxa"/>
            <w:vAlign w:val="center"/>
          </w:tcPr>
          <w:p w14:paraId="5022EFE9">
            <w:pPr>
              <w:jc w:val="center"/>
              <w:rPr>
                <w:rFonts w:hint="eastAsia" w:ascii="宋体" w:hAnsi="宋体" w:eastAsia="宋体" w:cs="宋体"/>
                <w:color w:val="auto"/>
                <w:szCs w:val="21"/>
                <w:highlight w:val="none"/>
              </w:rPr>
            </w:pPr>
          </w:p>
        </w:tc>
        <w:tc>
          <w:tcPr>
            <w:tcW w:w="1544" w:type="dxa"/>
            <w:vAlign w:val="center"/>
          </w:tcPr>
          <w:p w14:paraId="0CE30D74">
            <w:pPr>
              <w:jc w:val="center"/>
              <w:rPr>
                <w:rFonts w:hint="eastAsia" w:ascii="宋体" w:hAnsi="宋体" w:eastAsia="宋体" w:cs="宋体"/>
                <w:color w:val="auto"/>
                <w:szCs w:val="21"/>
                <w:highlight w:val="none"/>
              </w:rPr>
            </w:pPr>
          </w:p>
        </w:tc>
      </w:tr>
    </w:tbl>
    <w:p w14:paraId="64E66088">
      <w:pPr>
        <w:rPr>
          <w:rFonts w:hint="eastAsia" w:ascii="宋体" w:hAnsi="宋体" w:eastAsia="宋体" w:cs="宋体"/>
          <w:color w:val="auto"/>
          <w:szCs w:val="21"/>
          <w:highlight w:val="none"/>
        </w:rPr>
      </w:pPr>
    </w:p>
    <w:p w14:paraId="246D489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7C3AFF1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742C6F2A">
      <w:pPr>
        <w:ind w:firstLine="178" w:firstLineChars="85"/>
        <w:rPr>
          <w:rFonts w:hint="eastAsia" w:ascii="宋体" w:hAnsi="宋体" w:eastAsia="宋体" w:cs="宋体"/>
          <w:color w:val="auto"/>
          <w:szCs w:val="21"/>
          <w:highlight w:val="none"/>
        </w:rPr>
      </w:pPr>
    </w:p>
    <w:p w14:paraId="7919439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525AAB1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应对照采购文件技术需求书中技术规格，说明所提供服务已对采购文件的技术规格做出了实质性的响应，并申明与技术规格条文的偏差和例外。特别对有具体参数要求的指标，投标人必须提供所投设备的具体参数值。</w:t>
      </w:r>
    </w:p>
    <w:p w14:paraId="650D736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论出于何种原因此表未填写完整，投标人都被认为已清楚了解采购文件“技术需求书”的内容并对采购人所需的服务要求作全面响应，投标人必须承担完成“技术需求书”所描述内容的义务，因此对投标人投标产生负面影响的，投标人自行承担后果。</w:t>
      </w:r>
    </w:p>
    <w:p w14:paraId="72E1DB9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3、如有偏离，应在“偏离情况”栏内注明“正”、“负”或“无”，并在“说明”栏内予以说明。</w:t>
      </w:r>
    </w:p>
    <w:p w14:paraId="5F53386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4、如投标人差异内容较多可另附页说明。</w:t>
      </w:r>
    </w:p>
    <w:p w14:paraId="28666F7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5、如投标人对用户需求书商务要求的条款全部响应的，也可以在表格下面用文字总括性的说明。</w:t>
      </w:r>
    </w:p>
    <w:p w14:paraId="228C125D">
      <w:pPr>
        <w:adjustRightInd/>
        <w:snapToGrid/>
        <w:spacing w:line="276" w:lineRule="auto"/>
        <w:rPr>
          <w:rFonts w:hint="eastAsia" w:ascii="宋体" w:hAnsi="宋体" w:eastAsia="宋体" w:cs="宋体"/>
          <w:color w:val="auto"/>
          <w:highlight w:val="none"/>
        </w:rPr>
      </w:pPr>
    </w:p>
    <w:p w14:paraId="110F7FD8">
      <w:pPr>
        <w:adjustRightInd/>
        <w:snapToGrid/>
        <w:spacing w:line="276" w:lineRule="auto"/>
        <w:rPr>
          <w:rFonts w:hint="eastAsia" w:ascii="宋体" w:hAnsi="宋体" w:eastAsia="宋体" w:cs="宋体"/>
          <w:color w:val="auto"/>
          <w:highlight w:val="none"/>
        </w:rPr>
      </w:pPr>
    </w:p>
    <w:p w14:paraId="07603F41">
      <w:pPr>
        <w:rPr>
          <w:rFonts w:hint="eastAsia" w:ascii="宋体" w:hAnsi="宋体" w:eastAsia="宋体" w:cs="宋体"/>
          <w:color w:val="auto"/>
          <w:szCs w:val="21"/>
          <w:highlight w:val="none"/>
        </w:rPr>
      </w:pPr>
      <w:bookmarkStart w:id="324" w:name="_Toc17691"/>
      <w:r>
        <w:rPr>
          <w:rFonts w:hint="eastAsia" w:ascii="宋体" w:hAnsi="宋体" w:eastAsia="宋体" w:cs="宋体"/>
          <w:color w:val="auto"/>
          <w:szCs w:val="21"/>
          <w:highlight w:val="none"/>
        </w:rPr>
        <w:br w:type="page"/>
      </w:r>
    </w:p>
    <w:bookmarkEnd w:id="324"/>
    <w:p w14:paraId="1DFE1420">
      <w:pPr>
        <w:pStyle w:val="5"/>
        <w:widowControl w:val="0"/>
        <w:overflowPunct w:val="0"/>
        <w:spacing w:line="240" w:lineRule="auto"/>
        <w:rPr>
          <w:rFonts w:hint="eastAsia" w:ascii="宋体" w:hAnsi="宋体" w:eastAsia="宋体" w:cs="宋体"/>
          <w:color w:val="auto"/>
          <w:sz w:val="21"/>
          <w:szCs w:val="21"/>
          <w:highlight w:val="none"/>
        </w:rPr>
      </w:pPr>
      <w:bookmarkStart w:id="325" w:name="_Toc6149"/>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.项目实施方案格式</w:t>
      </w:r>
      <w:bookmarkEnd w:id="325"/>
    </w:p>
    <w:p w14:paraId="6AD3D5AA">
      <w:pPr>
        <w:jc w:val="center"/>
        <w:rPr>
          <w:rFonts w:hint="eastAsia" w:ascii="宋体" w:hAnsi="宋体" w:eastAsia="宋体" w:cs="宋体"/>
          <w:color w:val="auto"/>
          <w:sz w:val="32"/>
          <w:szCs w:val="32"/>
          <w:highlight w:val="none"/>
        </w:rPr>
      </w:pPr>
    </w:p>
    <w:p w14:paraId="3109594A">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项目实施方案</w:t>
      </w:r>
    </w:p>
    <w:p w14:paraId="3510B8A4">
      <w:pPr>
        <w:jc w:val="center"/>
        <w:rPr>
          <w:rFonts w:hint="eastAsia" w:ascii="宋体" w:hAnsi="宋体" w:eastAsia="宋体" w:cs="宋体"/>
          <w:color w:val="auto"/>
          <w:sz w:val="32"/>
          <w:szCs w:val="32"/>
          <w:highlight w:val="none"/>
        </w:rPr>
      </w:pPr>
    </w:p>
    <w:p w14:paraId="243B29E9">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1、为完成本项目投标人临时投入的设备</w:t>
      </w:r>
    </w:p>
    <w:p w14:paraId="43E525FD">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2、为完成本项目投标人投入的人员以及具体工作安排</w:t>
      </w:r>
    </w:p>
    <w:p w14:paraId="715E58EC">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3、投标人为本项目制定的具体项目实施方案与项目实施流程</w:t>
      </w:r>
    </w:p>
    <w:p w14:paraId="76F899D8">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4、服务方案</w:t>
      </w:r>
    </w:p>
    <w:p w14:paraId="582EA9F5">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p w14:paraId="0AD3B5D5">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自行编写。</w:t>
      </w:r>
    </w:p>
    <w:p w14:paraId="49E61105">
      <w:pPr>
        <w:ind w:left="718" w:leftChars="200" w:hanging="298" w:hangingChars="142"/>
        <w:rPr>
          <w:rFonts w:hint="eastAsia" w:ascii="宋体" w:hAnsi="宋体" w:eastAsia="宋体" w:cs="宋体"/>
          <w:color w:val="auto"/>
          <w:szCs w:val="21"/>
          <w:highlight w:val="none"/>
        </w:rPr>
      </w:pPr>
    </w:p>
    <w:p w14:paraId="22D4003A">
      <w:pPr>
        <w:ind w:left="718" w:leftChars="200" w:hanging="298" w:hangingChars="142"/>
        <w:rPr>
          <w:rFonts w:hint="eastAsia" w:ascii="宋体" w:hAnsi="宋体" w:eastAsia="宋体" w:cs="宋体"/>
          <w:color w:val="auto"/>
          <w:szCs w:val="21"/>
          <w:highlight w:val="none"/>
        </w:rPr>
      </w:pPr>
    </w:p>
    <w:p w14:paraId="459146FC">
      <w:pPr>
        <w:ind w:left="718" w:leftChars="200" w:hanging="298" w:hangingChars="142"/>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5427C062">
      <w:pPr>
        <w:pStyle w:val="5"/>
        <w:widowControl w:val="0"/>
        <w:overflowPunct w:val="0"/>
        <w:spacing w:line="240" w:lineRule="auto"/>
        <w:rPr>
          <w:rFonts w:hint="eastAsia" w:ascii="宋体" w:hAnsi="宋体" w:eastAsia="宋体" w:cs="宋体"/>
          <w:color w:val="auto"/>
          <w:sz w:val="21"/>
          <w:szCs w:val="21"/>
          <w:highlight w:val="none"/>
        </w:rPr>
      </w:pPr>
      <w:bookmarkStart w:id="326" w:name="_Toc11547"/>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.实施本项目的有关人员资料表格式</w:t>
      </w:r>
      <w:bookmarkEnd w:id="326"/>
    </w:p>
    <w:p w14:paraId="4FD08597">
      <w:pPr>
        <w:jc w:val="center"/>
        <w:rPr>
          <w:rFonts w:hint="eastAsia" w:ascii="宋体" w:hAnsi="宋体" w:eastAsia="宋体" w:cs="宋体"/>
          <w:color w:val="auto"/>
          <w:szCs w:val="21"/>
          <w:highlight w:val="none"/>
        </w:rPr>
      </w:pPr>
    </w:p>
    <w:p w14:paraId="4533DC65">
      <w:pPr>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实施本项目的有关人员资料表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684"/>
        <w:gridCol w:w="1812"/>
        <w:gridCol w:w="684"/>
        <w:gridCol w:w="684"/>
        <w:gridCol w:w="1133"/>
        <w:gridCol w:w="796"/>
        <w:gridCol w:w="1133"/>
        <w:gridCol w:w="684"/>
      </w:tblGrid>
      <w:tr w14:paraId="20AF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1D1696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412" w:type="pct"/>
            <w:vAlign w:val="center"/>
          </w:tcPr>
          <w:p w14:paraId="614450F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092" w:type="pct"/>
            <w:vAlign w:val="center"/>
          </w:tcPr>
          <w:p w14:paraId="5D2FB9D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本项目拟任岗位</w:t>
            </w:r>
          </w:p>
        </w:tc>
        <w:tc>
          <w:tcPr>
            <w:tcW w:w="412" w:type="pct"/>
            <w:vAlign w:val="center"/>
          </w:tcPr>
          <w:p w14:paraId="3B18DD5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性别</w:t>
            </w:r>
          </w:p>
        </w:tc>
        <w:tc>
          <w:tcPr>
            <w:tcW w:w="412" w:type="pct"/>
            <w:vAlign w:val="center"/>
          </w:tcPr>
          <w:p w14:paraId="5439E1F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683" w:type="pct"/>
            <w:vAlign w:val="center"/>
          </w:tcPr>
          <w:p w14:paraId="00DA55D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技术职称</w:t>
            </w:r>
          </w:p>
        </w:tc>
        <w:tc>
          <w:tcPr>
            <w:tcW w:w="480" w:type="pct"/>
            <w:vAlign w:val="center"/>
          </w:tcPr>
          <w:p w14:paraId="50F2F9B0">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 业</w:t>
            </w:r>
          </w:p>
        </w:tc>
        <w:tc>
          <w:tcPr>
            <w:tcW w:w="683" w:type="pct"/>
            <w:vAlign w:val="center"/>
          </w:tcPr>
          <w:p w14:paraId="0EF69EB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资质证书</w:t>
            </w:r>
          </w:p>
        </w:tc>
        <w:tc>
          <w:tcPr>
            <w:tcW w:w="412" w:type="pct"/>
            <w:tcBorders>
              <w:right w:val="single" w:color="auto" w:sz="6" w:space="0"/>
            </w:tcBorders>
            <w:vAlign w:val="center"/>
          </w:tcPr>
          <w:p w14:paraId="702B533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14:paraId="5E5C1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3F330A05">
            <w:pPr>
              <w:spacing w:line="288" w:lineRule="auto"/>
              <w:jc w:val="center"/>
              <w:rPr>
                <w:rFonts w:hint="eastAsia" w:ascii="宋体" w:hAnsi="宋体" w:eastAsia="宋体" w:cs="宋体"/>
                <w:color w:val="auto"/>
                <w:szCs w:val="21"/>
                <w:highlight w:val="none"/>
              </w:rPr>
            </w:pPr>
          </w:p>
        </w:tc>
        <w:tc>
          <w:tcPr>
            <w:tcW w:w="412" w:type="pct"/>
            <w:vAlign w:val="center"/>
          </w:tcPr>
          <w:p w14:paraId="628B9DF9">
            <w:pPr>
              <w:spacing w:line="288" w:lineRule="auto"/>
              <w:jc w:val="center"/>
              <w:rPr>
                <w:rFonts w:hint="eastAsia" w:ascii="宋体" w:hAnsi="宋体" w:eastAsia="宋体" w:cs="宋体"/>
                <w:color w:val="auto"/>
                <w:szCs w:val="21"/>
                <w:highlight w:val="none"/>
              </w:rPr>
            </w:pPr>
          </w:p>
        </w:tc>
        <w:tc>
          <w:tcPr>
            <w:tcW w:w="1092" w:type="pct"/>
            <w:vAlign w:val="center"/>
          </w:tcPr>
          <w:p w14:paraId="5ADA40AB">
            <w:pPr>
              <w:spacing w:line="288" w:lineRule="auto"/>
              <w:jc w:val="center"/>
              <w:rPr>
                <w:rFonts w:hint="eastAsia" w:ascii="宋体" w:hAnsi="宋体" w:eastAsia="宋体" w:cs="宋体"/>
                <w:color w:val="auto"/>
                <w:szCs w:val="21"/>
                <w:highlight w:val="none"/>
              </w:rPr>
            </w:pPr>
          </w:p>
        </w:tc>
        <w:tc>
          <w:tcPr>
            <w:tcW w:w="412" w:type="pct"/>
            <w:vAlign w:val="center"/>
          </w:tcPr>
          <w:p w14:paraId="5AD4FAF2">
            <w:pPr>
              <w:spacing w:line="288" w:lineRule="auto"/>
              <w:jc w:val="center"/>
              <w:rPr>
                <w:rFonts w:hint="eastAsia" w:ascii="宋体" w:hAnsi="宋体" w:eastAsia="宋体" w:cs="宋体"/>
                <w:color w:val="auto"/>
                <w:szCs w:val="21"/>
                <w:highlight w:val="none"/>
              </w:rPr>
            </w:pPr>
          </w:p>
        </w:tc>
        <w:tc>
          <w:tcPr>
            <w:tcW w:w="412" w:type="pct"/>
            <w:vAlign w:val="center"/>
          </w:tcPr>
          <w:p w14:paraId="0A83BAC3">
            <w:pPr>
              <w:spacing w:line="288" w:lineRule="auto"/>
              <w:jc w:val="center"/>
              <w:rPr>
                <w:rFonts w:hint="eastAsia" w:ascii="宋体" w:hAnsi="宋体" w:eastAsia="宋体" w:cs="宋体"/>
                <w:color w:val="auto"/>
                <w:szCs w:val="21"/>
                <w:highlight w:val="none"/>
              </w:rPr>
            </w:pPr>
          </w:p>
        </w:tc>
        <w:tc>
          <w:tcPr>
            <w:tcW w:w="683" w:type="pct"/>
            <w:vAlign w:val="center"/>
          </w:tcPr>
          <w:p w14:paraId="12A51283">
            <w:pPr>
              <w:spacing w:line="288" w:lineRule="auto"/>
              <w:jc w:val="center"/>
              <w:rPr>
                <w:rFonts w:hint="eastAsia" w:ascii="宋体" w:hAnsi="宋体" w:eastAsia="宋体" w:cs="宋体"/>
                <w:color w:val="auto"/>
                <w:szCs w:val="21"/>
                <w:highlight w:val="none"/>
              </w:rPr>
            </w:pPr>
          </w:p>
        </w:tc>
        <w:tc>
          <w:tcPr>
            <w:tcW w:w="480" w:type="pct"/>
            <w:vAlign w:val="center"/>
          </w:tcPr>
          <w:p w14:paraId="4C753698">
            <w:pPr>
              <w:spacing w:line="288" w:lineRule="auto"/>
              <w:jc w:val="center"/>
              <w:rPr>
                <w:rFonts w:hint="eastAsia" w:ascii="宋体" w:hAnsi="宋体" w:eastAsia="宋体" w:cs="宋体"/>
                <w:color w:val="auto"/>
                <w:szCs w:val="21"/>
                <w:highlight w:val="none"/>
              </w:rPr>
            </w:pPr>
          </w:p>
        </w:tc>
        <w:tc>
          <w:tcPr>
            <w:tcW w:w="683" w:type="pct"/>
            <w:vAlign w:val="center"/>
          </w:tcPr>
          <w:p w14:paraId="5F09DFE7">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2DE1D1A8">
            <w:pPr>
              <w:spacing w:line="288" w:lineRule="auto"/>
              <w:jc w:val="center"/>
              <w:rPr>
                <w:rFonts w:hint="eastAsia" w:ascii="宋体" w:hAnsi="宋体" w:eastAsia="宋体" w:cs="宋体"/>
                <w:color w:val="auto"/>
                <w:szCs w:val="21"/>
                <w:highlight w:val="none"/>
              </w:rPr>
            </w:pPr>
          </w:p>
        </w:tc>
      </w:tr>
      <w:tr w14:paraId="3E65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274AB66">
            <w:pPr>
              <w:spacing w:line="288" w:lineRule="auto"/>
              <w:jc w:val="center"/>
              <w:rPr>
                <w:rFonts w:hint="eastAsia" w:ascii="宋体" w:hAnsi="宋体" w:eastAsia="宋体" w:cs="宋体"/>
                <w:color w:val="auto"/>
                <w:szCs w:val="21"/>
                <w:highlight w:val="none"/>
              </w:rPr>
            </w:pPr>
          </w:p>
        </w:tc>
        <w:tc>
          <w:tcPr>
            <w:tcW w:w="412" w:type="pct"/>
            <w:vAlign w:val="center"/>
          </w:tcPr>
          <w:p w14:paraId="20EEFA8F">
            <w:pPr>
              <w:spacing w:line="288" w:lineRule="auto"/>
              <w:jc w:val="center"/>
              <w:rPr>
                <w:rFonts w:hint="eastAsia" w:ascii="宋体" w:hAnsi="宋体" w:eastAsia="宋体" w:cs="宋体"/>
                <w:color w:val="auto"/>
                <w:szCs w:val="21"/>
                <w:highlight w:val="none"/>
              </w:rPr>
            </w:pPr>
          </w:p>
        </w:tc>
        <w:tc>
          <w:tcPr>
            <w:tcW w:w="1092" w:type="pct"/>
            <w:vAlign w:val="center"/>
          </w:tcPr>
          <w:p w14:paraId="597D0157">
            <w:pPr>
              <w:spacing w:line="288" w:lineRule="auto"/>
              <w:jc w:val="center"/>
              <w:rPr>
                <w:rFonts w:hint="eastAsia" w:ascii="宋体" w:hAnsi="宋体" w:eastAsia="宋体" w:cs="宋体"/>
                <w:color w:val="auto"/>
                <w:szCs w:val="21"/>
                <w:highlight w:val="none"/>
              </w:rPr>
            </w:pPr>
          </w:p>
        </w:tc>
        <w:tc>
          <w:tcPr>
            <w:tcW w:w="412" w:type="pct"/>
            <w:vAlign w:val="center"/>
          </w:tcPr>
          <w:p w14:paraId="34937C75">
            <w:pPr>
              <w:spacing w:line="288" w:lineRule="auto"/>
              <w:jc w:val="center"/>
              <w:rPr>
                <w:rFonts w:hint="eastAsia" w:ascii="宋体" w:hAnsi="宋体" w:eastAsia="宋体" w:cs="宋体"/>
                <w:color w:val="auto"/>
                <w:szCs w:val="21"/>
                <w:highlight w:val="none"/>
              </w:rPr>
            </w:pPr>
          </w:p>
        </w:tc>
        <w:tc>
          <w:tcPr>
            <w:tcW w:w="412" w:type="pct"/>
            <w:vAlign w:val="center"/>
          </w:tcPr>
          <w:p w14:paraId="1DF6B1DB">
            <w:pPr>
              <w:spacing w:line="288" w:lineRule="auto"/>
              <w:jc w:val="center"/>
              <w:rPr>
                <w:rFonts w:hint="eastAsia" w:ascii="宋体" w:hAnsi="宋体" w:eastAsia="宋体" w:cs="宋体"/>
                <w:color w:val="auto"/>
                <w:szCs w:val="21"/>
                <w:highlight w:val="none"/>
              </w:rPr>
            </w:pPr>
          </w:p>
        </w:tc>
        <w:tc>
          <w:tcPr>
            <w:tcW w:w="683" w:type="pct"/>
            <w:vAlign w:val="center"/>
          </w:tcPr>
          <w:p w14:paraId="7E172B74">
            <w:pPr>
              <w:spacing w:line="288" w:lineRule="auto"/>
              <w:jc w:val="center"/>
              <w:rPr>
                <w:rFonts w:hint="eastAsia" w:ascii="宋体" w:hAnsi="宋体" w:eastAsia="宋体" w:cs="宋体"/>
                <w:color w:val="auto"/>
                <w:szCs w:val="21"/>
                <w:highlight w:val="none"/>
              </w:rPr>
            </w:pPr>
          </w:p>
        </w:tc>
        <w:tc>
          <w:tcPr>
            <w:tcW w:w="480" w:type="pct"/>
            <w:vAlign w:val="center"/>
          </w:tcPr>
          <w:p w14:paraId="44FDEE31">
            <w:pPr>
              <w:spacing w:line="288" w:lineRule="auto"/>
              <w:jc w:val="center"/>
              <w:rPr>
                <w:rFonts w:hint="eastAsia" w:ascii="宋体" w:hAnsi="宋体" w:eastAsia="宋体" w:cs="宋体"/>
                <w:color w:val="auto"/>
                <w:szCs w:val="21"/>
                <w:highlight w:val="none"/>
              </w:rPr>
            </w:pPr>
          </w:p>
        </w:tc>
        <w:tc>
          <w:tcPr>
            <w:tcW w:w="683" w:type="pct"/>
            <w:vAlign w:val="center"/>
          </w:tcPr>
          <w:p w14:paraId="3F7A4C07">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6E85E9CD">
            <w:pPr>
              <w:spacing w:line="288" w:lineRule="auto"/>
              <w:jc w:val="center"/>
              <w:rPr>
                <w:rFonts w:hint="eastAsia" w:ascii="宋体" w:hAnsi="宋体" w:eastAsia="宋体" w:cs="宋体"/>
                <w:color w:val="auto"/>
                <w:szCs w:val="21"/>
                <w:highlight w:val="none"/>
              </w:rPr>
            </w:pPr>
          </w:p>
        </w:tc>
      </w:tr>
      <w:tr w14:paraId="01C3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A4D733B">
            <w:pPr>
              <w:spacing w:line="288" w:lineRule="auto"/>
              <w:jc w:val="center"/>
              <w:rPr>
                <w:rFonts w:hint="eastAsia" w:ascii="宋体" w:hAnsi="宋体" w:eastAsia="宋体" w:cs="宋体"/>
                <w:color w:val="auto"/>
                <w:szCs w:val="21"/>
                <w:highlight w:val="none"/>
              </w:rPr>
            </w:pPr>
          </w:p>
        </w:tc>
        <w:tc>
          <w:tcPr>
            <w:tcW w:w="412" w:type="pct"/>
            <w:vAlign w:val="center"/>
          </w:tcPr>
          <w:p w14:paraId="359919B2">
            <w:pPr>
              <w:spacing w:line="288" w:lineRule="auto"/>
              <w:jc w:val="center"/>
              <w:rPr>
                <w:rFonts w:hint="eastAsia" w:ascii="宋体" w:hAnsi="宋体" w:eastAsia="宋体" w:cs="宋体"/>
                <w:color w:val="auto"/>
                <w:szCs w:val="21"/>
                <w:highlight w:val="none"/>
              </w:rPr>
            </w:pPr>
          </w:p>
        </w:tc>
        <w:tc>
          <w:tcPr>
            <w:tcW w:w="1092" w:type="pct"/>
            <w:vAlign w:val="center"/>
          </w:tcPr>
          <w:p w14:paraId="4145FB7A">
            <w:pPr>
              <w:spacing w:line="288" w:lineRule="auto"/>
              <w:jc w:val="center"/>
              <w:rPr>
                <w:rFonts w:hint="eastAsia" w:ascii="宋体" w:hAnsi="宋体" w:eastAsia="宋体" w:cs="宋体"/>
                <w:color w:val="auto"/>
                <w:szCs w:val="21"/>
                <w:highlight w:val="none"/>
              </w:rPr>
            </w:pPr>
          </w:p>
        </w:tc>
        <w:tc>
          <w:tcPr>
            <w:tcW w:w="412" w:type="pct"/>
            <w:vAlign w:val="center"/>
          </w:tcPr>
          <w:p w14:paraId="15F77E3E">
            <w:pPr>
              <w:spacing w:line="288" w:lineRule="auto"/>
              <w:jc w:val="center"/>
              <w:rPr>
                <w:rFonts w:hint="eastAsia" w:ascii="宋体" w:hAnsi="宋体" w:eastAsia="宋体" w:cs="宋体"/>
                <w:color w:val="auto"/>
                <w:szCs w:val="21"/>
                <w:highlight w:val="none"/>
              </w:rPr>
            </w:pPr>
          </w:p>
        </w:tc>
        <w:tc>
          <w:tcPr>
            <w:tcW w:w="412" w:type="pct"/>
            <w:vAlign w:val="center"/>
          </w:tcPr>
          <w:p w14:paraId="6E27FCE8">
            <w:pPr>
              <w:spacing w:line="288" w:lineRule="auto"/>
              <w:jc w:val="center"/>
              <w:rPr>
                <w:rFonts w:hint="eastAsia" w:ascii="宋体" w:hAnsi="宋体" w:eastAsia="宋体" w:cs="宋体"/>
                <w:color w:val="auto"/>
                <w:szCs w:val="21"/>
                <w:highlight w:val="none"/>
              </w:rPr>
            </w:pPr>
          </w:p>
        </w:tc>
        <w:tc>
          <w:tcPr>
            <w:tcW w:w="683" w:type="pct"/>
            <w:vAlign w:val="center"/>
          </w:tcPr>
          <w:p w14:paraId="54F537CD">
            <w:pPr>
              <w:spacing w:line="288" w:lineRule="auto"/>
              <w:jc w:val="center"/>
              <w:rPr>
                <w:rFonts w:hint="eastAsia" w:ascii="宋体" w:hAnsi="宋体" w:eastAsia="宋体" w:cs="宋体"/>
                <w:color w:val="auto"/>
                <w:szCs w:val="21"/>
                <w:highlight w:val="none"/>
              </w:rPr>
            </w:pPr>
          </w:p>
        </w:tc>
        <w:tc>
          <w:tcPr>
            <w:tcW w:w="480" w:type="pct"/>
            <w:vAlign w:val="center"/>
          </w:tcPr>
          <w:p w14:paraId="14F30CC5">
            <w:pPr>
              <w:spacing w:line="288" w:lineRule="auto"/>
              <w:jc w:val="center"/>
              <w:rPr>
                <w:rFonts w:hint="eastAsia" w:ascii="宋体" w:hAnsi="宋体" w:eastAsia="宋体" w:cs="宋体"/>
                <w:color w:val="auto"/>
                <w:szCs w:val="21"/>
                <w:highlight w:val="none"/>
              </w:rPr>
            </w:pPr>
          </w:p>
        </w:tc>
        <w:tc>
          <w:tcPr>
            <w:tcW w:w="683" w:type="pct"/>
            <w:vAlign w:val="center"/>
          </w:tcPr>
          <w:p w14:paraId="470552AB">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2DA4BB51">
            <w:pPr>
              <w:spacing w:line="288" w:lineRule="auto"/>
              <w:jc w:val="center"/>
              <w:rPr>
                <w:rFonts w:hint="eastAsia" w:ascii="宋体" w:hAnsi="宋体" w:eastAsia="宋体" w:cs="宋体"/>
                <w:color w:val="auto"/>
                <w:szCs w:val="21"/>
                <w:highlight w:val="none"/>
              </w:rPr>
            </w:pPr>
          </w:p>
        </w:tc>
      </w:tr>
      <w:tr w14:paraId="59E9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6049508A">
            <w:pPr>
              <w:spacing w:line="288" w:lineRule="auto"/>
              <w:jc w:val="center"/>
              <w:rPr>
                <w:rFonts w:hint="eastAsia" w:ascii="宋体" w:hAnsi="宋体" w:eastAsia="宋体" w:cs="宋体"/>
                <w:color w:val="auto"/>
                <w:szCs w:val="21"/>
                <w:highlight w:val="none"/>
              </w:rPr>
            </w:pPr>
          </w:p>
        </w:tc>
        <w:tc>
          <w:tcPr>
            <w:tcW w:w="412" w:type="pct"/>
            <w:vAlign w:val="center"/>
          </w:tcPr>
          <w:p w14:paraId="54CE69AC">
            <w:pPr>
              <w:spacing w:line="288" w:lineRule="auto"/>
              <w:jc w:val="center"/>
              <w:rPr>
                <w:rFonts w:hint="eastAsia" w:ascii="宋体" w:hAnsi="宋体" w:eastAsia="宋体" w:cs="宋体"/>
                <w:color w:val="auto"/>
                <w:szCs w:val="21"/>
                <w:highlight w:val="none"/>
              </w:rPr>
            </w:pPr>
          </w:p>
        </w:tc>
        <w:tc>
          <w:tcPr>
            <w:tcW w:w="1092" w:type="pct"/>
            <w:vAlign w:val="center"/>
          </w:tcPr>
          <w:p w14:paraId="1FFEB6C9">
            <w:pPr>
              <w:spacing w:line="288" w:lineRule="auto"/>
              <w:jc w:val="center"/>
              <w:rPr>
                <w:rFonts w:hint="eastAsia" w:ascii="宋体" w:hAnsi="宋体" w:eastAsia="宋体" w:cs="宋体"/>
                <w:color w:val="auto"/>
                <w:szCs w:val="21"/>
                <w:highlight w:val="none"/>
              </w:rPr>
            </w:pPr>
          </w:p>
        </w:tc>
        <w:tc>
          <w:tcPr>
            <w:tcW w:w="412" w:type="pct"/>
            <w:vAlign w:val="center"/>
          </w:tcPr>
          <w:p w14:paraId="53A20ACC">
            <w:pPr>
              <w:spacing w:line="288" w:lineRule="auto"/>
              <w:jc w:val="center"/>
              <w:rPr>
                <w:rFonts w:hint="eastAsia" w:ascii="宋体" w:hAnsi="宋体" w:eastAsia="宋体" w:cs="宋体"/>
                <w:color w:val="auto"/>
                <w:szCs w:val="21"/>
                <w:highlight w:val="none"/>
              </w:rPr>
            </w:pPr>
          </w:p>
        </w:tc>
        <w:tc>
          <w:tcPr>
            <w:tcW w:w="412" w:type="pct"/>
            <w:vAlign w:val="center"/>
          </w:tcPr>
          <w:p w14:paraId="498D557E">
            <w:pPr>
              <w:spacing w:line="288" w:lineRule="auto"/>
              <w:jc w:val="center"/>
              <w:rPr>
                <w:rFonts w:hint="eastAsia" w:ascii="宋体" w:hAnsi="宋体" w:eastAsia="宋体" w:cs="宋体"/>
                <w:color w:val="auto"/>
                <w:szCs w:val="21"/>
                <w:highlight w:val="none"/>
              </w:rPr>
            </w:pPr>
          </w:p>
        </w:tc>
        <w:tc>
          <w:tcPr>
            <w:tcW w:w="683" w:type="pct"/>
            <w:vAlign w:val="center"/>
          </w:tcPr>
          <w:p w14:paraId="7AC22BE4">
            <w:pPr>
              <w:spacing w:line="288" w:lineRule="auto"/>
              <w:jc w:val="center"/>
              <w:rPr>
                <w:rFonts w:hint="eastAsia" w:ascii="宋体" w:hAnsi="宋体" w:eastAsia="宋体" w:cs="宋体"/>
                <w:color w:val="auto"/>
                <w:szCs w:val="21"/>
                <w:highlight w:val="none"/>
              </w:rPr>
            </w:pPr>
          </w:p>
        </w:tc>
        <w:tc>
          <w:tcPr>
            <w:tcW w:w="480" w:type="pct"/>
            <w:vAlign w:val="center"/>
          </w:tcPr>
          <w:p w14:paraId="62F8BCA8">
            <w:pPr>
              <w:spacing w:line="288" w:lineRule="auto"/>
              <w:jc w:val="center"/>
              <w:rPr>
                <w:rFonts w:hint="eastAsia" w:ascii="宋体" w:hAnsi="宋体" w:eastAsia="宋体" w:cs="宋体"/>
                <w:color w:val="auto"/>
                <w:szCs w:val="21"/>
                <w:highlight w:val="none"/>
              </w:rPr>
            </w:pPr>
          </w:p>
        </w:tc>
        <w:tc>
          <w:tcPr>
            <w:tcW w:w="683" w:type="pct"/>
            <w:vAlign w:val="center"/>
          </w:tcPr>
          <w:p w14:paraId="5E7869BF">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564A874C">
            <w:pPr>
              <w:spacing w:line="288" w:lineRule="auto"/>
              <w:jc w:val="center"/>
              <w:rPr>
                <w:rFonts w:hint="eastAsia" w:ascii="宋体" w:hAnsi="宋体" w:eastAsia="宋体" w:cs="宋体"/>
                <w:color w:val="auto"/>
                <w:szCs w:val="21"/>
                <w:highlight w:val="none"/>
              </w:rPr>
            </w:pPr>
          </w:p>
        </w:tc>
      </w:tr>
      <w:tr w14:paraId="67EA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C6D8F4C">
            <w:pPr>
              <w:spacing w:line="288" w:lineRule="auto"/>
              <w:jc w:val="center"/>
              <w:rPr>
                <w:rFonts w:hint="eastAsia" w:ascii="宋体" w:hAnsi="宋体" w:eastAsia="宋体" w:cs="宋体"/>
                <w:color w:val="auto"/>
                <w:szCs w:val="21"/>
                <w:highlight w:val="none"/>
              </w:rPr>
            </w:pPr>
          </w:p>
        </w:tc>
        <w:tc>
          <w:tcPr>
            <w:tcW w:w="412" w:type="pct"/>
            <w:vAlign w:val="center"/>
          </w:tcPr>
          <w:p w14:paraId="2AA823D6">
            <w:pPr>
              <w:spacing w:line="288" w:lineRule="auto"/>
              <w:jc w:val="center"/>
              <w:rPr>
                <w:rFonts w:hint="eastAsia" w:ascii="宋体" w:hAnsi="宋体" w:eastAsia="宋体" w:cs="宋体"/>
                <w:color w:val="auto"/>
                <w:szCs w:val="21"/>
                <w:highlight w:val="none"/>
              </w:rPr>
            </w:pPr>
          </w:p>
        </w:tc>
        <w:tc>
          <w:tcPr>
            <w:tcW w:w="1092" w:type="pct"/>
            <w:vAlign w:val="center"/>
          </w:tcPr>
          <w:p w14:paraId="0F7D6413">
            <w:pPr>
              <w:spacing w:line="288" w:lineRule="auto"/>
              <w:jc w:val="center"/>
              <w:rPr>
                <w:rFonts w:hint="eastAsia" w:ascii="宋体" w:hAnsi="宋体" w:eastAsia="宋体" w:cs="宋体"/>
                <w:color w:val="auto"/>
                <w:szCs w:val="21"/>
                <w:highlight w:val="none"/>
              </w:rPr>
            </w:pPr>
          </w:p>
        </w:tc>
        <w:tc>
          <w:tcPr>
            <w:tcW w:w="412" w:type="pct"/>
            <w:vAlign w:val="center"/>
          </w:tcPr>
          <w:p w14:paraId="53CFD24A">
            <w:pPr>
              <w:spacing w:line="288" w:lineRule="auto"/>
              <w:jc w:val="center"/>
              <w:rPr>
                <w:rFonts w:hint="eastAsia" w:ascii="宋体" w:hAnsi="宋体" w:eastAsia="宋体" w:cs="宋体"/>
                <w:color w:val="auto"/>
                <w:szCs w:val="21"/>
                <w:highlight w:val="none"/>
              </w:rPr>
            </w:pPr>
          </w:p>
        </w:tc>
        <w:tc>
          <w:tcPr>
            <w:tcW w:w="412" w:type="pct"/>
            <w:vAlign w:val="center"/>
          </w:tcPr>
          <w:p w14:paraId="7CED2FFD">
            <w:pPr>
              <w:spacing w:line="288" w:lineRule="auto"/>
              <w:jc w:val="center"/>
              <w:rPr>
                <w:rFonts w:hint="eastAsia" w:ascii="宋体" w:hAnsi="宋体" w:eastAsia="宋体" w:cs="宋体"/>
                <w:color w:val="auto"/>
                <w:szCs w:val="21"/>
                <w:highlight w:val="none"/>
              </w:rPr>
            </w:pPr>
          </w:p>
        </w:tc>
        <w:tc>
          <w:tcPr>
            <w:tcW w:w="683" w:type="pct"/>
            <w:vAlign w:val="center"/>
          </w:tcPr>
          <w:p w14:paraId="7854ED16">
            <w:pPr>
              <w:spacing w:line="288" w:lineRule="auto"/>
              <w:jc w:val="center"/>
              <w:rPr>
                <w:rFonts w:hint="eastAsia" w:ascii="宋体" w:hAnsi="宋体" w:eastAsia="宋体" w:cs="宋体"/>
                <w:color w:val="auto"/>
                <w:szCs w:val="21"/>
                <w:highlight w:val="none"/>
              </w:rPr>
            </w:pPr>
          </w:p>
        </w:tc>
        <w:tc>
          <w:tcPr>
            <w:tcW w:w="480" w:type="pct"/>
            <w:vAlign w:val="center"/>
          </w:tcPr>
          <w:p w14:paraId="6EEF5A17">
            <w:pPr>
              <w:spacing w:line="288" w:lineRule="auto"/>
              <w:jc w:val="center"/>
              <w:rPr>
                <w:rFonts w:hint="eastAsia" w:ascii="宋体" w:hAnsi="宋体" w:eastAsia="宋体" w:cs="宋体"/>
                <w:color w:val="auto"/>
                <w:szCs w:val="21"/>
                <w:highlight w:val="none"/>
              </w:rPr>
            </w:pPr>
          </w:p>
        </w:tc>
        <w:tc>
          <w:tcPr>
            <w:tcW w:w="683" w:type="pct"/>
            <w:vAlign w:val="center"/>
          </w:tcPr>
          <w:p w14:paraId="23EE6954">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2BD5D18F">
            <w:pPr>
              <w:spacing w:line="288" w:lineRule="auto"/>
              <w:jc w:val="center"/>
              <w:rPr>
                <w:rFonts w:hint="eastAsia" w:ascii="宋体" w:hAnsi="宋体" w:eastAsia="宋体" w:cs="宋体"/>
                <w:color w:val="auto"/>
                <w:szCs w:val="21"/>
                <w:highlight w:val="none"/>
              </w:rPr>
            </w:pPr>
          </w:p>
        </w:tc>
      </w:tr>
      <w:tr w14:paraId="71B4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92CA51A">
            <w:pPr>
              <w:spacing w:line="288" w:lineRule="auto"/>
              <w:jc w:val="center"/>
              <w:rPr>
                <w:rFonts w:hint="eastAsia" w:ascii="宋体" w:hAnsi="宋体" w:eastAsia="宋体" w:cs="宋体"/>
                <w:color w:val="auto"/>
                <w:szCs w:val="21"/>
                <w:highlight w:val="none"/>
              </w:rPr>
            </w:pPr>
          </w:p>
        </w:tc>
        <w:tc>
          <w:tcPr>
            <w:tcW w:w="412" w:type="pct"/>
            <w:vAlign w:val="center"/>
          </w:tcPr>
          <w:p w14:paraId="1DA7E5B9">
            <w:pPr>
              <w:spacing w:line="288" w:lineRule="auto"/>
              <w:jc w:val="center"/>
              <w:rPr>
                <w:rFonts w:hint="eastAsia" w:ascii="宋体" w:hAnsi="宋体" w:eastAsia="宋体" w:cs="宋体"/>
                <w:color w:val="auto"/>
                <w:szCs w:val="21"/>
                <w:highlight w:val="none"/>
              </w:rPr>
            </w:pPr>
          </w:p>
        </w:tc>
        <w:tc>
          <w:tcPr>
            <w:tcW w:w="1092" w:type="pct"/>
            <w:vAlign w:val="center"/>
          </w:tcPr>
          <w:p w14:paraId="1DCC3B1B">
            <w:pPr>
              <w:spacing w:line="288" w:lineRule="auto"/>
              <w:jc w:val="center"/>
              <w:rPr>
                <w:rFonts w:hint="eastAsia" w:ascii="宋体" w:hAnsi="宋体" w:eastAsia="宋体" w:cs="宋体"/>
                <w:color w:val="auto"/>
                <w:szCs w:val="21"/>
                <w:highlight w:val="none"/>
              </w:rPr>
            </w:pPr>
          </w:p>
        </w:tc>
        <w:tc>
          <w:tcPr>
            <w:tcW w:w="412" w:type="pct"/>
            <w:vAlign w:val="center"/>
          </w:tcPr>
          <w:p w14:paraId="616E8259">
            <w:pPr>
              <w:spacing w:line="288" w:lineRule="auto"/>
              <w:jc w:val="center"/>
              <w:rPr>
                <w:rFonts w:hint="eastAsia" w:ascii="宋体" w:hAnsi="宋体" w:eastAsia="宋体" w:cs="宋体"/>
                <w:color w:val="auto"/>
                <w:szCs w:val="21"/>
                <w:highlight w:val="none"/>
              </w:rPr>
            </w:pPr>
          </w:p>
        </w:tc>
        <w:tc>
          <w:tcPr>
            <w:tcW w:w="412" w:type="pct"/>
            <w:vAlign w:val="center"/>
          </w:tcPr>
          <w:p w14:paraId="64CE0782">
            <w:pPr>
              <w:spacing w:line="288" w:lineRule="auto"/>
              <w:jc w:val="center"/>
              <w:rPr>
                <w:rFonts w:hint="eastAsia" w:ascii="宋体" w:hAnsi="宋体" w:eastAsia="宋体" w:cs="宋体"/>
                <w:color w:val="auto"/>
                <w:szCs w:val="21"/>
                <w:highlight w:val="none"/>
              </w:rPr>
            </w:pPr>
          </w:p>
        </w:tc>
        <w:tc>
          <w:tcPr>
            <w:tcW w:w="683" w:type="pct"/>
            <w:vAlign w:val="center"/>
          </w:tcPr>
          <w:p w14:paraId="27DD4C00">
            <w:pPr>
              <w:spacing w:line="288" w:lineRule="auto"/>
              <w:jc w:val="center"/>
              <w:rPr>
                <w:rFonts w:hint="eastAsia" w:ascii="宋体" w:hAnsi="宋体" w:eastAsia="宋体" w:cs="宋体"/>
                <w:color w:val="auto"/>
                <w:szCs w:val="21"/>
                <w:highlight w:val="none"/>
              </w:rPr>
            </w:pPr>
          </w:p>
        </w:tc>
        <w:tc>
          <w:tcPr>
            <w:tcW w:w="480" w:type="pct"/>
            <w:vAlign w:val="center"/>
          </w:tcPr>
          <w:p w14:paraId="7C1B46DB">
            <w:pPr>
              <w:spacing w:line="288" w:lineRule="auto"/>
              <w:jc w:val="center"/>
              <w:rPr>
                <w:rFonts w:hint="eastAsia" w:ascii="宋体" w:hAnsi="宋体" w:eastAsia="宋体" w:cs="宋体"/>
                <w:color w:val="auto"/>
                <w:szCs w:val="21"/>
                <w:highlight w:val="none"/>
              </w:rPr>
            </w:pPr>
          </w:p>
        </w:tc>
        <w:tc>
          <w:tcPr>
            <w:tcW w:w="683" w:type="pct"/>
            <w:vAlign w:val="center"/>
          </w:tcPr>
          <w:p w14:paraId="5253E250">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77F01691">
            <w:pPr>
              <w:spacing w:line="288" w:lineRule="auto"/>
              <w:jc w:val="center"/>
              <w:rPr>
                <w:rFonts w:hint="eastAsia" w:ascii="宋体" w:hAnsi="宋体" w:eastAsia="宋体" w:cs="宋体"/>
                <w:color w:val="auto"/>
                <w:szCs w:val="21"/>
                <w:highlight w:val="none"/>
              </w:rPr>
            </w:pPr>
          </w:p>
        </w:tc>
      </w:tr>
      <w:tr w14:paraId="61D8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95A9487">
            <w:pPr>
              <w:spacing w:line="288" w:lineRule="auto"/>
              <w:jc w:val="center"/>
              <w:rPr>
                <w:rFonts w:hint="eastAsia" w:ascii="宋体" w:hAnsi="宋体" w:eastAsia="宋体" w:cs="宋体"/>
                <w:color w:val="auto"/>
                <w:szCs w:val="21"/>
                <w:highlight w:val="none"/>
              </w:rPr>
            </w:pPr>
          </w:p>
        </w:tc>
        <w:tc>
          <w:tcPr>
            <w:tcW w:w="412" w:type="pct"/>
            <w:vAlign w:val="center"/>
          </w:tcPr>
          <w:p w14:paraId="1F9C47CE">
            <w:pPr>
              <w:spacing w:line="288" w:lineRule="auto"/>
              <w:jc w:val="center"/>
              <w:rPr>
                <w:rFonts w:hint="eastAsia" w:ascii="宋体" w:hAnsi="宋体" w:eastAsia="宋体" w:cs="宋体"/>
                <w:color w:val="auto"/>
                <w:szCs w:val="21"/>
                <w:highlight w:val="none"/>
              </w:rPr>
            </w:pPr>
          </w:p>
        </w:tc>
        <w:tc>
          <w:tcPr>
            <w:tcW w:w="1092" w:type="pct"/>
            <w:vAlign w:val="center"/>
          </w:tcPr>
          <w:p w14:paraId="0C09C40B">
            <w:pPr>
              <w:spacing w:line="288" w:lineRule="auto"/>
              <w:jc w:val="center"/>
              <w:rPr>
                <w:rFonts w:hint="eastAsia" w:ascii="宋体" w:hAnsi="宋体" w:eastAsia="宋体" w:cs="宋体"/>
                <w:color w:val="auto"/>
                <w:szCs w:val="21"/>
                <w:highlight w:val="none"/>
              </w:rPr>
            </w:pPr>
          </w:p>
        </w:tc>
        <w:tc>
          <w:tcPr>
            <w:tcW w:w="412" w:type="pct"/>
            <w:vAlign w:val="center"/>
          </w:tcPr>
          <w:p w14:paraId="30A5B9C2">
            <w:pPr>
              <w:spacing w:line="288" w:lineRule="auto"/>
              <w:jc w:val="center"/>
              <w:rPr>
                <w:rFonts w:hint="eastAsia" w:ascii="宋体" w:hAnsi="宋体" w:eastAsia="宋体" w:cs="宋体"/>
                <w:color w:val="auto"/>
                <w:szCs w:val="21"/>
                <w:highlight w:val="none"/>
              </w:rPr>
            </w:pPr>
          </w:p>
        </w:tc>
        <w:tc>
          <w:tcPr>
            <w:tcW w:w="412" w:type="pct"/>
            <w:vAlign w:val="center"/>
          </w:tcPr>
          <w:p w14:paraId="5F838F4B">
            <w:pPr>
              <w:spacing w:line="288" w:lineRule="auto"/>
              <w:jc w:val="center"/>
              <w:rPr>
                <w:rFonts w:hint="eastAsia" w:ascii="宋体" w:hAnsi="宋体" w:eastAsia="宋体" w:cs="宋体"/>
                <w:color w:val="auto"/>
                <w:szCs w:val="21"/>
                <w:highlight w:val="none"/>
              </w:rPr>
            </w:pPr>
          </w:p>
        </w:tc>
        <w:tc>
          <w:tcPr>
            <w:tcW w:w="683" w:type="pct"/>
            <w:vAlign w:val="center"/>
          </w:tcPr>
          <w:p w14:paraId="3756383C">
            <w:pPr>
              <w:spacing w:line="288" w:lineRule="auto"/>
              <w:jc w:val="center"/>
              <w:rPr>
                <w:rFonts w:hint="eastAsia" w:ascii="宋体" w:hAnsi="宋体" w:eastAsia="宋体" w:cs="宋体"/>
                <w:color w:val="auto"/>
                <w:szCs w:val="21"/>
                <w:highlight w:val="none"/>
              </w:rPr>
            </w:pPr>
          </w:p>
        </w:tc>
        <w:tc>
          <w:tcPr>
            <w:tcW w:w="480" w:type="pct"/>
            <w:vAlign w:val="center"/>
          </w:tcPr>
          <w:p w14:paraId="648FEB64">
            <w:pPr>
              <w:spacing w:line="288" w:lineRule="auto"/>
              <w:jc w:val="center"/>
              <w:rPr>
                <w:rFonts w:hint="eastAsia" w:ascii="宋体" w:hAnsi="宋体" w:eastAsia="宋体" w:cs="宋体"/>
                <w:color w:val="auto"/>
                <w:szCs w:val="21"/>
                <w:highlight w:val="none"/>
              </w:rPr>
            </w:pPr>
          </w:p>
        </w:tc>
        <w:tc>
          <w:tcPr>
            <w:tcW w:w="683" w:type="pct"/>
            <w:vAlign w:val="center"/>
          </w:tcPr>
          <w:p w14:paraId="2FCF0DCE">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5D5FECF0">
            <w:pPr>
              <w:spacing w:line="288" w:lineRule="auto"/>
              <w:jc w:val="center"/>
              <w:rPr>
                <w:rFonts w:hint="eastAsia" w:ascii="宋体" w:hAnsi="宋体" w:eastAsia="宋体" w:cs="宋体"/>
                <w:color w:val="auto"/>
                <w:szCs w:val="21"/>
                <w:highlight w:val="none"/>
              </w:rPr>
            </w:pPr>
          </w:p>
        </w:tc>
      </w:tr>
      <w:tr w14:paraId="419B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0C1AD765">
            <w:pPr>
              <w:spacing w:line="288" w:lineRule="auto"/>
              <w:jc w:val="center"/>
              <w:rPr>
                <w:rFonts w:hint="eastAsia" w:ascii="宋体" w:hAnsi="宋体" w:eastAsia="宋体" w:cs="宋体"/>
                <w:color w:val="auto"/>
                <w:szCs w:val="21"/>
                <w:highlight w:val="none"/>
              </w:rPr>
            </w:pPr>
          </w:p>
        </w:tc>
        <w:tc>
          <w:tcPr>
            <w:tcW w:w="412" w:type="pct"/>
            <w:vAlign w:val="center"/>
          </w:tcPr>
          <w:p w14:paraId="3137FF2B">
            <w:pPr>
              <w:spacing w:line="288" w:lineRule="auto"/>
              <w:jc w:val="center"/>
              <w:rPr>
                <w:rFonts w:hint="eastAsia" w:ascii="宋体" w:hAnsi="宋体" w:eastAsia="宋体" w:cs="宋体"/>
                <w:color w:val="auto"/>
                <w:szCs w:val="21"/>
                <w:highlight w:val="none"/>
              </w:rPr>
            </w:pPr>
          </w:p>
        </w:tc>
        <w:tc>
          <w:tcPr>
            <w:tcW w:w="1092" w:type="pct"/>
            <w:vAlign w:val="center"/>
          </w:tcPr>
          <w:p w14:paraId="5040A57A">
            <w:pPr>
              <w:spacing w:line="288" w:lineRule="auto"/>
              <w:jc w:val="center"/>
              <w:rPr>
                <w:rFonts w:hint="eastAsia" w:ascii="宋体" w:hAnsi="宋体" w:eastAsia="宋体" w:cs="宋体"/>
                <w:color w:val="auto"/>
                <w:szCs w:val="21"/>
                <w:highlight w:val="none"/>
              </w:rPr>
            </w:pPr>
          </w:p>
        </w:tc>
        <w:tc>
          <w:tcPr>
            <w:tcW w:w="412" w:type="pct"/>
            <w:vAlign w:val="center"/>
          </w:tcPr>
          <w:p w14:paraId="029677FC">
            <w:pPr>
              <w:spacing w:line="288" w:lineRule="auto"/>
              <w:jc w:val="center"/>
              <w:rPr>
                <w:rFonts w:hint="eastAsia" w:ascii="宋体" w:hAnsi="宋体" w:eastAsia="宋体" w:cs="宋体"/>
                <w:color w:val="auto"/>
                <w:szCs w:val="21"/>
                <w:highlight w:val="none"/>
              </w:rPr>
            </w:pPr>
          </w:p>
        </w:tc>
        <w:tc>
          <w:tcPr>
            <w:tcW w:w="412" w:type="pct"/>
            <w:vAlign w:val="center"/>
          </w:tcPr>
          <w:p w14:paraId="32690D52">
            <w:pPr>
              <w:spacing w:line="288" w:lineRule="auto"/>
              <w:jc w:val="center"/>
              <w:rPr>
                <w:rFonts w:hint="eastAsia" w:ascii="宋体" w:hAnsi="宋体" w:eastAsia="宋体" w:cs="宋体"/>
                <w:color w:val="auto"/>
                <w:szCs w:val="21"/>
                <w:highlight w:val="none"/>
              </w:rPr>
            </w:pPr>
          </w:p>
        </w:tc>
        <w:tc>
          <w:tcPr>
            <w:tcW w:w="683" w:type="pct"/>
            <w:vAlign w:val="center"/>
          </w:tcPr>
          <w:p w14:paraId="1DE9DAD1">
            <w:pPr>
              <w:spacing w:line="288" w:lineRule="auto"/>
              <w:jc w:val="center"/>
              <w:rPr>
                <w:rFonts w:hint="eastAsia" w:ascii="宋体" w:hAnsi="宋体" w:eastAsia="宋体" w:cs="宋体"/>
                <w:color w:val="auto"/>
                <w:szCs w:val="21"/>
                <w:highlight w:val="none"/>
              </w:rPr>
            </w:pPr>
          </w:p>
        </w:tc>
        <w:tc>
          <w:tcPr>
            <w:tcW w:w="480" w:type="pct"/>
            <w:vAlign w:val="center"/>
          </w:tcPr>
          <w:p w14:paraId="436BB24F">
            <w:pPr>
              <w:spacing w:line="288" w:lineRule="auto"/>
              <w:jc w:val="center"/>
              <w:rPr>
                <w:rFonts w:hint="eastAsia" w:ascii="宋体" w:hAnsi="宋体" w:eastAsia="宋体" w:cs="宋体"/>
                <w:color w:val="auto"/>
                <w:szCs w:val="21"/>
                <w:highlight w:val="none"/>
              </w:rPr>
            </w:pPr>
          </w:p>
        </w:tc>
        <w:tc>
          <w:tcPr>
            <w:tcW w:w="683" w:type="pct"/>
            <w:vAlign w:val="center"/>
          </w:tcPr>
          <w:p w14:paraId="0A340E19">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60CB59C4">
            <w:pPr>
              <w:spacing w:line="288" w:lineRule="auto"/>
              <w:jc w:val="center"/>
              <w:rPr>
                <w:rFonts w:hint="eastAsia" w:ascii="宋体" w:hAnsi="宋体" w:eastAsia="宋体" w:cs="宋体"/>
                <w:color w:val="auto"/>
                <w:szCs w:val="21"/>
                <w:highlight w:val="none"/>
              </w:rPr>
            </w:pPr>
          </w:p>
        </w:tc>
      </w:tr>
      <w:tr w14:paraId="2D388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202EFEBE">
            <w:pPr>
              <w:spacing w:line="288" w:lineRule="auto"/>
              <w:jc w:val="center"/>
              <w:rPr>
                <w:rFonts w:hint="eastAsia" w:ascii="宋体" w:hAnsi="宋体" w:eastAsia="宋体" w:cs="宋体"/>
                <w:color w:val="auto"/>
                <w:szCs w:val="21"/>
                <w:highlight w:val="none"/>
              </w:rPr>
            </w:pPr>
          </w:p>
        </w:tc>
        <w:tc>
          <w:tcPr>
            <w:tcW w:w="412" w:type="pct"/>
            <w:vAlign w:val="center"/>
          </w:tcPr>
          <w:p w14:paraId="5C22DC55">
            <w:pPr>
              <w:spacing w:line="288" w:lineRule="auto"/>
              <w:jc w:val="center"/>
              <w:rPr>
                <w:rFonts w:hint="eastAsia" w:ascii="宋体" w:hAnsi="宋体" w:eastAsia="宋体" w:cs="宋体"/>
                <w:color w:val="auto"/>
                <w:szCs w:val="21"/>
                <w:highlight w:val="none"/>
              </w:rPr>
            </w:pPr>
          </w:p>
        </w:tc>
        <w:tc>
          <w:tcPr>
            <w:tcW w:w="1092" w:type="pct"/>
            <w:vAlign w:val="center"/>
          </w:tcPr>
          <w:p w14:paraId="678D8051">
            <w:pPr>
              <w:spacing w:line="288" w:lineRule="auto"/>
              <w:jc w:val="center"/>
              <w:rPr>
                <w:rFonts w:hint="eastAsia" w:ascii="宋体" w:hAnsi="宋体" w:eastAsia="宋体" w:cs="宋体"/>
                <w:color w:val="auto"/>
                <w:szCs w:val="21"/>
                <w:highlight w:val="none"/>
              </w:rPr>
            </w:pPr>
          </w:p>
        </w:tc>
        <w:tc>
          <w:tcPr>
            <w:tcW w:w="412" w:type="pct"/>
            <w:vAlign w:val="center"/>
          </w:tcPr>
          <w:p w14:paraId="0CFE3437">
            <w:pPr>
              <w:spacing w:line="288" w:lineRule="auto"/>
              <w:jc w:val="center"/>
              <w:rPr>
                <w:rFonts w:hint="eastAsia" w:ascii="宋体" w:hAnsi="宋体" w:eastAsia="宋体" w:cs="宋体"/>
                <w:color w:val="auto"/>
                <w:szCs w:val="21"/>
                <w:highlight w:val="none"/>
              </w:rPr>
            </w:pPr>
          </w:p>
        </w:tc>
        <w:tc>
          <w:tcPr>
            <w:tcW w:w="412" w:type="pct"/>
            <w:vAlign w:val="center"/>
          </w:tcPr>
          <w:p w14:paraId="0655658D">
            <w:pPr>
              <w:spacing w:line="288" w:lineRule="auto"/>
              <w:jc w:val="center"/>
              <w:rPr>
                <w:rFonts w:hint="eastAsia" w:ascii="宋体" w:hAnsi="宋体" w:eastAsia="宋体" w:cs="宋体"/>
                <w:color w:val="auto"/>
                <w:szCs w:val="21"/>
                <w:highlight w:val="none"/>
              </w:rPr>
            </w:pPr>
          </w:p>
        </w:tc>
        <w:tc>
          <w:tcPr>
            <w:tcW w:w="683" w:type="pct"/>
            <w:vAlign w:val="center"/>
          </w:tcPr>
          <w:p w14:paraId="3634E205">
            <w:pPr>
              <w:spacing w:line="288" w:lineRule="auto"/>
              <w:jc w:val="center"/>
              <w:rPr>
                <w:rFonts w:hint="eastAsia" w:ascii="宋体" w:hAnsi="宋体" w:eastAsia="宋体" w:cs="宋体"/>
                <w:color w:val="auto"/>
                <w:szCs w:val="21"/>
                <w:highlight w:val="none"/>
              </w:rPr>
            </w:pPr>
          </w:p>
        </w:tc>
        <w:tc>
          <w:tcPr>
            <w:tcW w:w="480" w:type="pct"/>
            <w:vAlign w:val="center"/>
          </w:tcPr>
          <w:p w14:paraId="0F9D7108">
            <w:pPr>
              <w:spacing w:line="288" w:lineRule="auto"/>
              <w:jc w:val="center"/>
              <w:rPr>
                <w:rFonts w:hint="eastAsia" w:ascii="宋体" w:hAnsi="宋体" w:eastAsia="宋体" w:cs="宋体"/>
                <w:color w:val="auto"/>
                <w:szCs w:val="21"/>
                <w:highlight w:val="none"/>
              </w:rPr>
            </w:pPr>
          </w:p>
        </w:tc>
        <w:tc>
          <w:tcPr>
            <w:tcW w:w="683" w:type="pct"/>
            <w:vAlign w:val="center"/>
          </w:tcPr>
          <w:p w14:paraId="764B297C">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35DE28A4">
            <w:pPr>
              <w:spacing w:line="288" w:lineRule="auto"/>
              <w:jc w:val="center"/>
              <w:rPr>
                <w:rFonts w:hint="eastAsia" w:ascii="宋体" w:hAnsi="宋体" w:eastAsia="宋体" w:cs="宋体"/>
                <w:color w:val="auto"/>
                <w:szCs w:val="21"/>
                <w:highlight w:val="none"/>
              </w:rPr>
            </w:pPr>
          </w:p>
        </w:tc>
      </w:tr>
      <w:tr w14:paraId="5B48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00D6947">
            <w:pPr>
              <w:spacing w:line="288" w:lineRule="auto"/>
              <w:jc w:val="center"/>
              <w:rPr>
                <w:rFonts w:hint="eastAsia" w:ascii="宋体" w:hAnsi="宋体" w:eastAsia="宋体" w:cs="宋体"/>
                <w:color w:val="auto"/>
                <w:szCs w:val="21"/>
                <w:highlight w:val="none"/>
              </w:rPr>
            </w:pPr>
          </w:p>
        </w:tc>
        <w:tc>
          <w:tcPr>
            <w:tcW w:w="412" w:type="pct"/>
            <w:vAlign w:val="center"/>
          </w:tcPr>
          <w:p w14:paraId="144420B7">
            <w:pPr>
              <w:spacing w:line="288" w:lineRule="auto"/>
              <w:jc w:val="center"/>
              <w:rPr>
                <w:rFonts w:hint="eastAsia" w:ascii="宋体" w:hAnsi="宋体" w:eastAsia="宋体" w:cs="宋体"/>
                <w:color w:val="auto"/>
                <w:szCs w:val="21"/>
                <w:highlight w:val="none"/>
              </w:rPr>
            </w:pPr>
          </w:p>
        </w:tc>
        <w:tc>
          <w:tcPr>
            <w:tcW w:w="1092" w:type="pct"/>
            <w:vAlign w:val="center"/>
          </w:tcPr>
          <w:p w14:paraId="101E583F">
            <w:pPr>
              <w:spacing w:line="288" w:lineRule="auto"/>
              <w:jc w:val="center"/>
              <w:rPr>
                <w:rFonts w:hint="eastAsia" w:ascii="宋体" w:hAnsi="宋体" w:eastAsia="宋体" w:cs="宋体"/>
                <w:color w:val="auto"/>
                <w:szCs w:val="21"/>
                <w:highlight w:val="none"/>
              </w:rPr>
            </w:pPr>
          </w:p>
        </w:tc>
        <w:tc>
          <w:tcPr>
            <w:tcW w:w="412" w:type="pct"/>
            <w:vAlign w:val="center"/>
          </w:tcPr>
          <w:p w14:paraId="6CB637C0">
            <w:pPr>
              <w:spacing w:line="288" w:lineRule="auto"/>
              <w:jc w:val="center"/>
              <w:rPr>
                <w:rFonts w:hint="eastAsia" w:ascii="宋体" w:hAnsi="宋体" w:eastAsia="宋体" w:cs="宋体"/>
                <w:color w:val="auto"/>
                <w:szCs w:val="21"/>
                <w:highlight w:val="none"/>
              </w:rPr>
            </w:pPr>
          </w:p>
        </w:tc>
        <w:tc>
          <w:tcPr>
            <w:tcW w:w="412" w:type="pct"/>
            <w:vAlign w:val="center"/>
          </w:tcPr>
          <w:p w14:paraId="3A372237">
            <w:pPr>
              <w:spacing w:line="288" w:lineRule="auto"/>
              <w:jc w:val="center"/>
              <w:rPr>
                <w:rFonts w:hint="eastAsia" w:ascii="宋体" w:hAnsi="宋体" w:eastAsia="宋体" w:cs="宋体"/>
                <w:color w:val="auto"/>
                <w:szCs w:val="21"/>
                <w:highlight w:val="none"/>
              </w:rPr>
            </w:pPr>
          </w:p>
        </w:tc>
        <w:tc>
          <w:tcPr>
            <w:tcW w:w="683" w:type="pct"/>
            <w:vAlign w:val="center"/>
          </w:tcPr>
          <w:p w14:paraId="24F90815">
            <w:pPr>
              <w:spacing w:line="288" w:lineRule="auto"/>
              <w:jc w:val="center"/>
              <w:rPr>
                <w:rFonts w:hint="eastAsia" w:ascii="宋体" w:hAnsi="宋体" w:eastAsia="宋体" w:cs="宋体"/>
                <w:color w:val="auto"/>
                <w:szCs w:val="21"/>
                <w:highlight w:val="none"/>
              </w:rPr>
            </w:pPr>
          </w:p>
        </w:tc>
        <w:tc>
          <w:tcPr>
            <w:tcW w:w="480" w:type="pct"/>
            <w:vAlign w:val="center"/>
          </w:tcPr>
          <w:p w14:paraId="47F1B608">
            <w:pPr>
              <w:spacing w:line="288" w:lineRule="auto"/>
              <w:jc w:val="center"/>
              <w:rPr>
                <w:rFonts w:hint="eastAsia" w:ascii="宋体" w:hAnsi="宋体" w:eastAsia="宋体" w:cs="宋体"/>
                <w:color w:val="auto"/>
                <w:szCs w:val="21"/>
                <w:highlight w:val="none"/>
              </w:rPr>
            </w:pPr>
          </w:p>
        </w:tc>
        <w:tc>
          <w:tcPr>
            <w:tcW w:w="683" w:type="pct"/>
            <w:vAlign w:val="center"/>
          </w:tcPr>
          <w:p w14:paraId="1123B869">
            <w:pPr>
              <w:spacing w:line="288" w:lineRule="auto"/>
              <w:jc w:val="center"/>
              <w:rPr>
                <w:rFonts w:hint="eastAsia" w:ascii="宋体" w:hAnsi="宋体" w:eastAsia="宋体" w:cs="宋体"/>
                <w:color w:val="auto"/>
                <w:szCs w:val="21"/>
                <w:highlight w:val="none"/>
              </w:rPr>
            </w:pPr>
          </w:p>
        </w:tc>
        <w:tc>
          <w:tcPr>
            <w:tcW w:w="412" w:type="pct"/>
            <w:tcBorders>
              <w:right w:val="single" w:color="auto" w:sz="6" w:space="0"/>
            </w:tcBorders>
            <w:vAlign w:val="center"/>
          </w:tcPr>
          <w:p w14:paraId="76CA714B">
            <w:pPr>
              <w:spacing w:line="288" w:lineRule="auto"/>
              <w:jc w:val="center"/>
              <w:rPr>
                <w:rFonts w:hint="eastAsia" w:ascii="宋体" w:hAnsi="宋体" w:eastAsia="宋体" w:cs="宋体"/>
                <w:color w:val="auto"/>
                <w:szCs w:val="21"/>
                <w:highlight w:val="none"/>
              </w:rPr>
            </w:pPr>
          </w:p>
        </w:tc>
      </w:tr>
    </w:tbl>
    <w:p w14:paraId="2CE48F78">
      <w:pPr>
        <w:ind w:firstLine="178" w:firstLineChars="85"/>
        <w:rPr>
          <w:rFonts w:hint="eastAsia" w:ascii="宋体" w:hAnsi="宋体" w:eastAsia="宋体" w:cs="宋体"/>
          <w:color w:val="auto"/>
          <w:szCs w:val="21"/>
          <w:highlight w:val="none"/>
        </w:rPr>
      </w:pPr>
    </w:p>
    <w:p w14:paraId="64458A5B">
      <w:pPr>
        <w:ind w:firstLine="178" w:firstLineChars="85"/>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附有关证明文件（复印件加盖公章）</w:t>
      </w:r>
    </w:p>
    <w:p w14:paraId="2562B8FB">
      <w:pPr>
        <w:ind w:firstLine="178" w:firstLineChars="85"/>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投标人代表签字：</w:t>
      </w:r>
    </w:p>
    <w:p w14:paraId="3066DBEF">
      <w:pPr>
        <w:ind w:firstLine="178" w:firstLineChars="85"/>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投标人盖章：</w:t>
      </w:r>
    </w:p>
    <w:p w14:paraId="1ACF807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45BBC465">
      <w:pPr>
        <w:pStyle w:val="42"/>
        <w:numPr>
          <w:ilvl w:val="0"/>
          <w:numId w:val="28"/>
        </w:numPr>
        <w:ind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投标人可按项目的实际需要提供本表格。</w:t>
      </w:r>
    </w:p>
    <w:p w14:paraId="4B057DF0">
      <w:pPr>
        <w:pStyle w:val="42"/>
        <w:numPr>
          <w:ilvl w:val="0"/>
          <w:numId w:val="28"/>
        </w:numPr>
        <w:ind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该表格为参考格式，投标人可按实际情况自行制订。</w:t>
      </w:r>
    </w:p>
    <w:p w14:paraId="15595D1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3、投标人若未提供或未填写完整则视为完全响应采购文件的人员要求，因此对投标人投标产生负面影响的，投标人自行承担后果。</w:t>
      </w:r>
    </w:p>
    <w:p w14:paraId="1B3F5860">
      <w:pPr>
        <w:pStyle w:val="42"/>
        <w:numPr>
          <w:ilvl w:val="0"/>
          <w:numId w:val="28"/>
        </w:numPr>
        <w:ind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7D1A44D8">
      <w:pPr>
        <w:pStyle w:val="5"/>
        <w:widowControl w:val="0"/>
        <w:overflowPunct w:val="0"/>
        <w:spacing w:line="240" w:lineRule="auto"/>
        <w:rPr>
          <w:rFonts w:hint="eastAsia" w:ascii="宋体" w:hAnsi="宋体" w:eastAsia="宋体" w:cs="宋体"/>
          <w:color w:val="auto"/>
          <w:highlight w:val="none"/>
        </w:rPr>
      </w:pPr>
      <w:bookmarkStart w:id="327" w:name="_Toc27208"/>
      <w:r>
        <w:rPr>
          <w:rFonts w:hint="eastAsia" w:ascii="宋体" w:hAnsi="宋体" w:eastAsia="宋体" w:cs="宋体"/>
          <w:color w:val="auto"/>
          <w:sz w:val="21"/>
          <w:szCs w:val="21"/>
          <w:highlight w:val="none"/>
        </w:rPr>
        <w:t>附件1</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.投标保证金汇入情况说明格式</w:t>
      </w:r>
      <w:bookmarkEnd w:id="327"/>
    </w:p>
    <w:p w14:paraId="50C91556">
      <w:pPr>
        <w:rPr>
          <w:rFonts w:hint="eastAsia" w:ascii="宋体" w:hAnsi="宋体" w:eastAsia="宋体" w:cs="宋体"/>
          <w:color w:val="auto"/>
          <w:highlight w:val="none"/>
        </w:rPr>
      </w:pPr>
    </w:p>
    <w:p w14:paraId="4F9B6102">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投标保证金汇入情况说明</w:t>
      </w:r>
    </w:p>
    <w:p w14:paraId="6147571F">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lang w:eastAsia="zh-CN"/>
        </w:rPr>
        <w:t>XDY-GK-2026-003</w:t>
      </w:r>
      <w:r>
        <w:rPr>
          <w:rFonts w:hint="eastAsia" w:ascii="宋体" w:hAnsi="宋体" w:eastAsia="宋体" w:cs="宋体"/>
          <w:color w:val="auto"/>
          <w:szCs w:val="21"/>
          <w:highlight w:val="none"/>
        </w:rPr>
        <w:t>x公司：</w:t>
      </w:r>
    </w:p>
    <w:p w14:paraId="25E7970D">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本单位已按</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项目（采购项目编号：）的采购文件要求，于年月日前以</w:t>
      </w:r>
      <w:r>
        <w:rPr>
          <w:rFonts w:hint="eastAsia" w:ascii="宋体" w:hAnsi="宋体" w:eastAsia="宋体" w:cs="宋体"/>
          <w:color w:val="auto"/>
          <w:szCs w:val="21"/>
          <w:highlight w:val="none"/>
          <w:u w:val="single"/>
        </w:rPr>
        <w:t xml:space="preserve">           （付款形式）</w:t>
      </w:r>
      <w:r>
        <w:rPr>
          <w:rFonts w:hint="eastAsia" w:ascii="宋体" w:hAnsi="宋体" w:eastAsia="宋体" w:cs="宋体"/>
          <w:color w:val="auto"/>
          <w:szCs w:val="21"/>
          <w:highlight w:val="none"/>
        </w:rPr>
        <w:t>方式汇入指定帐户（帐户名称：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，帐号：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1A1A465">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本单位投标保证金的汇款情况：（详见附件－投标保证金进帐单）</w:t>
      </w:r>
    </w:p>
    <w:p w14:paraId="0C6DC80A">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汇出时间：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81BD23A">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汇款金额：（大写）人民币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元（小写：￥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4FCC8872">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汇款帐户名称：</w:t>
      </w:r>
      <w:r>
        <w:rPr>
          <w:rFonts w:hint="eastAsia" w:ascii="宋体" w:hAnsi="宋体" w:eastAsia="宋体" w:cs="宋体"/>
          <w:color w:val="auto"/>
          <w:szCs w:val="21"/>
          <w:highlight w:val="none"/>
          <w:u w:val="single"/>
        </w:rPr>
        <w:t xml:space="preserve">  （必须是投标时使用的帐户名）   </w:t>
      </w:r>
    </w:p>
    <w:p w14:paraId="468D573A">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帐        号：</w:t>
      </w:r>
      <w:r>
        <w:rPr>
          <w:rFonts w:hint="eastAsia" w:ascii="宋体" w:hAnsi="宋体" w:eastAsia="宋体" w:cs="宋体"/>
          <w:color w:val="auto"/>
          <w:szCs w:val="21"/>
          <w:highlight w:val="none"/>
          <w:u w:val="single"/>
        </w:rPr>
        <w:t xml:space="preserve">  （必须是投标时使用的帐号）        </w:t>
      </w:r>
    </w:p>
    <w:p w14:paraId="5669D393">
      <w:pPr>
        <w:spacing w:line="48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开 户  银 行：</w:t>
      </w:r>
      <w:r>
        <w:rPr>
          <w:rFonts w:hint="eastAsia" w:ascii="宋体" w:hAnsi="宋体" w:eastAsia="宋体" w:cs="宋体"/>
          <w:color w:val="auto"/>
          <w:szCs w:val="21"/>
          <w:highlight w:val="none"/>
          <w:u w:val="single"/>
        </w:rPr>
        <w:t xml:space="preserve">  （  XX 银行 XX 分行 XX 支行   ）</w:t>
      </w:r>
    </w:p>
    <w:p w14:paraId="5BE192AC">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本单位谨承诺上述资料是正确、真实的，如因上述证明与事实不符导致的一切损失，本单位保证承担赔偿等一切法律责任。</w:t>
      </w:r>
    </w:p>
    <w:p w14:paraId="784A8EA7">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投标保证金退回时，请按上述资料退回。</w:t>
      </w:r>
    </w:p>
    <w:p w14:paraId="0828A10B">
      <w:pPr>
        <w:spacing w:line="480" w:lineRule="auto"/>
        <w:ind w:right="844" w:rightChars="402"/>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（单位公章）</w:t>
      </w:r>
    </w:p>
    <w:p w14:paraId="7B931C6D">
      <w:pPr>
        <w:spacing w:line="480" w:lineRule="auto"/>
        <w:ind w:right="628" w:rightChars="299"/>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 月 日</w:t>
      </w:r>
    </w:p>
    <w:p w14:paraId="1C8222B7">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w:t>
      </w:r>
    </w:p>
    <w:p w14:paraId="37D85697">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p>
    <w:p w14:paraId="060FFC51">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p w14:paraId="662B9920">
      <w:pPr>
        <w:spacing w:line="48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单位电话： 联系人手机：</w:t>
      </w:r>
    </w:p>
    <w:p w14:paraId="1B0769B3">
      <w:pPr>
        <w:rPr>
          <w:rFonts w:hint="eastAsia" w:ascii="宋体" w:hAnsi="宋体" w:eastAsia="宋体" w:cs="宋体"/>
          <w:color w:val="auto"/>
          <w:szCs w:val="21"/>
          <w:highlight w:val="none"/>
        </w:rPr>
      </w:pPr>
    </w:p>
    <w:p w14:paraId="4EADD435">
      <w:pPr>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9F2A136">
      <w:pPr>
        <w:spacing w:line="38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附：我方投标保证金汇款凭证</w:t>
      </w:r>
    </w:p>
    <w:tbl>
      <w:tblPr>
        <w:tblStyle w:val="31"/>
        <w:tblW w:w="895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3"/>
      </w:tblGrid>
      <w:tr w14:paraId="3781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9" w:hRule="atLeast"/>
        </w:trPr>
        <w:tc>
          <w:tcPr>
            <w:tcW w:w="8953" w:type="dxa"/>
            <w:vAlign w:val="center"/>
          </w:tcPr>
          <w:p w14:paraId="3E4E13DF">
            <w:pPr>
              <w:tabs>
                <w:tab w:val="left" w:pos="3885"/>
              </w:tabs>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（粘贴汇款单或转账凭证复印件，并在骑缝上加盖投标人公章，或是直接把转账凭证复印到此张纸上）</w:t>
            </w:r>
          </w:p>
        </w:tc>
      </w:tr>
    </w:tbl>
    <w:p w14:paraId="5FE49FB9">
      <w:pPr>
        <w:spacing w:line="48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注：此表既要装订在投标文件中，又要按投标人须知的规定与开标一览表、投标保证金汇款底单复印件及授权委托书一同密封装入唱标信封，唱标信封单独提交。</w:t>
      </w:r>
    </w:p>
    <w:p w14:paraId="29F74DDD">
      <w:pPr>
        <w:rPr>
          <w:rFonts w:hint="eastAsia" w:ascii="宋体" w:hAnsi="宋体" w:eastAsia="宋体" w:cs="宋体"/>
          <w:color w:val="auto"/>
          <w:szCs w:val="21"/>
          <w:highlight w:val="none"/>
        </w:rPr>
      </w:pPr>
    </w:p>
    <w:p w14:paraId="06C42751">
      <w:pPr>
        <w:rPr>
          <w:rFonts w:hint="eastAsia" w:ascii="宋体" w:hAnsi="宋体" w:eastAsia="宋体" w:cs="宋体"/>
          <w:color w:val="auto"/>
          <w:szCs w:val="21"/>
          <w:highlight w:val="none"/>
        </w:rPr>
      </w:pPr>
    </w:p>
    <w:p w14:paraId="7AB1D6C3">
      <w:pPr>
        <w:rPr>
          <w:rFonts w:hint="eastAsia" w:ascii="宋体" w:hAnsi="宋体" w:eastAsia="宋体" w:cs="宋体"/>
          <w:color w:val="auto"/>
          <w:szCs w:val="21"/>
          <w:highlight w:val="none"/>
        </w:rPr>
      </w:pPr>
    </w:p>
    <w:p w14:paraId="4A6A7197">
      <w:pPr>
        <w:rPr>
          <w:rFonts w:hint="eastAsia" w:ascii="宋体" w:hAnsi="宋体" w:eastAsia="宋体" w:cs="宋体"/>
          <w:color w:val="auto"/>
          <w:szCs w:val="21"/>
          <w:highlight w:val="none"/>
        </w:rPr>
      </w:pPr>
    </w:p>
    <w:p w14:paraId="1F673700">
      <w:pPr>
        <w:rPr>
          <w:rFonts w:hint="eastAsia" w:ascii="宋体" w:hAnsi="宋体" w:eastAsia="宋体" w:cs="宋体"/>
          <w:color w:val="auto"/>
          <w:szCs w:val="21"/>
          <w:highlight w:val="none"/>
        </w:rPr>
      </w:pPr>
    </w:p>
    <w:p w14:paraId="28011CAA">
      <w:pPr>
        <w:rPr>
          <w:rFonts w:hint="eastAsia" w:ascii="宋体" w:hAnsi="宋体" w:eastAsia="宋体" w:cs="宋体"/>
          <w:color w:val="auto"/>
          <w:szCs w:val="21"/>
          <w:highlight w:val="none"/>
        </w:rPr>
      </w:pPr>
    </w:p>
    <w:p w14:paraId="359B9D60">
      <w:pPr>
        <w:rPr>
          <w:rFonts w:hint="eastAsia" w:ascii="宋体" w:hAnsi="宋体" w:eastAsia="宋体" w:cs="宋体"/>
          <w:color w:val="auto"/>
          <w:szCs w:val="21"/>
          <w:highlight w:val="none"/>
        </w:rPr>
      </w:pPr>
    </w:p>
    <w:p w14:paraId="4359D381">
      <w:pPr>
        <w:rPr>
          <w:rFonts w:hint="eastAsia" w:ascii="宋体" w:hAnsi="宋体" w:eastAsia="宋体" w:cs="宋体"/>
          <w:color w:val="auto"/>
          <w:szCs w:val="21"/>
          <w:highlight w:val="none"/>
        </w:rPr>
      </w:pPr>
    </w:p>
    <w:p w14:paraId="42A888A5">
      <w:pPr>
        <w:rPr>
          <w:rFonts w:hint="eastAsia" w:ascii="宋体" w:hAnsi="宋体" w:eastAsia="宋体" w:cs="宋体"/>
          <w:color w:val="auto"/>
          <w:szCs w:val="21"/>
          <w:highlight w:val="none"/>
        </w:rPr>
      </w:pPr>
    </w:p>
    <w:p w14:paraId="320B6989">
      <w:pPr>
        <w:rPr>
          <w:rFonts w:hint="eastAsia" w:ascii="宋体" w:hAnsi="宋体" w:eastAsia="宋体" w:cs="宋体"/>
          <w:color w:val="auto"/>
          <w:szCs w:val="21"/>
          <w:highlight w:val="none"/>
        </w:rPr>
      </w:pPr>
    </w:p>
    <w:p w14:paraId="589CE85C">
      <w:pPr>
        <w:rPr>
          <w:rFonts w:hint="eastAsia" w:ascii="宋体" w:hAnsi="宋体" w:eastAsia="宋体" w:cs="宋体"/>
          <w:color w:val="auto"/>
          <w:szCs w:val="21"/>
          <w:highlight w:val="none"/>
        </w:rPr>
      </w:pPr>
    </w:p>
    <w:p w14:paraId="0038EA3C">
      <w:pPr>
        <w:rPr>
          <w:rFonts w:hint="eastAsia" w:ascii="宋体" w:hAnsi="宋体" w:eastAsia="宋体" w:cs="宋体"/>
          <w:color w:val="auto"/>
          <w:szCs w:val="21"/>
          <w:highlight w:val="none"/>
        </w:rPr>
      </w:pPr>
    </w:p>
    <w:p w14:paraId="013C49FC">
      <w:pPr>
        <w:rPr>
          <w:rFonts w:hint="eastAsia" w:ascii="宋体" w:hAnsi="宋体" w:eastAsia="宋体" w:cs="宋体"/>
          <w:color w:val="auto"/>
          <w:szCs w:val="21"/>
          <w:highlight w:val="none"/>
        </w:rPr>
      </w:pPr>
    </w:p>
    <w:p w14:paraId="45CA3635">
      <w:pPr>
        <w:rPr>
          <w:rFonts w:hint="eastAsia" w:ascii="宋体" w:hAnsi="宋体" w:eastAsia="宋体" w:cs="宋体"/>
          <w:color w:val="auto"/>
          <w:szCs w:val="21"/>
          <w:highlight w:val="none"/>
        </w:rPr>
      </w:pPr>
    </w:p>
    <w:p w14:paraId="3F4F874F">
      <w:pPr>
        <w:rPr>
          <w:rFonts w:hint="eastAsia" w:ascii="宋体" w:hAnsi="宋体" w:eastAsia="宋体" w:cs="宋体"/>
          <w:color w:val="auto"/>
          <w:szCs w:val="21"/>
          <w:highlight w:val="none"/>
        </w:rPr>
      </w:pPr>
    </w:p>
    <w:p w14:paraId="50D25603">
      <w:pPr>
        <w:rPr>
          <w:rFonts w:hint="eastAsia" w:ascii="宋体" w:hAnsi="宋体" w:eastAsia="宋体" w:cs="宋体"/>
          <w:color w:val="auto"/>
          <w:szCs w:val="21"/>
          <w:highlight w:val="none"/>
        </w:rPr>
      </w:pPr>
    </w:p>
    <w:p w14:paraId="73B7E4B2">
      <w:pPr>
        <w:rPr>
          <w:rFonts w:hint="eastAsia" w:ascii="宋体" w:hAnsi="宋体" w:eastAsia="宋体" w:cs="宋体"/>
          <w:color w:val="auto"/>
          <w:szCs w:val="21"/>
          <w:highlight w:val="none"/>
        </w:rPr>
      </w:pPr>
    </w:p>
    <w:p w14:paraId="00BCCF08">
      <w:pPr>
        <w:rPr>
          <w:rFonts w:hint="eastAsia" w:ascii="宋体" w:hAnsi="宋体" w:eastAsia="宋体" w:cs="宋体"/>
          <w:color w:val="auto"/>
          <w:szCs w:val="21"/>
          <w:highlight w:val="none"/>
        </w:rPr>
      </w:pPr>
    </w:p>
    <w:p w14:paraId="1D4126C2">
      <w:pPr>
        <w:rPr>
          <w:rFonts w:hint="eastAsia" w:ascii="宋体" w:hAnsi="宋体" w:eastAsia="宋体" w:cs="宋体"/>
          <w:color w:val="auto"/>
          <w:szCs w:val="21"/>
          <w:highlight w:val="none"/>
        </w:rPr>
      </w:pPr>
    </w:p>
    <w:p w14:paraId="14403870">
      <w:pPr>
        <w:rPr>
          <w:rFonts w:hint="eastAsia" w:ascii="宋体" w:hAnsi="宋体" w:eastAsia="宋体" w:cs="宋体"/>
          <w:color w:val="auto"/>
          <w:szCs w:val="21"/>
          <w:highlight w:val="none"/>
        </w:rPr>
      </w:pPr>
    </w:p>
    <w:p w14:paraId="0C5C8B37">
      <w:pPr>
        <w:rPr>
          <w:rFonts w:hint="eastAsia" w:ascii="宋体" w:hAnsi="宋体" w:eastAsia="宋体" w:cs="宋体"/>
          <w:color w:val="auto"/>
          <w:szCs w:val="21"/>
          <w:highlight w:val="none"/>
        </w:rPr>
      </w:pPr>
    </w:p>
    <w:p w14:paraId="6D70899C">
      <w:pPr>
        <w:pStyle w:val="5"/>
        <w:numPr>
          <w:ilvl w:val="255"/>
          <w:numId w:val="0"/>
        </w:numPr>
        <w:tabs>
          <w:tab w:val="left" w:pos="720"/>
          <w:tab w:val="left" w:pos="3840"/>
        </w:tabs>
        <w:ind w:left="283"/>
        <w:jc w:val="both"/>
        <w:rPr>
          <w:rFonts w:hint="eastAsia" w:ascii="宋体" w:hAnsi="宋体" w:eastAsia="宋体" w:cs="宋体"/>
          <w:color w:val="auto"/>
          <w:sz w:val="21"/>
          <w:szCs w:val="21"/>
          <w:highlight w:val="none"/>
        </w:rPr>
      </w:pPr>
      <w:bookmarkStart w:id="328" w:name="_Toc18296"/>
      <w:bookmarkStart w:id="329" w:name="_Toc4866"/>
      <w:bookmarkStart w:id="330" w:name="_Toc19947"/>
      <w:bookmarkStart w:id="331" w:name="_Toc25861"/>
      <w:bookmarkStart w:id="332" w:name="_Toc1562"/>
      <w:bookmarkStart w:id="333" w:name="_Toc2144"/>
      <w:bookmarkStart w:id="334" w:name="_Toc17028"/>
      <w:bookmarkStart w:id="335" w:name="_Toc8036"/>
      <w:bookmarkStart w:id="336" w:name="_Toc14605"/>
      <w:bookmarkStart w:id="337" w:name="_Toc29855"/>
      <w:bookmarkStart w:id="338" w:name="_Toc28623"/>
      <w:r>
        <w:rPr>
          <w:rFonts w:hint="eastAsia" w:ascii="宋体" w:hAnsi="宋体" w:eastAsia="宋体" w:cs="宋体"/>
          <w:color w:val="auto"/>
          <w:sz w:val="21"/>
          <w:szCs w:val="21"/>
          <w:highlight w:val="none"/>
        </w:rPr>
        <w:t>附件</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.不可撤销履约保函</w:t>
      </w:r>
      <w:bookmarkEnd w:id="328"/>
      <w:bookmarkEnd w:id="329"/>
      <w:bookmarkEnd w:id="330"/>
      <w:bookmarkEnd w:id="331"/>
      <w:bookmarkEnd w:id="332"/>
      <w:bookmarkEnd w:id="333"/>
      <w:bookmarkEnd w:id="334"/>
      <w:bookmarkEnd w:id="335"/>
      <w:bookmarkEnd w:id="336"/>
      <w:bookmarkEnd w:id="337"/>
      <w:bookmarkEnd w:id="338"/>
    </w:p>
    <w:p w14:paraId="08E27ADC">
      <w:pPr>
        <w:jc w:val="center"/>
        <w:rPr>
          <w:rFonts w:hint="eastAsia" w:ascii="宋体" w:hAnsi="宋体" w:eastAsia="宋体" w:cs="宋体"/>
          <w:color w:val="auto"/>
          <w:highlight w:val="none"/>
        </w:rPr>
      </w:pPr>
      <w:r>
        <w:rPr>
          <w:rFonts w:hint="eastAsia" w:ascii="宋体" w:hAnsi="宋体" w:eastAsia="宋体" w:cs="宋体"/>
          <w:color w:val="auto"/>
          <w:highlight w:val="none"/>
        </w:rPr>
        <w:t>银行编号：</w:t>
      </w:r>
    </w:p>
    <w:p w14:paraId="0E903995">
      <w:pPr>
        <w:rPr>
          <w:rFonts w:hint="eastAsia" w:ascii="宋体" w:hAnsi="宋体" w:eastAsia="宋体" w:cs="宋体"/>
          <w:color w:val="auto"/>
          <w:highlight w:val="none"/>
        </w:rPr>
      </w:pPr>
      <w:r>
        <w:rPr>
          <w:rFonts w:hint="eastAsia" w:ascii="宋体" w:hAnsi="宋体" w:eastAsia="宋体" w:cs="宋体"/>
          <w:color w:val="auto"/>
          <w:highlight w:val="none"/>
        </w:rPr>
        <w:t>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（甲方）</w:t>
      </w:r>
    </w:p>
    <w:p w14:paraId="223FB1ED">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         （地址：          ，下称 “乙方” ）</w:t>
      </w:r>
      <w:r>
        <w:rPr>
          <w:rFonts w:hint="eastAsia" w:ascii="宋体" w:hAnsi="宋体" w:eastAsia="宋体" w:cs="宋体"/>
          <w:color w:val="auto"/>
          <w:highlight w:val="none"/>
        </w:rPr>
        <w:t>已保证按</w:t>
      </w:r>
      <w:r>
        <w:rPr>
          <w:rFonts w:hint="eastAsia" w:ascii="宋体" w:hAnsi="宋体" w:eastAsia="宋体" w:cs="宋体"/>
          <w:color w:val="auto"/>
          <w:highlight w:val="none"/>
          <w:u w:val="single"/>
        </w:rPr>
        <w:t xml:space="preserve">        承包合同书（合同编号：    ）</w:t>
      </w:r>
      <w:r>
        <w:rPr>
          <w:rFonts w:hint="eastAsia" w:ascii="宋体" w:hAnsi="宋体" w:eastAsia="宋体" w:cs="宋体"/>
          <w:color w:val="auto"/>
          <w:highlight w:val="none"/>
        </w:rPr>
        <w:t>中规定的义务履行合同。</w:t>
      </w:r>
    </w:p>
    <w:p w14:paraId="0C88BD0E">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根据上述合同约定，乙方应向甲方提供一份金额为合同总价的10%即</w:t>
      </w:r>
      <w:r>
        <w:rPr>
          <w:rFonts w:hint="eastAsia" w:ascii="宋体" w:hAnsi="宋体" w:eastAsia="宋体" w:cs="宋体"/>
          <w:color w:val="auto"/>
          <w:highlight w:val="none"/>
          <w:u w:val="single"/>
        </w:rPr>
        <w:t>人民币      （RMB    元）</w:t>
      </w:r>
      <w:r>
        <w:rPr>
          <w:rFonts w:hint="eastAsia" w:ascii="宋体" w:hAnsi="宋体" w:eastAsia="宋体" w:cs="宋体"/>
          <w:color w:val="auto"/>
          <w:highlight w:val="none"/>
        </w:rPr>
        <w:t>的</w:t>
      </w:r>
      <w:r>
        <w:rPr>
          <w:rFonts w:hint="eastAsia" w:ascii="宋体" w:hAnsi="宋体" w:eastAsia="宋体" w:cs="宋体"/>
          <w:bCs/>
          <w:color w:val="auto"/>
          <w:highlight w:val="none"/>
        </w:rPr>
        <w:t>不可撤销</w:t>
      </w:r>
      <w:r>
        <w:rPr>
          <w:rFonts w:hint="eastAsia" w:ascii="宋体" w:hAnsi="宋体" w:eastAsia="宋体" w:cs="宋体"/>
          <w:color w:val="auto"/>
          <w:highlight w:val="none"/>
        </w:rPr>
        <w:t>银行履约保函，作为乙方履行上述合同的担保。</w:t>
      </w:r>
    </w:p>
    <w:p w14:paraId="4BAC17A3">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w:t>
      </w:r>
      <w:r>
        <w:rPr>
          <w:rFonts w:hint="eastAsia" w:ascii="宋体" w:hAnsi="宋体" w:eastAsia="宋体" w:cs="宋体"/>
          <w:color w:val="auto"/>
          <w:highlight w:val="none"/>
          <w:u w:val="single"/>
        </w:rPr>
        <w:t xml:space="preserve">            （银行名称）</w:t>
      </w:r>
      <w:r>
        <w:rPr>
          <w:rFonts w:hint="eastAsia" w:ascii="宋体" w:hAnsi="宋体" w:eastAsia="宋体" w:cs="宋体"/>
          <w:color w:val="auto"/>
          <w:highlight w:val="none"/>
        </w:rPr>
        <w:t>，受乙方的委托，不仅作为连带责任保证人而且作为主要的责任人，无条件和不可撤销地同意在甲方提出因乙方没有履行上述合同规定，而要求扣划保证金的书面要求后，7个工作日内为甲方扣划金额不超过</w:t>
      </w:r>
      <w:r>
        <w:rPr>
          <w:rFonts w:hint="eastAsia" w:ascii="宋体" w:hAnsi="宋体" w:eastAsia="宋体" w:cs="宋体"/>
          <w:color w:val="auto"/>
          <w:highlight w:val="none"/>
          <w:u w:val="single"/>
        </w:rPr>
        <w:t>人民币          （RMB       元）</w:t>
      </w:r>
      <w:r>
        <w:rPr>
          <w:rFonts w:hint="eastAsia" w:ascii="宋体" w:hAnsi="宋体" w:eastAsia="宋体" w:cs="宋体"/>
          <w:color w:val="auto"/>
          <w:highlight w:val="none"/>
        </w:rPr>
        <w:t>的保证金。</w:t>
      </w:r>
    </w:p>
    <w:p w14:paraId="519E66E6">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我方还同意，任何甲方与乙方之间可能对合同条款的修改、规范或其他合同文件的变动补充，都不能免除我方按本保函所承担的责任。因此，有关上述变动、补充和修改无须通知我方。</w:t>
      </w:r>
    </w:p>
    <w:p w14:paraId="68998D10">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本保函从上述合同签订之日起至项目服务期结束验收合格并完成结算后，双方签字之日起7天内保持有效。</w:t>
      </w:r>
    </w:p>
    <w:p w14:paraId="063291C3">
      <w:pPr>
        <w:ind w:firstLine="2824" w:firstLineChars="1345"/>
        <w:rPr>
          <w:rFonts w:hint="eastAsia" w:ascii="宋体" w:hAnsi="宋体" w:eastAsia="宋体" w:cs="宋体"/>
          <w:color w:val="auto"/>
          <w:highlight w:val="none"/>
        </w:rPr>
      </w:pPr>
    </w:p>
    <w:p w14:paraId="16C82441">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保证人：（盖章）</w:t>
      </w:r>
      <w:r>
        <w:rPr>
          <w:rFonts w:hint="eastAsia" w:ascii="宋体" w:hAnsi="宋体" w:eastAsia="宋体" w:cs="宋体"/>
          <w:color w:val="auto"/>
          <w:highlight w:val="none"/>
          <w:u w:val="single"/>
        </w:rPr>
        <w:t xml:space="preserve">                        </w:t>
      </w:r>
    </w:p>
    <w:p w14:paraId="41A24592">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负责人：（签字）</w:t>
      </w:r>
      <w:r>
        <w:rPr>
          <w:rFonts w:hint="eastAsia" w:ascii="宋体" w:hAnsi="宋体" w:eastAsia="宋体" w:cs="宋体"/>
          <w:color w:val="auto"/>
          <w:highlight w:val="none"/>
          <w:u w:val="single"/>
        </w:rPr>
        <w:t xml:space="preserve">                        </w:t>
      </w:r>
    </w:p>
    <w:p w14:paraId="42C9992F">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联系人：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4E905FF2">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p>
    <w:p w14:paraId="1A16ADFB">
      <w:pPr>
        <w:ind w:firstLine="5040" w:firstLineChars="2400"/>
        <w:rPr>
          <w:rFonts w:hint="eastAsia" w:ascii="宋体" w:hAnsi="宋体" w:eastAsia="宋体" w:cs="宋体"/>
          <w:color w:val="auto"/>
          <w:highlight w:val="none"/>
        </w:rPr>
      </w:pPr>
      <w:r>
        <w:rPr>
          <w:rFonts w:hint="eastAsia" w:ascii="宋体" w:hAnsi="宋体" w:eastAsia="宋体" w:cs="宋体"/>
          <w:color w:val="auto"/>
          <w:highlight w:val="none"/>
        </w:rPr>
        <w:t>日期：</w:t>
      </w:r>
      <w:r>
        <w:rPr>
          <w:rFonts w:hint="eastAsia" w:ascii="宋体" w:hAnsi="宋体" w:eastAsia="宋体" w:cs="宋体"/>
          <w:color w:val="auto"/>
          <w:highlight w:val="none"/>
          <w:u w:val="single"/>
        </w:rPr>
        <w:t xml:space="preserve">                               </w:t>
      </w:r>
    </w:p>
    <w:p w14:paraId="06C227CA">
      <w:pPr>
        <w:pStyle w:val="11"/>
        <w:rPr>
          <w:rFonts w:hint="eastAsia" w:ascii="宋体" w:hAnsi="宋体" w:eastAsia="宋体" w:cs="宋体"/>
          <w:color w:val="auto"/>
          <w:szCs w:val="24"/>
          <w:highlight w:val="none"/>
        </w:rPr>
      </w:pPr>
      <w:r>
        <w:rPr>
          <w:rFonts w:hint="eastAsia" w:ascii="宋体" w:hAnsi="宋体" w:eastAsia="宋体" w:cs="宋体"/>
          <w:color w:val="auto"/>
          <w:szCs w:val="24"/>
          <w:highlight w:val="none"/>
        </w:rPr>
        <w:t>说明：投标人在投标时不需提交正式保函，在投标文件中盖投标人公章确认保函格式即可，乙方</w:t>
      </w:r>
      <w:r>
        <w:rPr>
          <w:rFonts w:hint="eastAsia" w:ascii="宋体" w:hAnsi="宋体" w:eastAsia="宋体" w:cs="宋体"/>
          <w:color w:val="auto"/>
          <w:highlight w:val="none"/>
        </w:rPr>
        <w:t>在签订合同时</w:t>
      </w:r>
      <w:r>
        <w:rPr>
          <w:rFonts w:hint="eastAsia" w:ascii="宋体" w:hAnsi="宋体" w:eastAsia="宋体" w:cs="宋体"/>
          <w:color w:val="auto"/>
          <w:szCs w:val="24"/>
          <w:highlight w:val="none"/>
        </w:rPr>
        <w:t>提交正式保函。</w:t>
      </w:r>
    </w:p>
    <w:p w14:paraId="6F4D2ED9">
      <w:pPr>
        <w:rPr>
          <w:rFonts w:hint="eastAsia" w:ascii="宋体" w:hAnsi="宋体" w:eastAsia="宋体" w:cs="宋体"/>
          <w:color w:val="auto"/>
          <w:szCs w:val="21"/>
          <w:highlight w:val="none"/>
        </w:rPr>
      </w:pPr>
    </w:p>
    <w:p w14:paraId="4706FDA3">
      <w:pPr>
        <w:rPr>
          <w:rFonts w:hint="eastAsia" w:ascii="宋体" w:hAnsi="宋体" w:eastAsia="宋体" w:cs="宋体"/>
          <w:color w:val="auto"/>
          <w:szCs w:val="21"/>
          <w:highlight w:val="none"/>
        </w:rPr>
        <w:sectPr>
          <w:pgSz w:w="11906" w:h="16838"/>
          <w:pgMar w:top="1440" w:right="1800" w:bottom="1440" w:left="1800" w:header="708" w:footer="708" w:gutter="0"/>
          <w:cols w:space="708" w:num="1"/>
          <w:titlePg/>
          <w:docGrid w:type="lines" w:linePitch="360" w:charSpace="0"/>
        </w:sectPr>
      </w:pPr>
    </w:p>
    <w:p w14:paraId="5E76011A">
      <w:pPr>
        <w:pStyle w:val="5"/>
        <w:numPr>
          <w:ilvl w:val="255"/>
          <w:numId w:val="0"/>
        </w:numPr>
        <w:tabs>
          <w:tab w:val="left" w:pos="720"/>
          <w:tab w:val="left" w:pos="3840"/>
        </w:tabs>
        <w:ind w:left="283"/>
        <w:jc w:val="both"/>
        <w:rPr>
          <w:rFonts w:hint="eastAsia" w:ascii="宋体" w:hAnsi="宋体" w:eastAsia="宋体" w:cs="宋体"/>
          <w:color w:val="auto"/>
          <w:sz w:val="21"/>
          <w:szCs w:val="21"/>
          <w:highlight w:val="none"/>
        </w:rPr>
      </w:pPr>
      <w:bookmarkStart w:id="339" w:name="_Toc21597"/>
      <w:r>
        <w:rPr>
          <w:rFonts w:hint="eastAsia" w:ascii="宋体" w:hAnsi="宋体" w:eastAsia="宋体" w:cs="宋体"/>
          <w:color w:val="auto"/>
          <w:sz w:val="21"/>
          <w:szCs w:val="21"/>
          <w:highlight w:val="none"/>
        </w:rPr>
        <w:t>附件2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.预付款保函（适用于预付款支付）</w:t>
      </w:r>
      <w:bookmarkEnd w:id="339"/>
    </w:p>
    <w:p w14:paraId="0B9705DA">
      <w:pPr>
        <w:pStyle w:val="11"/>
        <w:rPr>
          <w:rFonts w:hint="eastAsia" w:ascii="宋体" w:hAnsi="宋体" w:eastAsia="宋体" w:cs="宋体"/>
          <w:color w:val="auto"/>
          <w:szCs w:val="24"/>
          <w:highlight w:val="none"/>
        </w:rPr>
      </w:pPr>
    </w:p>
    <w:p w14:paraId="1E452FE8">
      <w:pPr>
        <w:jc w:val="center"/>
        <w:rPr>
          <w:rFonts w:hint="eastAsia" w:ascii="宋体" w:hAnsi="宋体" w:eastAsia="宋体" w:cs="宋体"/>
          <w:color w:val="auto"/>
          <w:sz w:val="28"/>
          <w:szCs w:val="28"/>
          <w:highlight w:val="none"/>
        </w:rPr>
      </w:pPr>
      <w:bookmarkStart w:id="340" w:name="_Toc20669"/>
      <w:bookmarkStart w:id="341" w:name="_Toc10315"/>
      <w:bookmarkStart w:id="342" w:name="_Toc29054"/>
      <w:bookmarkStart w:id="343" w:name="_Toc29728"/>
      <w:bookmarkStart w:id="344" w:name="_Toc27545"/>
      <w:bookmarkStart w:id="345" w:name="_Toc1039"/>
      <w:bookmarkStart w:id="346" w:name="_Toc31418"/>
      <w:bookmarkStart w:id="347" w:name="_Toc3295"/>
      <w:bookmarkStart w:id="348" w:name="_Toc7374"/>
      <w:bookmarkStart w:id="349" w:name="_Toc5034"/>
      <w:bookmarkStart w:id="350" w:name="_Toc25494"/>
      <w:bookmarkStart w:id="351" w:name="_Toc6877"/>
      <w:r>
        <w:rPr>
          <w:rFonts w:hint="eastAsia" w:ascii="宋体" w:hAnsi="宋体" w:eastAsia="宋体" w:cs="宋体"/>
          <w:color w:val="auto"/>
          <w:sz w:val="28"/>
          <w:szCs w:val="28"/>
          <w:highlight w:val="none"/>
        </w:rPr>
        <w:t>不可撤销预付款保函</w:t>
      </w:r>
      <w:bookmarkEnd w:id="340"/>
      <w:bookmarkEnd w:id="341"/>
      <w:bookmarkEnd w:id="342"/>
      <w:bookmarkEnd w:id="343"/>
      <w:bookmarkEnd w:id="344"/>
      <w:bookmarkEnd w:id="345"/>
      <w:bookmarkEnd w:id="346"/>
      <w:bookmarkEnd w:id="347"/>
      <w:bookmarkEnd w:id="348"/>
      <w:bookmarkEnd w:id="349"/>
      <w:bookmarkEnd w:id="350"/>
      <w:bookmarkEnd w:id="351"/>
    </w:p>
    <w:p w14:paraId="53EE0F84">
      <w:pPr>
        <w:ind w:firstLine="63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银行编号：</w:t>
      </w:r>
      <w:r>
        <w:rPr>
          <w:rFonts w:hint="eastAsia" w:ascii="宋体" w:hAnsi="宋体" w:eastAsia="宋体" w:cs="宋体"/>
          <w:color w:val="auto"/>
          <w:szCs w:val="21"/>
          <w:highlight w:val="none"/>
          <w:u w:val="single"/>
        </w:rPr>
        <w:t xml:space="preserve">             </w:t>
      </w:r>
    </w:p>
    <w:p w14:paraId="053ACE86">
      <w:pPr>
        <w:ind w:firstLine="6300"/>
        <w:rPr>
          <w:rFonts w:hint="eastAsia" w:ascii="宋体" w:hAnsi="宋体" w:eastAsia="宋体" w:cs="宋体"/>
          <w:color w:val="auto"/>
          <w:szCs w:val="21"/>
          <w:highlight w:val="none"/>
        </w:rPr>
      </w:pPr>
    </w:p>
    <w:p w14:paraId="6A78EF6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（下称“采购人”）</w:t>
      </w:r>
    </w:p>
    <w:p w14:paraId="3EBA71B9">
      <w:pPr>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鉴于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4"/>
          <w:highlight w:val="none"/>
          <w:u w:val="single"/>
        </w:rPr>
        <w:t>（地址：          ，下称 “中标人” ）</w:t>
      </w:r>
      <w:r>
        <w:rPr>
          <w:rFonts w:hint="eastAsia" w:ascii="宋体" w:hAnsi="宋体" w:eastAsia="宋体" w:cs="宋体"/>
          <w:color w:val="auto"/>
          <w:szCs w:val="21"/>
          <w:highlight w:val="none"/>
        </w:rPr>
        <w:t>，已保证按</w:t>
      </w:r>
      <w:r>
        <w:rPr>
          <w:rFonts w:hint="eastAsia" w:ascii="宋体" w:hAnsi="宋体" w:eastAsia="宋体" w:cs="宋体"/>
          <w:color w:val="auto"/>
          <w:szCs w:val="21"/>
          <w:highlight w:val="none"/>
          <w:u w:val="single"/>
        </w:rPr>
        <w:t xml:space="preserve">          承包合同书（合同编号：    ）</w:t>
      </w:r>
      <w:r>
        <w:rPr>
          <w:rFonts w:hint="eastAsia" w:ascii="宋体" w:hAnsi="宋体" w:eastAsia="宋体" w:cs="宋体"/>
          <w:color w:val="auto"/>
          <w:szCs w:val="21"/>
          <w:highlight w:val="none"/>
        </w:rPr>
        <w:t>中规定的义务履行合同。</w:t>
      </w:r>
    </w:p>
    <w:p w14:paraId="3F74510C">
      <w:pPr>
        <w:ind w:firstLine="437"/>
        <w:rPr>
          <w:rFonts w:hint="eastAsia" w:ascii="宋体" w:hAnsi="宋体" w:eastAsia="宋体" w:cs="宋体"/>
          <w:color w:val="auto"/>
          <w:szCs w:val="21"/>
          <w:highlight w:val="none"/>
        </w:rPr>
      </w:pPr>
      <w:r>
        <w:rPr>
          <w:rFonts w:hint="eastAsia" w:ascii="宋体" w:hAnsi="宋体" w:eastAsia="宋体" w:cs="宋体"/>
          <w:color w:val="auto"/>
          <w:szCs w:val="24"/>
          <w:highlight w:val="none"/>
        </w:rPr>
        <w:t>根据上述合同（招标文件）规定，中标人应向采购人提供一份金额为合同总价的</w:t>
      </w:r>
      <w:r>
        <w:rPr>
          <w:rFonts w:hint="eastAsia" w:ascii="宋体" w:hAnsi="宋体" w:eastAsia="宋体" w:cs="宋体"/>
          <w:color w:val="auto"/>
          <w:szCs w:val="24"/>
          <w:highlight w:val="none"/>
          <w:u w:val="single"/>
        </w:rPr>
        <w:t xml:space="preserve">   </w:t>
      </w:r>
      <w:r>
        <w:rPr>
          <w:rFonts w:hint="eastAsia" w:ascii="宋体" w:hAnsi="宋体" w:eastAsia="宋体" w:cs="宋体"/>
          <w:color w:val="auto"/>
          <w:szCs w:val="24"/>
          <w:highlight w:val="none"/>
        </w:rPr>
        <w:t>% 即人民币</w:t>
      </w:r>
      <w:r>
        <w:rPr>
          <w:rFonts w:hint="eastAsia" w:ascii="宋体" w:hAnsi="宋体" w:eastAsia="宋体" w:cs="宋体"/>
          <w:color w:val="auto"/>
          <w:szCs w:val="21"/>
          <w:highlight w:val="none"/>
          <w:u w:val="single"/>
        </w:rPr>
        <w:t xml:space="preserve">      （RMB      元）</w:t>
      </w:r>
      <w:r>
        <w:rPr>
          <w:rFonts w:hint="eastAsia" w:ascii="宋体" w:hAnsi="宋体" w:eastAsia="宋体" w:cs="宋体"/>
          <w:color w:val="auto"/>
          <w:szCs w:val="21"/>
          <w:highlight w:val="none"/>
        </w:rPr>
        <w:t>的不可撤销银行预付款保函，以保证中标人履行合同的相关条款。</w:t>
      </w:r>
    </w:p>
    <w:p w14:paraId="166B10A5">
      <w:pPr>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w:t>
      </w:r>
      <w:r>
        <w:rPr>
          <w:rFonts w:hint="eastAsia" w:ascii="宋体" w:hAnsi="宋体" w:eastAsia="宋体" w:cs="宋体"/>
          <w:color w:val="auto"/>
          <w:szCs w:val="21"/>
          <w:highlight w:val="none"/>
          <w:u w:val="single"/>
        </w:rPr>
        <w:t xml:space="preserve">  （银行名称）  </w:t>
      </w:r>
      <w:r>
        <w:rPr>
          <w:rFonts w:hint="eastAsia" w:ascii="宋体" w:hAnsi="宋体" w:eastAsia="宋体" w:cs="宋体"/>
          <w:color w:val="auto"/>
          <w:szCs w:val="21"/>
          <w:highlight w:val="none"/>
        </w:rPr>
        <w:t>，受中标人的委托，作为连带责任保证人，无条件和不可撤销地同意在采购人提出因中标人没有履行上述合同规定，而要求收回上述金额内任何付款的书面要求后，于7个工作日内为采购人予以支付并保证到达采购人账户，以保证在中标人没有履行或部分履行合同条款的责任时，采购人可以向中标人收回全部或部分预付款。</w:t>
      </w:r>
    </w:p>
    <w:p w14:paraId="5750B388">
      <w:pPr>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我方还同意，任何采购人与中标人之间可能对合同条款的修改、规范或其他合同文件的变动补充，都不能免除我方按本保函所承担的责任。因此，有关上述变动、补充和修改无须通知我方。</w:t>
      </w:r>
    </w:p>
    <w:p w14:paraId="3BD64D2C">
      <w:pPr>
        <w:ind w:firstLine="437"/>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本保函有效期从保函开立之日起至采购人向中标人抵扣完所有预付款之日止。</w:t>
      </w:r>
    </w:p>
    <w:p w14:paraId="506FEF25">
      <w:pPr>
        <w:rPr>
          <w:rFonts w:hint="eastAsia" w:ascii="宋体" w:hAnsi="宋体" w:eastAsia="宋体" w:cs="宋体"/>
          <w:color w:val="auto"/>
          <w:szCs w:val="21"/>
          <w:highlight w:val="none"/>
        </w:rPr>
      </w:pPr>
    </w:p>
    <w:p w14:paraId="4C7488B5">
      <w:pPr>
        <w:ind w:firstLine="437"/>
        <w:rPr>
          <w:rFonts w:hint="eastAsia" w:ascii="宋体" w:hAnsi="宋体" w:eastAsia="宋体" w:cs="宋体"/>
          <w:color w:val="auto"/>
          <w:szCs w:val="21"/>
          <w:highlight w:val="none"/>
        </w:rPr>
      </w:pPr>
    </w:p>
    <w:p w14:paraId="41225B4C">
      <w:pPr>
        <w:ind w:firstLine="4860"/>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保证人：（公章）</w:t>
      </w:r>
      <w:r>
        <w:rPr>
          <w:rFonts w:hint="eastAsia" w:ascii="宋体" w:hAnsi="宋体" w:eastAsia="宋体" w:cs="宋体"/>
          <w:color w:val="auto"/>
          <w:szCs w:val="21"/>
          <w:highlight w:val="none"/>
          <w:u w:val="single"/>
        </w:rPr>
        <w:t xml:space="preserve">                     </w:t>
      </w:r>
    </w:p>
    <w:p w14:paraId="0DF8A701">
      <w:pPr>
        <w:ind w:firstLine="486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负责人：（签字）</w:t>
      </w:r>
      <w:r>
        <w:rPr>
          <w:rFonts w:hint="eastAsia" w:ascii="宋体" w:hAnsi="宋体" w:eastAsia="宋体" w:cs="宋体"/>
          <w:color w:val="auto"/>
          <w:szCs w:val="21"/>
          <w:highlight w:val="none"/>
          <w:u w:val="single"/>
        </w:rPr>
        <w:t xml:space="preserve">                     </w:t>
      </w:r>
    </w:p>
    <w:p w14:paraId="6D2632BA">
      <w:pPr>
        <w:ind w:firstLine="486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xml:space="preserve">                          </w:t>
      </w:r>
    </w:p>
    <w:p w14:paraId="28E8452D">
      <w:pPr>
        <w:ind w:firstLine="486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p>
    <w:p w14:paraId="25BA5BBB">
      <w:pPr>
        <w:ind w:firstLine="486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p>
    <w:p w14:paraId="1E9BAC9F">
      <w:pPr>
        <w:pStyle w:val="11"/>
        <w:rPr>
          <w:rFonts w:hint="eastAsia" w:ascii="宋体" w:hAnsi="宋体" w:eastAsia="宋体" w:cs="宋体"/>
          <w:color w:val="auto"/>
          <w:szCs w:val="21"/>
          <w:highlight w:val="none"/>
        </w:rPr>
      </w:pPr>
    </w:p>
    <w:p w14:paraId="7983B868">
      <w:pPr>
        <w:pStyle w:val="11"/>
        <w:rPr>
          <w:rFonts w:hint="eastAsia" w:ascii="宋体" w:hAnsi="宋体" w:eastAsia="宋体" w:cs="宋体"/>
          <w:color w:val="auto"/>
          <w:szCs w:val="21"/>
          <w:highlight w:val="none"/>
        </w:rPr>
      </w:pPr>
    </w:p>
    <w:p w14:paraId="3496431E">
      <w:pPr>
        <w:ind w:firstLine="413" w:firstLineChars="196"/>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说明：投标人在投标文件中盖投标人公章确认保函内容即可，如中标再由银行出具保函。</w:t>
      </w:r>
    </w:p>
    <w:p w14:paraId="2C8F9FA8">
      <w:pPr>
        <w:rPr>
          <w:rFonts w:hint="eastAsia" w:ascii="宋体" w:hAnsi="宋体" w:eastAsia="宋体" w:cs="宋体"/>
          <w:color w:val="auto"/>
          <w:szCs w:val="21"/>
          <w:highlight w:val="none"/>
        </w:rPr>
        <w:sectPr>
          <w:pgSz w:w="11906" w:h="16838"/>
          <w:pgMar w:top="1440" w:right="1800" w:bottom="1440" w:left="1800" w:header="708" w:footer="708" w:gutter="0"/>
          <w:cols w:space="708" w:num="1"/>
          <w:titlePg/>
          <w:docGrid w:type="lines" w:linePitch="360" w:charSpace="0"/>
        </w:sectPr>
      </w:pPr>
    </w:p>
    <w:p w14:paraId="5F8E6583">
      <w:pPr>
        <w:pStyle w:val="10"/>
        <w:rPr>
          <w:rFonts w:hint="eastAsia" w:ascii="宋体" w:hAnsi="宋体" w:eastAsia="宋体" w:cs="宋体"/>
          <w:color w:val="auto"/>
          <w:highlight w:val="none"/>
        </w:rPr>
      </w:pPr>
      <w:bookmarkStart w:id="352" w:name="_Toc1968"/>
    </w:p>
    <w:p w14:paraId="451F0001">
      <w:pPr>
        <w:jc w:val="center"/>
        <w:outlineLvl w:val="1"/>
        <w:rPr>
          <w:rFonts w:hint="eastAsia" w:ascii="宋体" w:hAnsi="宋体" w:eastAsia="宋体" w:cs="宋体"/>
          <w:color w:val="auto"/>
          <w:sz w:val="72"/>
          <w:szCs w:val="72"/>
          <w:highlight w:val="none"/>
        </w:rPr>
      </w:pPr>
      <w:bookmarkStart w:id="353" w:name="_Toc10744"/>
      <w:r>
        <w:rPr>
          <w:rFonts w:hint="eastAsia" w:ascii="宋体" w:hAnsi="宋体" w:eastAsia="宋体" w:cs="宋体"/>
          <w:color w:val="auto"/>
          <w:sz w:val="72"/>
          <w:szCs w:val="72"/>
          <w:highlight w:val="none"/>
        </w:rPr>
        <w:t>唱标信封</w:t>
      </w:r>
      <w:bookmarkEnd w:id="353"/>
    </w:p>
    <w:p w14:paraId="5335AEEC">
      <w:pPr>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（单独装订成册，单独封装）</w:t>
      </w:r>
    </w:p>
    <w:p w14:paraId="4C74445D">
      <w:pPr>
        <w:rPr>
          <w:rFonts w:hint="eastAsia" w:ascii="宋体" w:hAnsi="宋体" w:eastAsia="宋体" w:cs="宋体"/>
          <w:color w:val="auto"/>
          <w:highlight w:val="none"/>
        </w:rPr>
      </w:pPr>
    </w:p>
    <w:p w14:paraId="0AE114D2">
      <w:pPr>
        <w:pStyle w:val="10"/>
        <w:rPr>
          <w:rFonts w:hint="eastAsia" w:ascii="宋体" w:hAnsi="宋体" w:eastAsia="宋体" w:cs="宋体"/>
          <w:color w:val="auto"/>
          <w:highlight w:val="none"/>
        </w:rPr>
      </w:pPr>
    </w:p>
    <w:p w14:paraId="0DA5064C">
      <w:pPr>
        <w:pStyle w:val="29"/>
        <w:ind w:firstLine="240"/>
        <w:rPr>
          <w:rFonts w:hint="eastAsia" w:ascii="宋体" w:hAnsi="宋体" w:eastAsia="宋体" w:cs="宋体"/>
          <w:color w:val="auto"/>
          <w:highlight w:val="none"/>
        </w:rPr>
      </w:pPr>
    </w:p>
    <w:p w14:paraId="7F40B136">
      <w:pPr>
        <w:pStyle w:val="29"/>
        <w:ind w:firstLine="240"/>
        <w:rPr>
          <w:rFonts w:hint="eastAsia" w:ascii="宋体" w:hAnsi="宋体" w:eastAsia="宋体" w:cs="宋体"/>
          <w:color w:val="auto"/>
          <w:highlight w:val="none"/>
        </w:rPr>
      </w:pPr>
    </w:p>
    <w:p w14:paraId="7E8514BD">
      <w:pP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106"/>
          <w:sz w:val="32"/>
          <w:szCs w:val="32"/>
          <w:highlight w:val="none"/>
        </w:rPr>
        <w:t>项目名</w:t>
      </w:r>
      <w:r>
        <w:rPr>
          <w:rFonts w:hint="eastAsia" w:ascii="宋体" w:hAnsi="宋体" w:eastAsia="宋体" w:cs="宋体"/>
          <w:b/>
          <w:color w:val="auto"/>
          <w:spacing w:val="2"/>
          <w:sz w:val="32"/>
          <w:szCs w:val="32"/>
          <w:highlight w:val="none"/>
        </w:rPr>
        <w:t>称</w:t>
      </w:r>
      <w:r>
        <w:rPr>
          <w:rFonts w:hint="eastAsia" w:ascii="宋体" w:hAnsi="宋体" w:eastAsia="宋体" w:cs="宋体"/>
          <w:b/>
          <w:color w:val="auto"/>
          <w:spacing w:val="-6"/>
          <w:sz w:val="32"/>
          <w:szCs w:val="32"/>
          <w:highlight w:val="none"/>
        </w:rPr>
        <w:t>：</w:t>
      </w:r>
    </w:p>
    <w:p w14:paraId="1BE93CD5">
      <w:pPr>
        <w:rPr>
          <w:rFonts w:hint="eastAsia" w:ascii="宋体" w:hAnsi="宋体" w:eastAsia="宋体" w:cs="宋体"/>
          <w:b/>
          <w:color w:val="auto"/>
          <w:sz w:val="32"/>
          <w:szCs w:val="32"/>
          <w:highlight w:val="none"/>
        </w:rPr>
      </w:pPr>
      <w:r>
        <w:rPr>
          <w:rFonts w:hint="eastAsia" w:ascii="宋体" w:hAnsi="宋体" w:eastAsia="宋体" w:cs="宋体"/>
          <w:b/>
          <w:color w:val="auto"/>
          <w:spacing w:val="106"/>
          <w:sz w:val="32"/>
          <w:szCs w:val="32"/>
          <w:highlight w:val="none"/>
        </w:rPr>
        <w:t>项目编</w:t>
      </w:r>
      <w:r>
        <w:rPr>
          <w:rFonts w:hint="eastAsia" w:ascii="宋体" w:hAnsi="宋体" w:eastAsia="宋体" w:cs="宋体"/>
          <w:b/>
          <w:color w:val="auto"/>
          <w:spacing w:val="2"/>
          <w:sz w:val="32"/>
          <w:szCs w:val="32"/>
          <w:highlight w:val="none"/>
        </w:rPr>
        <w:t>号</w:t>
      </w:r>
      <w:r>
        <w:rPr>
          <w:rFonts w:hint="eastAsia" w:ascii="宋体" w:hAnsi="宋体" w:eastAsia="宋体" w:cs="宋体"/>
          <w:b/>
          <w:color w:val="auto"/>
          <w:sz w:val="32"/>
          <w:szCs w:val="32"/>
          <w:highlight w:val="none"/>
        </w:rPr>
        <w:t>：</w:t>
      </w:r>
    </w:p>
    <w:p w14:paraId="13CCC305">
      <w:pPr>
        <w:pStyle w:val="10"/>
        <w:ind w:left="0"/>
        <w:rPr>
          <w:rFonts w:hint="eastAsia" w:ascii="宋体" w:hAnsi="宋体" w:eastAsia="宋体" w:cs="宋体"/>
          <w:b/>
          <w:color w:val="auto"/>
          <w:spacing w:val="106"/>
          <w:sz w:val="32"/>
          <w:szCs w:val="32"/>
          <w:highlight w:val="none"/>
          <w:lang w:val="en-US" w:bidi="ar-SA"/>
        </w:rPr>
      </w:pPr>
      <w:r>
        <w:rPr>
          <w:rFonts w:hint="eastAsia" w:ascii="宋体" w:hAnsi="宋体" w:eastAsia="宋体" w:cs="宋体"/>
          <w:b/>
          <w:color w:val="auto"/>
          <w:spacing w:val="106"/>
          <w:sz w:val="32"/>
          <w:szCs w:val="32"/>
          <w:highlight w:val="none"/>
          <w:lang w:val="en-US" w:bidi="ar-SA"/>
        </w:rPr>
        <w:t>包组号（如有）：</w:t>
      </w:r>
    </w:p>
    <w:p w14:paraId="3FA8F546">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投标人名称：</w:t>
      </w:r>
    </w:p>
    <w:p w14:paraId="33EB38CC">
      <w:pPr>
        <w:rPr>
          <w:rFonts w:hint="eastAsia" w:ascii="宋体" w:hAnsi="宋体" w:eastAsia="宋体" w:cs="宋体"/>
          <w:b/>
          <w:color w:val="auto"/>
          <w:sz w:val="32"/>
          <w:szCs w:val="32"/>
          <w:highlight w:val="none"/>
        </w:rPr>
      </w:pPr>
      <w:r>
        <w:rPr>
          <w:rFonts w:hint="eastAsia" w:ascii="宋体" w:hAnsi="宋体" w:eastAsia="宋体" w:cs="宋体"/>
          <w:b/>
          <w:color w:val="auto"/>
          <w:spacing w:val="64"/>
          <w:sz w:val="32"/>
          <w:szCs w:val="32"/>
          <w:highlight w:val="none"/>
        </w:rPr>
        <w:t xml:space="preserve">日    </w:t>
      </w:r>
      <w:r>
        <w:rPr>
          <w:rFonts w:hint="eastAsia" w:ascii="宋体" w:hAnsi="宋体" w:eastAsia="宋体" w:cs="宋体"/>
          <w:b/>
          <w:color w:val="auto"/>
          <w:sz w:val="32"/>
          <w:szCs w:val="32"/>
          <w:highlight w:val="none"/>
        </w:rPr>
        <w:t>期：</w:t>
      </w:r>
    </w:p>
    <w:p w14:paraId="4C13D59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5550A38E">
      <w:pPr>
        <w:outlineLvl w:val="1"/>
        <w:rPr>
          <w:rFonts w:hint="eastAsia" w:ascii="宋体" w:hAnsi="宋体" w:eastAsia="宋体" w:cs="宋体"/>
          <w:color w:val="auto"/>
          <w:sz w:val="72"/>
          <w:szCs w:val="72"/>
          <w:highlight w:val="none"/>
        </w:rPr>
        <w:sectPr>
          <w:pgSz w:w="11906" w:h="16838"/>
          <w:pgMar w:top="1440" w:right="1800" w:bottom="1440" w:left="1800" w:header="708" w:footer="708" w:gutter="0"/>
          <w:cols w:space="708" w:num="1"/>
          <w:titlePg/>
          <w:docGrid w:type="lines" w:linePitch="360" w:charSpace="0"/>
        </w:sectPr>
      </w:pPr>
    </w:p>
    <w:bookmarkEnd w:id="352"/>
    <w:p w14:paraId="3F87C61C">
      <w:pPr>
        <w:pStyle w:val="5"/>
        <w:numPr>
          <w:ilvl w:val="255"/>
          <w:numId w:val="0"/>
        </w:numPr>
        <w:tabs>
          <w:tab w:val="left" w:pos="720"/>
          <w:tab w:val="left" w:pos="3840"/>
        </w:tabs>
        <w:ind w:left="283"/>
        <w:jc w:val="both"/>
        <w:rPr>
          <w:rFonts w:hint="eastAsia" w:ascii="宋体" w:hAnsi="宋体" w:eastAsia="宋体" w:cs="宋体"/>
          <w:color w:val="auto"/>
          <w:sz w:val="21"/>
          <w:szCs w:val="21"/>
          <w:highlight w:val="none"/>
        </w:rPr>
      </w:pPr>
      <w:bookmarkStart w:id="354" w:name="_Toc14145"/>
      <w:r>
        <w:rPr>
          <w:rFonts w:hint="eastAsia" w:ascii="宋体" w:hAnsi="宋体" w:eastAsia="宋体" w:cs="宋体"/>
          <w:color w:val="auto"/>
          <w:sz w:val="21"/>
          <w:szCs w:val="21"/>
          <w:highlight w:val="none"/>
        </w:rPr>
        <w:t>附件2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.唱标信封内装（内容务必与投标文件正本一致）</w:t>
      </w:r>
      <w:bookmarkEnd w:id="354"/>
    </w:p>
    <w:p w14:paraId="11748303">
      <w:pPr>
        <w:numPr>
          <w:ilvl w:val="0"/>
          <w:numId w:val="29"/>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开标一览表加盖公章；</w:t>
      </w:r>
    </w:p>
    <w:p w14:paraId="0C27ED05">
      <w:pPr>
        <w:numPr>
          <w:ilvl w:val="0"/>
          <w:numId w:val="29"/>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法定代表人证明书加盖公章；</w:t>
      </w:r>
    </w:p>
    <w:p w14:paraId="5B8A3599">
      <w:pPr>
        <w:numPr>
          <w:ilvl w:val="0"/>
          <w:numId w:val="29"/>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法定代表人授权委托书加盖公章（法定代表人投标的除外）；</w:t>
      </w:r>
    </w:p>
    <w:p w14:paraId="18AE460C">
      <w:pPr>
        <w:numPr>
          <w:ilvl w:val="0"/>
          <w:numId w:val="29"/>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投标保证金汇入情况说明（含银行汇款凭证）或投标保函加盖公章；</w:t>
      </w:r>
    </w:p>
    <w:p w14:paraId="3A7F5818">
      <w:pPr>
        <w:numPr>
          <w:ilvl w:val="0"/>
          <w:numId w:val="29"/>
        </w:numPr>
        <w:ind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投标文件电子文件（U盘，须含盖章版PDF投标文件和WORD版投标文件各一版，文字采用WORD文档，计算表格采用 EXCEL文档。）</w:t>
      </w:r>
    </w:p>
    <w:p w14:paraId="416AADE7">
      <w:pPr>
        <w:rPr>
          <w:rFonts w:hint="eastAsia" w:ascii="宋体" w:hAnsi="宋体" w:eastAsia="宋体" w:cs="宋体"/>
          <w:color w:val="auto"/>
          <w:szCs w:val="21"/>
          <w:highlight w:val="none"/>
        </w:rPr>
      </w:pPr>
    </w:p>
    <w:p w14:paraId="1C200DC2">
      <w:pPr>
        <w:pStyle w:val="10"/>
        <w:rPr>
          <w:rFonts w:hint="eastAsia" w:ascii="宋体" w:hAnsi="宋体" w:eastAsia="宋体" w:cs="宋体"/>
          <w:color w:val="auto"/>
          <w:highlight w:val="none"/>
        </w:rPr>
      </w:pPr>
    </w:p>
    <w:sectPr>
      <w:pgSz w:w="11906" w:h="16838"/>
      <w:pgMar w:top="1440" w:right="1800" w:bottom="1440" w:left="1800" w:header="708" w:footer="708"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方正书宋简体">
    <w:altName w:val="宋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3D570">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A71D0E">
                          <w:pPr>
                            <w:pStyle w:val="18"/>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BA71D0E">
                    <w:pPr>
                      <w:pStyle w:val="18"/>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5B6B1">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6BC5">
    <w:pPr>
      <w:pStyle w:val="1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3F3A4D">
                          <w:pPr>
                            <w:pStyle w:val="1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23F3A4D">
                    <w:pPr>
                      <w:pStyle w:val="18"/>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C84AE">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8839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088390" cy="1828800"/>
                      </a:xfrm>
                      <a:prstGeom prst="rect">
                        <a:avLst/>
                      </a:prstGeom>
                      <a:noFill/>
                      <a:ln>
                        <a:noFill/>
                      </a:ln>
                    </wps:spPr>
                    <wps:txbx>
                      <w:txbxContent>
                        <w:p w14:paraId="21E8C5CA">
                          <w:pPr>
                            <w:pStyle w:val="18"/>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85.7pt;mso-position-horizontal:center;mso-position-horizontal-relative:margin;z-index:251659264;mso-width-relative:page;mso-height-relative:page;" filled="f" stroked="f" coordsize="21600,21600" o:gfxdata="UEsDBAoAAAAAAIdO4kAAAAAAAAAAAAAAAAAEAAAAZHJzL1BLAwQUAAAACACHTuJAMbH6pNMAAAAF&#10;AQAADwAAAGRycy9kb3ducmV2LnhtbE2PMU/DMBCFd6T+B+uQWBC1HaES0jgdKljYKF3Y3PiaRNjn&#10;KHaT0F+P26UsJz29p/e+Kzezs2zEIXSeFMilAIZUe9NRo2D/9f6UAwtRk9HWEyr4xQCbanFX6sL4&#10;iT5x3MWGpRIKhVbQxtgXnIe6RafD0vdIyTv6wemY5NBwM+gplTvLMyFW3OmO0kKre9y2WP/sTk7B&#10;an7rHz9eMZvOtR3p+yxlRKnUw70Ua2AR53gLwwU/oUOVmA7+RCYwqyA9Eq/34r3IZ2AHBVmeC+BV&#10;yf/TV39QSwMEFAAAAAgAh07iQEXLnxDJAQAAkAMAAA4AAABkcnMvZTJvRG9jLnhtbK1TS27bMBDd&#10;F8gdCO5jSQ4QqILloIWRokDRFkhzAJqiLAL8gUNb8gXaG3TVTfc9l8/RISU5v00W2UjDmdGb995Q&#10;q5tBK3IQHqQ1NS0WOSXCcNtIs6vp/Y/by5ISCMw0TFkjanoUQG/WF+9WvavE0nZWNcITBDFQ9a6m&#10;XQiuyjLgndAMFtYJg8XWes0CHv0uazzrEV2rbJnn11lvfeO85QIAs5uxSCdE/xpA27aSi43ley1M&#10;GFG9UCygJOikA7pObNtW8PCtbUEEomqKSkN64hCMt/GZrVes2nnmOsknCuw1FJ5p0kwaHHqG2rDA&#10;yN7LF1Bacm/BtmHBrc5GIckRVFHkz7y565gTSQtaDe5sOrwdLP96+O6JbGp6RYlhGhd++v3r9Off&#10;6e9PUuTL6+hQ76DCxjuHrWH4aAe8N3MeMBmFD63X8Y2SCNbR3+PZXzEEwuNHeVlevccSx1pRLssy&#10;TxvIHj53HsInYTWJQU09LjD5yg5fICAVbJ1b4jRjb6VSaYnKPElgY8xkkfvIMUZh2A6ToK1tjqhH&#10;fTZoZ7wac+DnYDsHe+flrkM6ReIC7sM+4ODEJ6KOUNMwXFSiOV2qeBMen1PXw4+0/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xsfqk0wAAAAUBAAAPAAAAAAAAAAEAIAAAACIAAABkcnMvZG93bnJl&#10;di54bWxQSwECFAAUAAAACACHTuJARcufEMkBAACQAwAADgAAAAAAAAABACAAAAAiAQAAZHJzL2Uy&#10;b0RvYy54bWxQSwUGAAAAAAYABgBZAQAAXQUAAAAA&#10;">
              <v:fill on="f" focussize="0,0"/>
              <v:stroke on="f"/>
              <v:imagedata o:title=""/>
              <o:lock v:ext="edit" aspectratio="f"/>
              <v:textbox inset="0mm,0mm,0mm,0mm" style="mso-fit-shape-to-text:t;">
                <w:txbxContent>
                  <w:p w14:paraId="21E8C5CA">
                    <w:pPr>
                      <w:pStyle w:val="18"/>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6541D">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5062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150620" cy="1828800"/>
                      </a:xfrm>
                      <a:prstGeom prst="rect">
                        <a:avLst/>
                      </a:prstGeom>
                      <a:noFill/>
                      <a:ln>
                        <a:noFill/>
                      </a:ln>
                    </wps:spPr>
                    <wps:txbx>
                      <w:txbxContent>
                        <w:p w14:paraId="1DE0DF29">
                          <w:pPr>
                            <w:pStyle w:val="18"/>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wps:txbx>
                    <wps:bodyPr lIns="0" tIns="0" rIns="0" bIns="0" upright="1">
                      <a:spAutoFit/>
                    </wps:bodyPr>
                  </wps:wsp>
                </a:graphicData>
              </a:graphic>
            </wp:anchor>
          </w:drawing>
        </mc:Choice>
        <mc:Fallback>
          <w:pict>
            <v:shape id="文本框 1025" o:spid="_x0000_s1026" o:spt="202" type="#_x0000_t202" style="position:absolute;left:0pt;margin-top:0pt;height:144pt;width:90.6pt;mso-position-horizontal:center;mso-position-horizontal-relative:margin;z-index:251660288;mso-width-relative:page;mso-height-relative:page;" filled="f" stroked="f" coordsize="21600,21600" o:gfxdata="UEsDBAoAAAAAAIdO4kAAAAAAAAAAAAAAAAAEAAAAZHJzL1BLAwQUAAAACACHTuJARggSLNIAAAAF&#10;AQAADwAAAGRycy9kb3ducmV2LnhtbE2PMU/DMBCFdyT+g3VILIjazlClIU4HBAsbhYXtGh9JhH2O&#10;YjcJ/fW4LLCc9PSe3vuu3q/eiZmmOAQ2oDcKBHEb7MCdgfe35/sSREzIFl1gMvBNEfbN9VWNlQ0L&#10;v9J8SJ3IJRwrNNCnNFZSxrYnj3ETRuLsfYbJY8py6qSdcMnl3slCqa30OHBe6HGkx57ar8PJG9iu&#10;T+Pdy46K5dy6mT/OWifSxtzeaPUAItGa/sJwwc/o0GSmYzixjcIZyI+k33vxSl2AOBooylKBbGr5&#10;n775AVBLAwQUAAAACACHTuJAeEeVsMkBAACQAwAADgAAAGRycy9lMm9Eb2MueG1srVNLbtswEN0X&#10;6B0I7mN9kASGYDloYaQoULQF0hyApiiLAH/g0JZ8gfYGXXXTfc/lc3RISc5vk0U20nBm9Oa9N9Tq&#10;ZtCKHIQHaU1Ni0VOiTDcNtLsanr/4/ZiSQkEZhqmrBE1PQqgN+v371a9q0RpO6sa4QmCGKh6V9Mu&#10;BFdlGfBOaAYL64TBYmu9ZgGPfpc1nvWIrlVW5vl11lvfOG+5AMDsZizSCdG/BtC2reRiY/leCxNG&#10;VC8UCygJOumArhPbthU8fGtbEIGomqLSkJ44BONtfGbrFat2nrlO8okCew2FZ5o0kwaHnqE2LDCy&#10;9/IFlJbcW7BtWHCrs1FIcgRVFPkzb+465kTSglaDO5sObwfLvx6+eyKbml5SYpjGhZ9+/zr9+Xf6&#10;+5MUeXkVHeodVNh457A1DB/tgPdmzgMmo/Ch9Tq+URLBOvp7PPsrhkB4/Ki4yq9LLHGsFctyuczT&#10;BrKHz52H8ElYTWJQU48LTL6ywxcISAVb55Y4zdhbqVRaojJPEtgYM1nkPnKMURi2wyRoa5sj6lGf&#10;DdoZr8Yc+DnYzsHeebnrkE6RuID7sA84OPGJqCPUNAwXlWhOlyrehMfn1PXwI63/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EYIEizSAAAABQEAAA8AAAAAAAAAAQAgAAAAIgAAAGRycy9kb3ducmV2&#10;LnhtbFBLAQIUABQAAAAIAIdO4kB4R5WwyQEAAJADAAAOAAAAAAAAAAEAIAAAACEBAABkcnMvZTJv&#10;RG9jLnhtbFBLBQYAAAAABgAGAFkBAABcBQAAAAA=&#10;">
              <v:fill on="f" focussize="0,0"/>
              <v:stroke on="f"/>
              <v:imagedata o:title=""/>
              <o:lock v:ext="edit" aspectratio="f"/>
              <v:textbox inset="0mm,0mm,0mm,0mm" style="mso-fit-shape-to-text:t;">
                <w:txbxContent>
                  <w:p w14:paraId="1DE0DF29">
                    <w:pPr>
                      <w:pStyle w:val="18"/>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71BF3">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0C7FF">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795C2">
    <w:pPr>
      <w:pStyle w:val="1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3BD16">
    <w:pPr>
      <w:pStyle w:val="19"/>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4D161">
    <w:pPr>
      <w:pStyle w:val="1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CABE2">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A4E888"/>
    <w:multiLevelType w:val="multilevel"/>
    <w:tmpl w:val="81A4E888"/>
    <w:lvl w:ilvl="0" w:tentative="0">
      <w:start w:val="1"/>
      <w:numFmt w:val="decimal"/>
      <w:lvlText w:val="%1."/>
      <w:lvlJc w:val="left"/>
      <w:pPr>
        <w:tabs>
          <w:tab w:val="left" w:pos="420"/>
        </w:tabs>
        <w:ind w:left="420" w:hanging="420"/>
      </w:pPr>
      <w:rPr>
        <w:rFonts w:hint="eastAsia" w:ascii="宋体" w:hAnsi="宋体" w:eastAsia="宋体" w:cs="宋体"/>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
    <w:nsid w:val="82A51B24"/>
    <w:multiLevelType w:val="singleLevel"/>
    <w:tmpl w:val="82A51B24"/>
    <w:lvl w:ilvl="0" w:tentative="0">
      <w:start w:val="1"/>
      <w:numFmt w:val="chineseCounting"/>
      <w:suff w:val="nothing"/>
      <w:lvlText w:val="（%1）"/>
      <w:lvlJc w:val="left"/>
      <w:pPr>
        <w:ind w:left="0" w:firstLine="420"/>
      </w:pPr>
      <w:rPr>
        <w:rFonts w:hint="eastAsia"/>
      </w:rPr>
    </w:lvl>
  </w:abstractNum>
  <w:abstractNum w:abstractNumId="2">
    <w:nsid w:val="890D3CE3"/>
    <w:multiLevelType w:val="multilevel"/>
    <w:tmpl w:val="890D3CE3"/>
    <w:lvl w:ilvl="0" w:tentative="0">
      <w:start w:val="1"/>
      <w:numFmt w:val="decimal"/>
      <w:lvlText w:val="%1."/>
      <w:lvlJc w:val="left"/>
      <w:pPr>
        <w:tabs>
          <w:tab w:val="left" w:pos="420"/>
        </w:tabs>
        <w:ind w:left="420" w:hanging="420"/>
      </w:pPr>
      <w:rPr>
        <w:rFonts w:hint="eastAsia" w:ascii="宋体" w:hAnsi="宋体" w:eastAsia="宋体" w:cs="宋体"/>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3">
    <w:nsid w:val="B9E53A3C"/>
    <w:multiLevelType w:val="singleLevel"/>
    <w:tmpl w:val="B9E53A3C"/>
    <w:lvl w:ilvl="0" w:tentative="0">
      <w:start w:val="5"/>
      <w:numFmt w:val="chineseCounting"/>
      <w:suff w:val="nothing"/>
      <w:lvlText w:val="%1、"/>
      <w:lvlJc w:val="left"/>
      <w:rPr>
        <w:rFonts w:hint="eastAsia"/>
        <w:b/>
        <w:bCs/>
      </w:rPr>
    </w:lvl>
  </w:abstractNum>
  <w:abstractNum w:abstractNumId="4">
    <w:nsid w:val="C9555E15"/>
    <w:multiLevelType w:val="singleLevel"/>
    <w:tmpl w:val="C9555E15"/>
    <w:lvl w:ilvl="0" w:tentative="0">
      <w:start w:val="1"/>
      <w:numFmt w:val="decimal"/>
      <w:lvlText w:val="(%1)"/>
      <w:lvlJc w:val="left"/>
      <w:pPr>
        <w:ind w:left="425" w:hanging="425"/>
      </w:pPr>
      <w:rPr>
        <w:rFonts w:hint="default"/>
      </w:rPr>
    </w:lvl>
  </w:abstractNum>
  <w:abstractNum w:abstractNumId="5">
    <w:nsid w:val="CBEA9F7C"/>
    <w:multiLevelType w:val="singleLevel"/>
    <w:tmpl w:val="CBEA9F7C"/>
    <w:lvl w:ilvl="0" w:tentative="0">
      <w:start w:val="3"/>
      <w:numFmt w:val="chineseCounting"/>
      <w:suff w:val="nothing"/>
      <w:lvlText w:val="（%1）"/>
      <w:lvlJc w:val="left"/>
      <w:rPr>
        <w:rFonts w:hint="eastAsia"/>
      </w:rPr>
    </w:lvl>
  </w:abstractNum>
  <w:abstractNum w:abstractNumId="6">
    <w:nsid w:val="CC23954B"/>
    <w:multiLevelType w:val="multilevel"/>
    <w:tmpl w:val="CC23954B"/>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CFF174A5"/>
    <w:multiLevelType w:val="singleLevel"/>
    <w:tmpl w:val="CFF174A5"/>
    <w:lvl w:ilvl="0" w:tentative="0">
      <w:start w:val="1"/>
      <w:numFmt w:val="decimal"/>
      <w:suff w:val="nothing"/>
      <w:lvlText w:val="%1、"/>
      <w:lvlJc w:val="left"/>
    </w:lvl>
  </w:abstractNum>
  <w:abstractNum w:abstractNumId="8">
    <w:nsid w:val="D0047B7E"/>
    <w:multiLevelType w:val="singleLevel"/>
    <w:tmpl w:val="D0047B7E"/>
    <w:lvl w:ilvl="0" w:tentative="0">
      <w:start w:val="1"/>
      <w:numFmt w:val="decimal"/>
      <w:suff w:val="nothing"/>
      <w:lvlText w:val="%1、"/>
      <w:lvlJc w:val="left"/>
    </w:lvl>
  </w:abstractNum>
  <w:abstractNum w:abstractNumId="9">
    <w:nsid w:val="D8C0C2DE"/>
    <w:multiLevelType w:val="multilevel"/>
    <w:tmpl w:val="D8C0C2DE"/>
    <w:lvl w:ilvl="0" w:tentative="0">
      <w:start w:val="1"/>
      <w:numFmt w:val="decimal"/>
      <w:lvlText w:val="%1."/>
      <w:lvlJc w:val="left"/>
      <w:pPr>
        <w:tabs>
          <w:tab w:val="left" w:pos="420"/>
        </w:tabs>
        <w:ind w:left="420" w:hanging="420"/>
      </w:pPr>
      <w:rPr>
        <w:rFonts w:hint="eastAsia" w:ascii="宋体" w:hAnsi="宋体" w:eastAsia="宋体" w:cs="宋体"/>
      </w:rPr>
    </w:lvl>
    <w:lvl w:ilvl="1" w:tentative="0">
      <w:start w:val="1"/>
      <w:numFmt w:val="decimal"/>
      <w:lvlText w:val="%2)"/>
      <w:lvlJc w:val="left"/>
      <w:pPr>
        <w:tabs>
          <w:tab w:val="left" w:pos="840"/>
        </w:tabs>
        <w:ind w:left="840" w:hanging="420"/>
      </w:pPr>
      <w:rPr>
        <w:rFonts w:hint="eastAsia" w:ascii="宋体" w:hAnsi="宋体" w:eastAsia="宋体" w:cs="宋体"/>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0">
    <w:nsid w:val="DE9DA2AA"/>
    <w:multiLevelType w:val="multilevel"/>
    <w:tmpl w:val="DE9DA2AA"/>
    <w:lvl w:ilvl="0" w:tentative="0">
      <w:start w:val="1"/>
      <w:numFmt w:val="decimal"/>
      <w:lvlText w:val="%1."/>
      <w:lvlJc w:val="left"/>
      <w:pPr>
        <w:tabs>
          <w:tab w:val="left" w:pos="420"/>
        </w:tabs>
        <w:ind w:left="420" w:hanging="420"/>
      </w:pPr>
      <w:rPr>
        <w:rFonts w:hint="eastAsia" w:ascii="宋体" w:hAnsi="宋体" w:eastAsia="宋体" w:cs="宋体"/>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1">
    <w:nsid w:val="E3D27800"/>
    <w:multiLevelType w:val="multilevel"/>
    <w:tmpl w:val="E3D27800"/>
    <w:lvl w:ilvl="0" w:tentative="0">
      <w:start w:val="1"/>
      <w:numFmt w:val="decimal"/>
      <w:lvlText w:val="%1."/>
      <w:lvlJc w:val="left"/>
      <w:pPr>
        <w:tabs>
          <w:tab w:val="left" w:pos="420"/>
        </w:tabs>
        <w:ind w:left="420" w:hanging="420"/>
      </w:pPr>
      <w:rPr>
        <w:rFonts w:hint="eastAsia" w:ascii="宋体" w:hAnsi="宋体" w:eastAsia="宋体" w:cs="宋体"/>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2">
    <w:nsid w:val="F2304858"/>
    <w:multiLevelType w:val="singleLevel"/>
    <w:tmpl w:val="F2304858"/>
    <w:lvl w:ilvl="0" w:tentative="0">
      <w:start w:val="1"/>
      <w:numFmt w:val="decimal"/>
      <w:lvlText w:val="%1."/>
      <w:lvlJc w:val="left"/>
      <w:pPr>
        <w:tabs>
          <w:tab w:val="left" w:pos="312"/>
        </w:tabs>
      </w:pPr>
    </w:lvl>
  </w:abstractNum>
  <w:abstractNum w:abstractNumId="13">
    <w:nsid w:val="F9A881AA"/>
    <w:multiLevelType w:val="singleLevel"/>
    <w:tmpl w:val="F9A881AA"/>
    <w:lvl w:ilvl="0" w:tentative="0">
      <w:start w:val="3"/>
      <w:numFmt w:val="chineseCounting"/>
      <w:suff w:val="nothing"/>
      <w:lvlText w:val="%1、"/>
      <w:lvlJc w:val="left"/>
      <w:rPr>
        <w:rFonts w:hint="eastAsia"/>
      </w:rPr>
    </w:lvl>
  </w:abstractNum>
  <w:abstractNum w:abstractNumId="14">
    <w:nsid w:val="FCAB7A91"/>
    <w:multiLevelType w:val="singleLevel"/>
    <w:tmpl w:val="FCAB7A91"/>
    <w:lvl w:ilvl="0" w:tentative="0">
      <w:start w:val="2"/>
      <w:numFmt w:val="decimal"/>
      <w:suff w:val="nothing"/>
      <w:lvlText w:val="（%1）"/>
      <w:lvlJc w:val="left"/>
    </w:lvl>
  </w:abstractNum>
  <w:abstractNum w:abstractNumId="15">
    <w:nsid w:val="FFFFCD80"/>
    <w:multiLevelType w:val="multilevel"/>
    <w:tmpl w:val="FFFFCD80"/>
    <w:lvl w:ilvl="0" w:tentative="0">
      <w:start w:val="1"/>
      <w:numFmt w:val="decimal"/>
      <w:lvlText w:val="%1."/>
      <w:lvlJc w:val="left"/>
      <w:pPr>
        <w:tabs>
          <w:tab w:val="left" w:pos="420"/>
        </w:tabs>
        <w:ind w:left="420" w:hanging="420"/>
      </w:pPr>
      <w:rPr>
        <w:rFonts w:hint="eastAsia" w:ascii="宋体" w:hAnsi="宋体" w:eastAsia="宋体" w:cs="宋体"/>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6">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5"/>
    <w:multiLevelType w:val="multilevel"/>
    <w:tmpl w:val="00000025"/>
    <w:lvl w:ilvl="0" w:tentative="0">
      <w:start w:val="1"/>
      <w:numFmt w:val="decimal"/>
      <w:lvlText w:val="%1"/>
      <w:lvlJc w:val="left"/>
      <w:pPr>
        <w:tabs>
          <w:tab w:val="left" w:pos="420"/>
        </w:tabs>
        <w:ind w:left="420" w:hanging="420"/>
      </w:pPr>
      <w:rPr>
        <w:rFonts w:hint="default"/>
        <w:u w:val="none"/>
      </w:rPr>
    </w:lvl>
    <w:lvl w:ilvl="1" w:tentative="0">
      <w:start w:val="1"/>
      <w:numFmt w:val="lowerLetter"/>
      <w:lvlText w:val="%2)"/>
      <w:lvlJc w:val="left"/>
      <w:pPr>
        <w:tabs>
          <w:tab w:val="left" w:pos="840"/>
        </w:tabs>
        <w:ind w:left="840" w:hanging="420"/>
      </w:pPr>
      <w:rPr>
        <w:rFonts w:hint="default"/>
        <w:u w:val="none"/>
      </w:rPr>
    </w:lvl>
    <w:lvl w:ilvl="2" w:tentative="0">
      <w:start w:val="1"/>
      <w:numFmt w:val="lowerRoman"/>
      <w:lvlText w:val="%3."/>
      <w:lvlJc w:val="right"/>
      <w:pPr>
        <w:tabs>
          <w:tab w:val="left" w:pos="1260"/>
        </w:tabs>
        <w:ind w:left="1260" w:hanging="420"/>
      </w:pPr>
      <w:rPr>
        <w:rFonts w:hint="default"/>
        <w:u w:val="none"/>
      </w:rPr>
    </w:lvl>
    <w:lvl w:ilvl="3" w:tentative="0">
      <w:start w:val="1"/>
      <w:numFmt w:val="decimal"/>
      <w:lvlText w:val="%4."/>
      <w:lvlJc w:val="left"/>
      <w:pPr>
        <w:tabs>
          <w:tab w:val="left" w:pos="1680"/>
        </w:tabs>
        <w:ind w:left="1680" w:hanging="420"/>
      </w:pPr>
      <w:rPr>
        <w:rFonts w:hint="default"/>
        <w:u w:val="none"/>
      </w:rPr>
    </w:lvl>
    <w:lvl w:ilvl="4" w:tentative="0">
      <w:start w:val="1"/>
      <w:numFmt w:val="lowerLetter"/>
      <w:lvlText w:val="%5)"/>
      <w:lvlJc w:val="left"/>
      <w:pPr>
        <w:tabs>
          <w:tab w:val="left" w:pos="2100"/>
        </w:tabs>
        <w:ind w:left="2100" w:hanging="420"/>
      </w:pPr>
      <w:rPr>
        <w:rFonts w:hint="default"/>
        <w:u w:val="none"/>
      </w:rPr>
    </w:lvl>
    <w:lvl w:ilvl="5" w:tentative="0">
      <w:start w:val="1"/>
      <w:numFmt w:val="lowerRoman"/>
      <w:lvlText w:val="%6."/>
      <w:lvlJc w:val="right"/>
      <w:pPr>
        <w:tabs>
          <w:tab w:val="left" w:pos="2520"/>
        </w:tabs>
        <w:ind w:left="2520" w:hanging="420"/>
      </w:pPr>
      <w:rPr>
        <w:rFonts w:hint="default"/>
        <w:u w:val="none"/>
      </w:rPr>
    </w:lvl>
    <w:lvl w:ilvl="6" w:tentative="0">
      <w:start w:val="1"/>
      <w:numFmt w:val="decimal"/>
      <w:lvlText w:val="%7."/>
      <w:lvlJc w:val="left"/>
      <w:pPr>
        <w:tabs>
          <w:tab w:val="left" w:pos="2940"/>
        </w:tabs>
        <w:ind w:left="2940" w:hanging="420"/>
      </w:pPr>
      <w:rPr>
        <w:rFonts w:hint="default"/>
        <w:u w:val="none"/>
      </w:rPr>
    </w:lvl>
    <w:lvl w:ilvl="7" w:tentative="0">
      <w:start w:val="1"/>
      <w:numFmt w:val="lowerLetter"/>
      <w:lvlText w:val="%8)"/>
      <w:lvlJc w:val="left"/>
      <w:pPr>
        <w:tabs>
          <w:tab w:val="left" w:pos="3360"/>
        </w:tabs>
        <w:ind w:left="3360" w:hanging="420"/>
      </w:pPr>
      <w:rPr>
        <w:rFonts w:hint="default"/>
        <w:u w:val="none"/>
      </w:rPr>
    </w:lvl>
    <w:lvl w:ilvl="8" w:tentative="0">
      <w:start w:val="1"/>
      <w:numFmt w:val="lowerRoman"/>
      <w:lvlText w:val="%9."/>
      <w:lvlJc w:val="right"/>
      <w:pPr>
        <w:tabs>
          <w:tab w:val="left" w:pos="3780"/>
        </w:tabs>
        <w:ind w:left="3780" w:hanging="420"/>
      </w:pPr>
      <w:rPr>
        <w:rFonts w:hint="default"/>
        <w:u w:val="none"/>
      </w:rPr>
    </w:lvl>
  </w:abstractNum>
  <w:abstractNum w:abstractNumId="18">
    <w:nsid w:val="10083A2B"/>
    <w:multiLevelType w:val="singleLevel"/>
    <w:tmpl w:val="10083A2B"/>
    <w:lvl w:ilvl="0" w:tentative="0">
      <w:start w:val="1"/>
      <w:numFmt w:val="decimal"/>
      <w:suff w:val="nothing"/>
      <w:lvlText w:val="（%1）"/>
      <w:lvlJc w:val="left"/>
    </w:lvl>
  </w:abstractNum>
  <w:abstractNum w:abstractNumId="19">
    <w:nsid w:val="13387DFE"/>
    <w:multiLevelType w:val="multilevel"/>
    <w:tmpl w:val="13387DFE"/>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0">
    <w:nsid w:val="20D2348B"/>
    <w:multiLevelType w:val="singleLevel"/>
    <w:tmpl w:val="20D2348B"/>
    <w:lvl w:ilvl="0" w:tentative="0">
      <w:start w:val="1"/>
      <w:numFmt w:val="chineseCounting"/>
      <w:suff w:val="nothing"/>
      <w:lvlText w:val="（%1）"/>
      <w:lvlJc w:val="left"/>
      <w:rPr>
        <w:rFonts w:hint="eastAsia"/>
      </w:rPr>
    </w:lvl>
  </w:abstractNum>
  <w:abstractNum w:abstractNumId="21">
    <w:nsid w:val="27F49B4B"/>
    <w:multiLevelType w:val="multilevel"/>
    <w:tmpl w:val="27F49B4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566" w:hanging="566"/>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2">
    <w:nsid w:val="3F88662E"/>
    <w:multiLevelType w:val="singleLevel"/>
    <w:tmpl w:val="3F88662E"/>
    <w:lvl w:ilvl="0" w:tentative="0">
      <w:start w:val="1"/>
      <w:numFmt w:val="decimal"/>
      <w:suff w:val="space"/>
      <w:lvlText w:val="%1)"/>
      <w:lvlJc w:val="left"/>
    </w:lvl>
  </w:abstractNum>
  <w:abstractNum w:abstractNumId="23">
    <w:nsid w:val="4E53C5D7"/>
    <w:multiLevelType w:val="singleLevel"/>
    <w:tmpl w:val="4E53C5D7"/>
    <w:lvl w:ilvl="0" w:tentative="0">
      <w:start w:val="1"/>
      <w:numFmt w:val="chineseCounting"/>
      <w:suff w:val="nothing"/>
      <w:lvlText w:val="（%1）"/>
      <w:lvlJc w:val="left"/>
      <w:pPr>
        <w:ind w:left="0" w:firstLine="420"/>
      </w:pPr>
      <w:rPr>
        <w:rFonts w:hint="eastAsia"/>
      </w:rPr>
    </w:lvl>
  </w:abstractNum>
  <w:abstractNum w:abstractNumId="24">
    <w:nsid w:val="580745EB"/>
    <w:multiLevelType w:val="multilevel"/>
    <w:tmpl w:val="580745E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59C5D728"/>
    <w:multiLevelType w:val="singleLevel"/>
    <w:tmpl w:val="59C5D728"/>
    <w:lvl w:ilvl="0" w:tentative="0">
      <w:start w:val="1"/>
      <w:numFmt w:val="chineseCounting"/>
      <w:suff w:val="nothing"/>
      <w:lvlText w:val="%1、"/>
      <w:lvlJc w:val="left"/>
      <w:pPr>
        <w:ind w:left="0" w:firstLine="420"/>
      </w:pPr>
      <w:rPr>
        <w:rFonts w:hint="eastAsia"/>
      </w:rPr>
    </w:lvl>
  </w:abstractNum>
  <w:abstractNum w:abstractNumId="26">
    <w:nsid w:val="5C183DB0"/>
    <w:multiLevelType w:val="multilevel"/>
    <w:tmpl w:val="5C183D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5D1539A1"/>
    <w:multiLevelType w:val="multilevel"/>
    <w:tmpl w:val="5D1539A1"/>
    <w:lvl w:ilvl="0" w:tentative="0">
      <w:start w:val="1"/>
      <w:numFmt w:val="decimal"/>
      <w:lvlText w:val="（%1）"/>
      <w:lvlJc w:val="left"/>
      <w:pPr>
        <w:ind w:left="1287" w:hanging="72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8">
    <w:nsid w:val="67440C96"/>
    <w:multiLevelType w:val="multilevel"/>
    <w:tmpl w:val="67440C96"/>
    <w:lvl w:ilvl="0" w:tentative="0">
      <w:start w:val="1"/>
      <w:numFmt w:val="decimal"/>
      <w:suff w:val="space"/>
      <w:lvlText w:val="（%1）"/>
      <w:lvlJc w:val="left"/>
      <w:pPr>
        <w:ind w:left="1291" w:hanging="156"/>
      </w:pPr>
      <w:rPr>
        <w:rFonts w:hint="default" w:ascii="Times New Roman" w:hAnsi="Times New Roman" w:cs="Times New Roman"/>
      </w:rPr>
    </w:lvl>
    <w:lvl w:ilvl="1" w:tentative="0">
      <w:start w:val="1"/>
      <w:numFmt w:val="lowerLetter"/>
      <w:lvlText w:val="%2)"/>
      <w:lvlJc w:val="left"/>
      <w:pPr>
        <w:tabs>
          <w:tab w:val="left" w:pos="713"/>
        </w:tabs>
        <w:ind w:left="713" w:hanging="420"/>
      </w:pPr>
      <w:rPr>
        <w:rFonts w:hint="eastAsia" w:ascii="宋体" w:hAnsi="宋体" w:eastAsia="宋体" w:cs="宋体"/>
      </w:rPr>
    </w:lvl>
    <w:lvl w:ilvl="2" w:tentative="0">
      <w:start w:val="1"/>
      <w:numFmt w:val="lowerRoman"/>
      <w:lvlText w:val="%3."/>
      <w:lvlJc w:val="right"/>
      <w:pPr>
        <w:tabs>
          <w:tab w:val="left" w:pos="1133"/>
        </w:tabs>
        <w:ind w:left="1133" w:hanging="420"/>
      </w:pPr>
      <w:rPr>
        <w:rFonts w:hint="eastAsia" w:ascii="宋体" w:hAnsi="宋体" w:eastAsia="宋体" w:cs="宋体"/>
      </w:rPr>
    </w:lvl>
    <w:lvl w:ilvl="3" w:tentative="0">
      <w:start w:val="1"/>
      <w:numFmt w:val="decimal"/>
      <w:lvlText w:val="%4."/>
      <w:lvlJc w:val="left"/>
      <w:pPr>
        <w:tabs>
          <w:tab w:val="left" w:pos="1553"/>
        </w:tabs>
        <w:ind w:left="1553" w:hanging="420"/>
      </w:pPr>
      <w:rPr>
        <w:rFonts w:hint="eastAsia" w:ascii="宋体" w:hAnsi="宋体" w:eastAsia="宋体" w:cs="宋体"/>
      </w:rPr>
    </w:lvl>
    <w:lvl w:ilvl="4" w:tentative="0">
      <w:start w:val="1"/>
      <w:numFmt w:val="lowerLetter"/>
      <w:lvlText w:val="%5)"/>
      <w:lvlJc w:val="left"/>
      <w:pPr>
        <w:tabs>
          <w:tab w:val="left" w:pos="1973"/>
        </w:tabs>
        <w:ind w:left="1973" w:hanging="420"/>
      </w:pPr>
      <w:rPr>
        <w:rFonts w:hint="eastAsia" w:ascii="宋体" w:hAnsi="宋体" w:eastAsia="宋体" w:cs="宋体"/>
      </w:rPr>
    </w:lvl>
    <w:lvl w:ilvl="5" w:tentative="0">
      <w:start w:val="1"/>
      <w:numFmt w:val="lowerRoman"/>
      <w:lvlText w:val="%6."/>
      <w:lvlJc w:val="right"/>
      <w:pPr>
        <w:tabs>
          <w:tab w:val="left" w:pos="2393"/>
        </w:tabs>
        <w:ind w:left="2393" w:hanging="420"/>
      </w:pPr>
      <w:rPr>
        <w:rFonts w:hint="eastAsia" w:ascii="宋体" w:hAnsi="宋体" w:eastAsia="宋体" w:cs="宋体"/>
      </w:rPr>
    </w:lvl>
    <w:lvl w:ilvl="6" w:tentative="0">
      <w:start w:val="1"/>
      <w:numFmt w:val="decimal"/>
      <w:lvlText w:val="%7."/>
      <w:lvlJc w:val="left"/>
      <w:pPr>
        <w:tabs>
          <w:tab w:val="left" w:pos="2813"/>
        </w:tabs>
        <w:ind w:left="2813" w:hanging="420"/>
      </w:pPr>
      <w:rPr>
        <w:rFonts w:hint="eastAsia" w:ascii="宋体" w:hAnsi="宋体" w:eastAsia="宋体" w:cs="宋体"/>
      </w:rPr>
    </w:lvl>
    <w:lvl w:ilvl="7" w:tentative="0">
      <w:start w:val="1"/>
      <w:numFmt w:val="lowerLetter"/>
      <w:lvlText w:val="%8)"/>
      <w:lvlJc w:val="left"/>
      <w:pPr>
        <w:tabs>
          <w:tab w:val="left" w:pos="3233"/>
        </w:tabs>
        <w:ind w:left="3233" w:hanging="420"/>
      </w:pPr>
      <w:rPr>
        <w:rFonts w:hint="eastAsia" w:ascii="宋体" w:hAnsi="宋体" w:eastAsia="宋体" w:cs="宋体"/>
      </w:rPr>
    </w:lvl>
    <w:lvl w:ilvl="8" w:tentative="0">
      <w:start w:val="1"/>
      <w:numFmt w:val="lowerRoman"/>
      <w:lvlText w:val="%9."/>
      <w:lvlJc w:val="right"/>
      <w:pPr>
        <w:tabs>
          <w:tab w:val="left" w:pos="3653"/>
        </w:tabs>
        <w:ind w:left="3653" w:hanging="420"/>
      </w:pPr>
      <w:rPr>
        <w:rFonts w:hint="eastAsia" w:ascii="宋体" w:hAnsi="宋体" w:eastAsia="宋体" w:cs="宋体"/>
      </w:rPr>
    </w:lvl>
  </w:abstractNum>
  <w:num w:numId="1">
    <w:abstractNumId w:val="12"/>
  </w:num>
  <w:num w:numId="2">
    <w:abstractNumId w:val="14"/>
  </w:num>
  <w:num w:numId="3">
    <w:abstractNumId w:val="24"/>
  </w:num>
  <w:num w:numId="4">
    <w:abstractNumId w:val="21"/>
  </w:num>
  <w:num w:numId="5">
    <w:abstractNumId w:val="6"/>
  </w:num>
  <w:num w:numId="6">
    <w:abstractNumId w:val="27"/>
  </w:num>
  <w:num w:numId="7">
    <w:abstractNumId w:val="22"/>
  </w:num>
  <w:num w:numId="8">
    <w:abstractNumId w:val="17"/>
  </w:num>
  <w:num w:numId="9">
    <w:abstractNumId w:val="4"/>
  </w:num>
  <w:num w:numId="10">
    <w:abstractNumId w:val="19"/>
  </w:num>
  <w:num w:numId="11">
    <w:abstractNumId w:val="3"/>
  </w:num>
  <w:num w:numId="12">
    <w:abstractNumId w:val="9"/>
  </w:num>
  <w:num w:numId="13">
    <w:abstractNumId w:val="0"/>
  </w:num>
  <w:num w:numId="14">
    <w:abstractNumId w:val="10"/>
  </w:num>
  <w:num w:numId="15">
    <w:abstractNumId w:val="15"/>
  </w:num>
  <w:num w:numId="16">
    <w:abstractNumId w:val="28"/>
  </w:num>
  <w:num w:numId="17">
    <w:abstractNumId w:val="11"/>
  </w:num>
  <w:num w:numId="18">
    <w:abstractNumId w:val="2"/>
  </w:num>
  <w:num w:numId="19">
    <w:abstractNumId w:val="23"/>
  </w:num>
  <w:num w:numId="20">
    <w:abstractNumId w:val="1"/>
  </w:num>
  <w:num w:numId="21">
    <w:abstractNumId w:val="13"/>
  </w:num>
  <w:num w:numId="22">
    <w:abstractNumId w:val="5"/>
  </w:num>
  <w:num w:numId="23">
    <w:abstractNumId w:val="18"/>
  </w:num>
  <w:num w:numId="24">
    <w:abstractNumId w:val="7"/>
  </w:num>
  <w:num w:numId="25">
    <w:abstractNumId w:val="16"/>
  </w:num>
  <w:num w:numId="26">
    <w:abstractNumId w:val="20"/>
  </w:num>
  <w:num w:numId="27">
    <w:abstractNumId w:val="8"/>
  </w:num>
  <w:num w:numId="28">
    <w:abstractNumId w:val="2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5ZmE1ZTg2YWQyZjkyNDFjNDRlY2FmM2Y3Yzg0ZDMifQ=="/>
  </w:docVars>
  <w:rsids>
    <w:rsidRoot w:val="00172A27"/>
    <w:rsid w:val="00005A66"/>
    <w:rsid w:val="00006462"/>
    <w:rsid w:val="000300E4"/>
    <w:rsid w:val="0003307E"/>
    <w:rsid w:val="000336BA"/>
    <w:rsid w:val="000359A1"/>
    <w:rsid w:val="0005185D"/>
    <w:rsid w:val="0007500F"/>
    <w:rsid w:val="0008282E"/>
    <w:rsid w:val="00084F6D"/>
    <w:rsid w:val="00093A13"/>
    <w:rsid w:val="000A363F"/>
    <w:rsid w:val="000A42A8"/>
    <w:rsid w:val="000A5063"/>
    <w:rsid w:val="000A5DBD"/>
    <w:rsid w:val="000C4524"/>
    <w:rsid w:val="000D44A6"/>
    <w:rsid w:val="000E2CB7"/>
    <w:rsid w:val="000F0E98"/>
    <w:rsid w:val="000F1444"/>
    <w:rsid w:val="001049A5"/>
    <w:rsid w:val="001120E0"/>
    <w:rsid w:val="00121ADA"/>
    <w:rsid w:val="001242F3"/>
    <w:rsid w:val="001332BB"/>
    <w:rsid w:val="00134CAD"/>
    <w:rsid w:val="001368B7"/>
    <w:rsid w:val="0013730B"/>
    <w:rsid w:val="00137853"/>
    <w:rsid w:val="00137E1C"/>
    <w:rsid w:val="00147012"/>
    <w:rsid w:val="00172A27"/>
    <w:rsid w:val="00173126"/>
    <w:rsid w:val="00173905"/>
    <w:rsid w:val="00173E04"/>
    <w:rsid w:val="00175D29"/>
    <w:rsid w:val="001833A1"/>
    <w:rsid w:val="001844F4"/>
    <w:rsid w:val="00185039"/>
    <w:rsid w:val="001852D7"/>
    <w:rsid w:val="001A06D8"/>
    <w:rsid w:val="001A2D42"/>
    <w:rsid w:val="001A2EF7"/>
    <w:rsid w:val="001B1F14"/>
    <w:rsid w:val="001B41CF"/>
    <w:rsid w:val="001B5860"/>
    <w:rsid w:val="001C1135"/>
    <w:rsid w:val="001C15AE"/>
    <w:rsid w:val="001C4661"/>
    <w:rsid w:val="001C5689"/>
    <w:rsid w:val="001C6E4B"/>
    <w:rsid w:val="001F0070"/>
    <w:rsid w:val="001F4B02"/>
    <w:rsid w:val="001F6BC7"/>
    <w:rsid w:val="002065A7"/>
    <w:rsid w:val="0021149E"/>
    <w:rsid w:val="00213021"/>
    <w:rsid w:val="00216BE9"/>
    <w:rsid w:val="00221E7A"/>
    <w:rsid w:val="0022503E"/>
    <w:rsid w:val="00225BB4"/>
    <w:rsid w:val="00226313"/>
    <w:rsid w:val="002373BB"/>
    <w:rsid w:val="00240F5F"/>
    <w:rsid w:val="00247224"/>
    <w:rsid w:val="00247AE0"/>
    <w:rsid w:val="00260AC1"/>
    <w:rsid w:val="0026312D"/>
    <w:rsid w:val="0027078E"/>
    <w:rsid w:val="0028395F"/>
    <w:rsid w:val="00284156"/>
    <w:rsid w:val="00285643"/>
    <w:rsid w:val="002867A1"/>
    <w:rsid w:val="002901F8"/>
    <w:rsid w:val="002920A4"/>
    <w:rsid w:val="002B4087"/>
    <w:rsid w:val="002B5F6C"/>
    <w:rsid w:val="002C6C78"/>
    <w:rsid w:val="002D1594"/>
    <w:rsid w:val="002D3F9C"/>
    <w:rsid w:val="002D503C"/>
    <w:rsid w:val="002D7E27"/>
    <w:rsid w:val="002E17E5"/>
    <w:rsid w:val="002E6B7E"/>
    <w:rsid w:val="002F0FC9"/>
    <w:rsid w:val="0030669E"/>
    <w:rsid w:val="003101A3"/>
    <w:rsid w:val="00320CEA"/>
    <w:rsid w:val="00323B43"/>
    <w:rsid w:val="00326831"/>
    <w:rsid w:val="003274CE"/>
    <w:rsid w:val="003361E9"/>
    <w:rsid w:val="003430F6"/>
    <w:rsid w:val="00353842"/>
    <w:rsid w:val="0035595E"/>
    <w:rsid w:val="00381C26"/>
    <w:rsid w:val="0038564C"/>
    <w:rsid w:val="00387CE4"/>
    <w:rsid w:val="00393B1D"/>
    <w:rsid w:val="003A1D97"/>
    <w:rsid w:val="003C18EB"/>
    <w:rsid w:val="003C1E4E"/>
    <w:rsid w:val="003C32D3"/>
    <w:rsid w:val="003C3B19"/>
    <w:rsid w:val="003C412B"/>
    <w:rsid w:val="003C415C"/>
    <w:rsid w:val="003D36FB"/>
    <w:rsid w:val="003D37D8"/>
    <w:rsid w:val="003E0802"/>
    <w:rsid w:val="003E18E7"/>
    <w:rsid w:val="003E2B8C"/>
    <w:rsid w:val="003F46B4"/>
    <w:rsid w:val="003F4822"/>
    <w:rsid w:val="00401C64"/>
    <w:rsid w:val="00401CC0"/>
    <w:rsid w:val="00410AB5"/>
    <w:rsid w:val="00410F11"/>
    <w:rsid w:val="00411067"/>
    <w:rsid w:val="004203B9"/>
    <w:rsid w:val="004322A2"/>
    <w:rsid w:val="004358AB"/>
    <w:rsid w:val="00451EB4"/>
    <w:rsid w:val="00460B31"/>
    <w:rsid w:val="00462105"/>
    <w:rsid w:val="00475A80"/>
    <w:rsid w:val="00475BB4"/>
    <w:rsid w:val="00490B9E"/>
    <w:rsid w:val="00497577"/>
    <w:rsid w:val="004A05D7"/>
    <w:rsid w:val="004A2B28"/>
    <w:rsid w:val="004A69F1"/>
    <w:rsid w:val="004B3550"/>
    <w:rsid w:val="004B3F06"/>
    <w:rsid w:val="004C7FD6"/>
    <w:rsid w:val="004D08C0"/>
    <w:rsid w:val="004D1669"/>
    <w:rsid w:val="004D1736"/>
    <w:rsid w:val="004D51A2"/>
    <w:rsid w:val="004D5AFB"/>
    <w:rsid w:val="004E04FD"/>
    <w:rsid w:val="004F1BB7"/>
    <w:rsid w:val="0050759C"/>
    <w:rsid w:val="00510827"/>
    <w:rsid w:val="005267F1"/>
    <w:rsid w:val="005269A9"/>
    <w:rsid w:val="00532034"/>
    <w:rsid w:val="00545D9A"/>
    <w:rsid w:val="00546A42"/>
    <w:rsid w:val="0055408D"/>
    <w:rsid w:val="0057492D"/>
    <w:rsid w:val="0058523E"/>
    <w:rsid w:val="00590819"/>
    <w:rsid w:val="00593D68"/>
    <w:rsid w:val="005A208B"/>
    <w:rsid w:val="005A555E"/>
    <w:rsid w:val="005A7612"/>
    <w:rsid w:val="005B58A6"/>
    <w:rsid w:val="005C57E1"/>
    <w:rsid w:val="005C702E"/>
    <w:rsid w:val="005D01B8"/>
    <w:rsid w:val="005D066B"/>
    <w:rsid w:val="005D2D85"/>
    <w:rsid w:val="005D52E7"/>
    <w:rsid w:val="005F021D"/>
    <w:rsid w:val="005F20A4"/>
    <w:rsid w:val="005F4EAE"/>
    <w:rsid w:val="005F573A"/>
    <w:rsid w:val="005F660B"/>
    <w:rsid w:val="005F7EB1"/>
    <w:rsid w:val="00604B81"/>
    <w:rsid w:val="0061246F"/>
    <w:rsid w:val="00613417"/>
    <w:rsid w:val="00613B25"/>
    <w:rsid w:val="0061545F"/>
    <w:rsid w:val="006175DE"/>
    <w:rsid w:val="006215AC"/>
    <w:rsid w:val="00621821"/>
    <w:rsid w:val="00622362"/>
    <w:rsid w:val="00622497"/>
    <w:rsid w:val="006276AD"/>
    <w:rsid w:val="006347A6"/>
    <w:rsid w:val="006378D4"/>
    <w:rsid w:val="00641E8C"/>
    <w:rsid w:val="0064416A"/>
    <w:rsid w:val="006476E3"/>
    <w:rsid w:val="00650DDC"/>
    <w:rsid w:val="00652983"/>
    <w:rsid w:val="0065365D"/>
    <w:rsid w:val="006546D0"/>
    <w:rsid w:val="006576FD"/>
    <w:rsid w:val="00664F6B"/>
    <w:rsid w:val="006731D2"/>
    <w:rsid w:val="00680EB0"/>
    <w:rsid w:val="00682986"/>
    <w:rsid w:val="00691701"/>
    <w:rsid w:val="00691AE0"/>
    <w:rsid w:val="0069491E"/>
    <w:rsid w:val="006B004E"/>
    <w:rsid w:val="006B3E6C"/>
    <w:rsid w:val="006B4832"/>
    <w:rsid w:val="006B7878"/>
    <w:rsid w:val="006C14BD"/>
    <w:rsid w:val="006C28E5"/>
    <w:rsid w:val="006C67A9"/>
    <w:rsid w:val="006D393E"/>
    <w:rsid w:val="006D43C5"/>
    <w:rsid w:val="006D4AD8"/>
    <w:rsid w:val="006E0B58"/>
    <w:rsid w:val="006E0C4B"/>
    <w:rsid w:val="00704F7B"/>
    <w:rsid w:val="007110BA"/>
    <w:rsid w:val="00711465"/>
    <w:rsid w:val="00716E96"/>
    <w:rsid w:val="00723B11"/>
    <w:rsid w:val="007343A7"/>
    <w:rsid w:val="00734BB2"/>
    <w:rsid w:val="00737823"/>
    <w:rsid w:val="0075028E"/>
    <w:rsid w:val="007528A6"/>
    <w:rsid w:val="007608B9"/>
    <w:rsid w:val="007724B4"/>
    <w:rsid w:val="0077462B"/>
    <w:rsid w:val="007902ED"/>
    <w:rsid w:val="007916E7"/>
    <w:rsid w:val="00794168"/>
    <w:rsid w:val="007941D9"/>
    <w:rsid w:val="00797C5D"/>
    <w:rsid w:val="00797D2F"/>
    <w:rsid w:val="007A34B9"/>
    <w:rsid w:val="007A3EF1"/>
    <w:rsid w:val="007A4DB3"/>
    <w:rsid w:val="007A6F47"/>
    <w:rsid w:val="007A7779"/>
    <w:rsid w:val="007C4F46"/>
    <w:rsid w:val="007C7297"/>
    <w:rsid w:val="007D1B4F"/>
    <w:rsid w:val="007D2F9E"/>
    <w:rsid w:val="007D3175"/>
    <w:rsid w:val="007D48BF"/>
    <w:rsid w:val="007D5C45"/>
    <w:rsid w:val="007E2543"/>
    <w:rsid w:val="007E4A26"/>
    <w:rsid w:val="007E7A17"/>
    <w:rsid w:val="007F01B0"/>
    <w:rsid w:val="007F259D"/>
    <w:rsid w:val="007F2CD8"/>
    <w:rsid w:val="007F4DC5"/>
    <w:rsid w:val="00806380"/>
    <w:rsid w:val="0081104F"/>
    <w:rsid w:val="0081319A"/>
    <w:rsid w:val="00822299"/>
    <w:rsid w:val="0083486A"/>
    <w:rsid w:val="00837E35"/>
    <w:rsid w:val="00841378"/>
    <w:rsid w:val="00842B87"/>
    <w:rsid w:val="00845BEB"/>
    <w:rsid w:val="008472E6"/>
    <w:rsid w:val="008518B4"/>
    <w:rsid w:val="00853463"/>
    <w:rsid w:val="008548BD"/>
    <w:rsid w:val="0086026F"/>
    <w:rsid w:val="008640F5"/>
    <w:rsid w:val="0087704E"/>
    <w:rsid w:val="008907DA"/>
    <w:rsid w:val="008A0587"/>
    <w:rsid w:val="008A7273"/>
    <w:rsid w:val="008B55B9"/>
    <w:rsid w:val="008B7726"/>
    <w:rsid w:val="008C05BA"/>
    <w:rsid w:val="008D429E"/>
    <w:rsid w:val="008D5A10"/>
    <w:rsid w:val="008E319F"/>
    <w:rsid w:val="008E619C"/>
    <w:rsid w:val="008F6E0E"/>
    <w:rsid w:val="00906F49"/>
    <w:rsid w:val="00907417"/>
    <w:rsid w:val="00914604"/>
    <w:rsid w:val="00916A34"/>
    <w:rsid w:val="0092092D"/>
    <w:rsid w:val="00923533"/>
    <w:rsid w:val="00930A38"/>
    <w:rsid w:val="00934170"/>
    <w:rsid w:val="00942948"/>
    <w:rsid w:val="009474B5"/>
    <w:rsid w:val="00953E98"/>
    <w:rsid w:val="00960F22"/>
    <w:rsid w:val="00972D86"/>
    <w:rsid w:val="009736BF"/>
    <w:rsid w:val="0097392B"/>
    <w:rsid w:val="00976066"/>
    <w:rsid w:val="00980A66"/>
    <w:rsid w:val="009904F7"/>
    <w:rsid w:val="009910F6"/>
    <w:rsid w:val="009A07B1"/>
    <w:rsid w:val="009A6B4A"/>
    <w:rsid w:val="009A7058"/>
    <w:rsid w:val="009C19DE"/>
    <w:rsid w:val="009C23A6"/>
    <w:rsid w:val="009C5206"/>
    <w:rsid w:val="009C6AD9"/>
    <w:rsid w:val="009D7787"/>
    <w:rsid w:val="009E398C"/>
    <w:rsid w:val="009E6F05"/>
    <w:rsid w:val="009F644E"/>
    <w:rsid w:val="009F6A05"/>
    <w:rsid w:val="00A01BE2"/>
    <w:rsid w:val="00A10906"/>
    <w:rsid w:val="00A12E66"/>
    <w:rsid w:val="00A13E78"/>
    <w:rsid w:val="00A14EEF"/>
    <w:rsid w:val="00A23304"/>
    <w:rsid w:val="00A275C2"/>
    <w:rsid w:val="00A3295D"/>
    <w:rsid w:val="00A4012F"/>
    <w:rsid w:val="00A4190E"/>
    <w:rsid w:val="00A42E91"/>
    <w:rsid w:val="00A50383"/>
    <w:rsid w:val="00A61230"/>
    <w:rsid w:val="00A668C8"/>
    <w:rsid w:val="00A74ED3"/>
    <w:rsid w:val="00A813C5"/>
    <w:rsid w:val="00A824E6"/>
    <w:rsid w:val="00A832CD"/>
    <w:rsid w:val="00A858DC"/>
    <w:rsid w:val="00A94D14"/>
    <w:rsid w:val="00AA0EAD"/>
    <w:rsid w:val="00AB19CE"/>
    <w:rsid w:val="00AB2133"/>
    <w:rsid w:val="00AB3969"/>
    <w:rsid w:val="00AC0E7A"/>
    <w:rsid w:val="00AC187B"/>
    <w:rsid w:val="00AE310E"/>
    <w:rsid w:val="00AE4FC5"/>
    <w:rsid w:val="00AF1B1B"/>
    <w:rsid w:val="00AF5F1F"/>
    <w:rsid w:val="00B027A4"/>
    <w:rsid w:val="00B04202"/>
    <w:rsid w:val="00B236B3"/>
    <w:rsid w:val="00B26806"/>
    <w:rsid w:val="00B31B24"/>
    <w:rsid w:val="00B4287F"/>
    <w:rsid w:val="00B4315F"/>
    <w:rsid w:val="00B43306"/>
    <w:rsid w:val="00B60DAB"/>
    <w:rsid w:val="00B61CB1"/>
    <w:rsid w:val="00B63189"/>
    <w:rsid w:val="00B67B5C"/>
    <w:rsid w:val="00B7194E"/>
    <w:rsid w:val="00B73575"/>
    <w:rsid w:val="00B7380A"/>
    <w:rsid w:val="00B763B0"/>
    <w:rsid w:val="00B91005"/>
    <w:rsid w:val="00B92951"/>
    <w:rsid w:val="00B93045"/>
    <w:rsid w:val="00B93169"/>
    <w:rsid w:val="00B950B6"/>
    <w:rsid w:val="00BA4130"/>
    <w:rsid w:val="00BB2CAF"/>
    <w:rsid w:val="00BB79B5"/>
    <w:rsid w:val="00BC3E74"/>
    <w:rsid w:val="00BD630F"/>
    <w:rsid w:val="00BD7C1B"/>
    <w:rsid w:val="00BE0825"/>
    <w:rsid w:val="00BE2EE6"/>
    <w:rsid w:val="00BF17FD"/>
    <w:rsid w:val="00BF2820"/>
    <w:rsid w:val="00BF41D4"/>
    <w:rsid w:val="00BF5AFB"/>
    <w:rsid w:val="00C16734"/>
    <w:rsid w:val="00C17B47"/>
    <w:rsid w:val="00C25C77"/>
    <w:rsid w:val="00C303E7"/>
    <w:rsid w:val="00C319C2"/>
    <w:rsid w:val="00C53CE5"/>
    <w:rsid w:val="00C612F8"/>
    <w:rsid w:val="00C62E44"/>
    <w:rsid w:val="00C63BD8"/>
    <w:rsid w:val="00C65954"/>
    <w:rsid w:val="00C7126B"/>
    <w:rsid w:val="00C72C24"/>
    <w:rsid w:val="00C73468"/>
    <w:rsid w:val="00C74986"/>
    <w:rsid w:val="00C80EC4"/>
    <w:rsid w:val="00C8568E"/>
    <w:rsid w:val="00CA32B5"/>
    <w:rsid w:val="00CB57AD"/>
    <w:rsid w:val="00CC009D"/>
    <w:rsid w:val="00CC584A"/>
    <w:rsid w:val="00CC5E4E"/>
    <w:rsid w:val="00CD0EAB"/>
    <w:rsid w:val="00CE2AF3"/>
    <w:rsid w:val="00CE621D"/>
    <w:rsid w:val="00CE66E8"/>
    <w:rsid w:val="00D05388"/>
    <w:rsid w:val="00D114CD"/>
    <w:rsid w:val="00D14476"/>
    <w:rsid w:val="00D232FF"/>
    <w:rsid w:val="00D279AA"/>
    <w:rsid w:val="00D31215"/>
    <w:rsid w:val="00D34544"/>
    <w:rsid w:val="00D34841"/>
    <w:rsid w:val="00D4444E"/>
    <w:rsid w:val="00D44A97"/>
    <w:rsid w:val="00D45C0C"/>
    <w:rsid w:val="00D508A5"/>
    <w:rsid w:val="00D5104B"/>
    <w:rsid w:val="00D555D8"/>
    <w:rsid w:val="00D60778"/>
    <w:rsid w:val="00D63EB2"/>
    <w:rsid w:val="00D64D28"/>
    <w:rsid w:val="00D6604D"/>
    <w:rsid w:val="00D677F1"/>
    <w:rsid w:val="00D74601"/>
    <w:rsid w:val="00D83E46"/>
    <w:rsid w:val="00D847B6"/>
    <w:rsid w:val="00D93958"/>
    <w:rsid w:val="00D951D3"/>
    <w:rsid w:val="00DA1DB9"/>
    <w:rsid w:val="00DA6169"/>
    <w:rsid w:val="00DA7B28"/>
    <w:rsid w:val="00DB5480"/>
    <w:rsid w:val="00DB6317"/>
    <w:rsid w:val="00DC2FC5"/>
    <w:rsid w:val="00DC5AD9"/>
    <w:rsid w:val="00DC691F"/>
    <w:rsid w:val="00DD02DE"/>
    <w:rsid w:val="00DD07B7"/>
    <w:rsid w:val="00DD113C"/>
    <w:rsid w:val="00DD324C"/>
    <w:rsid w:val="00DE0BEB"/>
    <w:rsid w:val="00DE4856"/>
    <w:rsid w:val="00DF485B"/>
    <w:rsid w:val="00E0295D"/>
    <w:rsid w:val="00E042BC"/>
    <w:rsid w:val="00E132FE"/>
    <w:rsid w:val="00E21B77"/>
    <w:rsid w:val="00E23352"/>
    <w:rsid w:val="00E40CAD"/>
    <w:rsid w:val="00E40DC7"/>
    <w:rsid w:val="00E4215F"/>
    <w:rsid w:val="00E61D2E"/>
    <w:rsid w:val="00E62B7F"/>
    <w:rsid w:val="00E7066D"/>
    <w:rsid w:val="00E726BC"/>
    <w:rsid w:val="00E72821"/>
    <w:rsid w:val="00E75C82"/>
    <w:rsid w:val="00E81DDC"/>
    <w:rsid w:val="00E81F67"/>
    <w:rsid w:val="00E83650"/>
    <w:rsid w:val="00E83A31"/>
    <w:rsid w:val="00E93BF5"/>
    <w:rsid w:val="00E97CC0"/>
    <w:rsid w:val="00EA22B8"/>
    <w:rsid w:val="00EA2524"/>
    <w:rsid w:val="00EA33E7"/>
    <w:rsid w:val="00EC092D"/>
    <w:rsid w:val="00EC0DF8"/>
    <w:rsid w:val="00EC7F91"/>
    <w:rsid w:val="00ED378B"/>
    <w:rsid w:val="00EE08F9"/>
    <w:rsid w:val="00EE70B3"/>
    <w:rsid w:val="00EF24AA"/>
    <w:rsid w:val="00EF728A"/>
    <w:rsid w:val="00EF7D0D"/>
    <w:rsid w:val="00F00FF7"/>
    <w:rsid w:val="00F02093"/>
    <w:rsid w:val="00F068E3"/>
    <w:rsid w:val="00F10B5F"/>
    <w:rsid w:val="00F218C1"/>
    <w:rsid w:val="00F321EB"/>
    <w:rsid w:val="00F32B00"/>
    <w:rsid w:val="00F346CF"/>
    <w:rsid w:val="00F3610C"/>
    <w:rsid w:val="00F36839"/>
    <w:rsid w:val="00F52A5F"/>
    <w:rsid w:val="00F55954"/>
    <w:rsid w:val="00F57308"/>
    <w:rsid w:val="00F61962"/>
    <w:rsid w:val="00F62865"/>
    <w:rsid w:val="00F64022"/>
    <w:rsid w:val="00F64660"/>
    <w:rsid w:val="00F74FF3"/>
    <w:rsid w:val="00F97062"/>
    <w:rsid w:val="00F9745D"/>
    <w:rsid w:val="00FA07A9"/>
    <w:rsid w:val="00FA54B2"/>
    <w:rsid w:val="00FC0FCB"/>
    <w:rsid w:val="00FC529F"/>
    <w:rsid w:val="00FC66E1"/>
    <w:rsid w:val="00FC7B53"/>
    <w:rsid w:val="00FD48CC"/>
    <w:rsid w:val="00FE62D1"/>
    <w:rsid w:val="00FE7B94"/>
    <w:rsid w:val="00FF0736"/>
    <w:rsid w:val="00FF2515"/>
    <w:rsid w:val="00FF26BF"/>
    <w:rsid w:val="013C51B0"/>
    <w:rsid w:val="01651C23"/>
    <w:rsid w:val="01741FA3"/>
    <w:rsid w:val="018023CE"/>
    <w:rsid w:val="01881AD6"/>
    <w:rsid w:val="019127B6"/>
    <w:rsid w:val="01984797"/>
    <w:rsid w:val="01B71A01"/>
    <w:rsid w:val="01DC03CE"/>
    <w:rsid w:val="01E36F4E"/>
    <w:rsid w:val="0208150E"/>
    <w:rsid w:val="02287D63"/>
    <w:rsid w:val="024179E7"/>
    <w:rsid w:val="0246437B"/>
    <w:rsid w:val="02985CD5"/>
    <w:rsid w:val="02A741FD"/>
    <w:rsid w:val="02C16E5D"/>
    <w:rsid w:val="02D964CF"/>
    <w:rsid w:val="02DE5ECF"/>
    <w:rsid w:val="032E6AB8"/>
    <w:rsid w:val="036C34DA"/>
    <w:rsid w:val="03707410"/>
    <w:rsid w:val="039170C0"/>
    <w:rsid w:val="039240A3"/>
    <w:rsid w:val="03A0770F"/>
    <w:rsid w:val="03A27726"/>
    <w:rsid w:val="03A448B8"/>
    <w:rsid w:val="03B34A78"/>
    <w:rsid w:val="03C01631"/>
    <w:rsid w:val="03C10167"/>
    <w:rsid w:val="03C656A9"/>
    <w:rsid w:val="03F33148"/>
    <w:rsid w:val="042F3419"/>
    <w:rsid w:val="04491596"/>
    <w:rsid w:val="047B4012"/>
    <w:rsid w:val="04822497"/>
    <w:rsid w:val="04974587"/>
    <w:rsid w:val="049A0C65"/>
    <w:rsid w:val="04A07C4B"/>
    <w:rsid w:val="04DF1036"/>
    <w:rsid w:val="04E24985"/>
    <w:rsid w:val="050C01DF"/>
    <w:rsid w:val="05316537"/>
    <w:rsid w:val="053A5A77"/>
    <w:rsid w:val="0599183C"/>
    <w:rsid w:val="05A97DEC"/>
    <w:rsid w:val="05B23978"/>
    <w:rsid w:val="05C81981"/>
    <w:rsid w:val="05FC20B9"/>
    <w:rsid w:val="060043AE"/>
    <w:rsid w:val="060C3203"/>
    <w:rsid w:val="06281344"/>
    <w:rsid w:val="062D4EC8"/>
    <w:rsid w:val="064B3FB4"/>
    <w:rsid w:val="069B4E4A"/>
    <w:rsid w:val="06A26008"/>
    <w:rsid w:val="06BC41F2"/>
    <w:rsid w:val="06F415CC"/>
    <w:rsid w:val="070E26CD"/>
    <w:rsid w:val="07197D08"/>
    <w:rsid w:val="071E5C55"/>
    <w:rsid w:val="075C1FE5"/>
    <w:rsid w:val="077005AB"/>
    <w:rsid w:val="078F4581"/>
    <w:rsid w:val="07A715F3"/>
    <w:rsid w:val="07B8237D"/>
    <w:rsid w:val="07BF027F"/>
    <w:rsid w:val="07F06C60"/>
    <w:rsid w:val="08031A31"/>
    <w:rsid w:val="080E2872"/>
    <w:rsid w:val="08420CAE"/>
    <w:rsid w:val="089A5AE8"/>
    <w:rsid w:val="0902043D"/>
    <w:rsid w:val="09061A75"/>
    <w:rsid w:val="09182241"/>
    <w:rsid w:val="09325D4D"/>
    <w:rsid w:val="09545260"/>
    <w:rsid w:val="095F1030"/>
    <w:rsid w:val="09855177"/>
    <w:rsid w:val="098F195C"/>
    <w:rsid w:val="09A17D47"/>
    <w:rsid w:val="09C7292E"/>
    <w:rsid w:val="09E36C6A"/>
    <w:rsid w:val="09EE5125"/>
    <w:rsid w:val="0A3D7585"/>
    <w:rsid w:val="0A462748"/>
    <w:rsid w:val="0A4D0C81"/>
    <w:rsid w:val="0A723E95"/>
    <w:rsid w:val="0A733243"/>
    <w:rsid w:val="0A821A04"/>
    <w:rsid w:val="0AA534D5"/>
    <w:rsid w:val="0AA650EB"/>
    <w:rsid w:val="0AA7129C"/>
    <w:rsid w:val="0AF47339"/>
    <w:rsid w:val="0B121934"/>
    <w:rsid w:val="0B1F4D52"/>
    <w:rsid w:val="0B22594B"/>
    <w:rsid w:val="0B27506F"/>
    <w:rsid w:val="0B3061AD"/>
    <w:rsid w:val="0B9610F4"/>
    <w:rsid w:val="0BBF77A4"/>
    <w:rsid w:val="0BD16C8D"/>
    <w:rsid w:val="0BDF26F7"/>
    <w:rsid w:val="0C027DB2"/>
    <w:rsid w:val="0C2B4952"/>
    <w:rsid w:val="0C476893"/>
    <w:rsid w:val="0C516C55"/>
    <w:rsid w:val="0C5D161C"/>
    <w:rsid w:val="0C663925"/>
    <w:rsid w:val="0C7B2220"/>
    <w:rsid w:val="0CB67D83"/>
    <w:rsid w:val="0CCF79BE"/>
    <w:rsid w:val="0CD20599"/>
    <w:rsid w:val="0CE53018"/>
    <w:rsid w:val="0D0B5B12"/>
    <w:rsid w:val="0D133046"/>
    <w:rsid w:val="0D153F28"/>
    <w:rsid w:val="0D305390"/>
    <w:rsid w:val="0D3A0F98"/>
    <w:rsid w:val="0D5D37FD"/>
    <w:rsid w:val="0D657396"/>
    <w:rsid w:val="0D6A4502"/>
    <w:rsid w:val="0D7415CA"/>
    <w:rsid w:val="0D890E47"/>
    <w:rsid w:val="0DC64A00"/>
    <w:rsid w:val="0DCF786E"/>
    <w:rsid w:val="0DEB5FFA"/>
    <w:rsid w:val="0DF75C46"/>
    <w:rsid w:val="0DFC60BA"/>
    <w:rsid w:val="0E045D30"/>
    <w:rsid w:val="0E1C06B2"/>
    <w:rsid w:val="0E35000C"/>
    <w:rsid w:val="0E69691B"/>
    <w:rsid w:val="0E6E1278"/>
    <w:rsid w:val="0E7417F9"/>
    <w:rsid w:val="0E7900C2"/>
    <w:rsid w:val="0EBB5484"/>
    <w:rsid w:val="0EBD5AA3"/>
    <w:rsid w:val="0F085784"/>
    <w:rsid w:val="0F5723EF"/>
    <w:rsid w:val="0F7C5FF6"/>
    <w:rsid w:val="0FC63FBD"/>
    <w:rsid w:val="0FDD003F"/>
    <w:rsid w:val="0FE72DCE"/>
    <w:rsid w:val="0FF13726"/>
    <w:rsid w:val="0FF63282"/>
    <w:rsid w:val="0FF87EA4"/>
    <w:rsid w:val="0FFF7484"/>
    <w:rsid w:val="10007DD4"/>
    <w:rsid w:val="100B77ED"/>
    <w:rsid w:val="10305890"/>
    <w:rsid w:val="103D5A1A"/>
    <w:rsid w:val="106C564D"/>
    <w:rsid w:val="10767478"/>
    <w:rsid w:val="107B7B8F"/>
    <w:rsid w:val="107C67CE"/>
    <w:rsid w:val="10912D03"/>
    <w:rsid w:val="109D68CB"/>
    <w:rsid w:val="10A949B8"/>
    <w:rsid w:val="10CB4D26"/>
    <w:rsid w:val="11144AFE"/>
    <w:rsid w:val="11200D07"/>
    <w:rsid w:val="116A3F32"/>
    <w:rsid w:val="11786AB5"/>
    <w:rsid w:val="118049D4"/>
    <w:rsid w:val="118561F8"/>
    <w:rsid w:val="11914FAF"/>
    <w:rsid w:val="11A8021A"/>
    <w:rsid w:val="11B21219"/>
    <w:rsid w:val="11B4024C"/>
    <w:rsid w:val="11C95BA8"/>
    <w:rsid w:val="11DA73AF"/>
    <w:rsid w:val="11FC1ECD"/>
    <w:rsid w:val="12457C5E"/>
    <w:rsid w:val="124D097B"/>
    <w:rsid w:val="12511265"/>
    <w:rsid w:val="126561B4"/>
    <w:rsid w:val="12775385"/>
    <w:rsid w:val="127A3FFC"/>
    <w:rsid w:val="127D0E25"/>
    <w:rsid w:val="127E0B34"/>
    <w:rsid w:val="1283614B"/>
    <w:rsid w:val="12856FF3"/>
    <w:rsid w:val="129671FB"/>
    <w:rsid w:val="12A576FF"/>
    <w:rsid w:val="12C60D80"/>
    <w:rsid w:val="12FC7A04"/>
    <w:rsid w:val="130523B3"/>
    <w:rsid w:val="13097496"/>
    <w:rsid w:val="13154AD2"/>
    <w:rsid w:val="131F7A3A"/>
    <w:rsid w:val="132645D0"/>
    <w:rsid w:val="134312FF"/>
    <w:rsid w:val="13455ABC"/>
    <w:rsid w:val="13512798"/>
    <w:rsid w:val="135A334F"/>
    <w:rsid w:val="135B56AD"/>
    <w:rsid w:val="1370322B"/>
    <w:rsid w:val="13BA0460"/>
    <w:rsid w:val="13BB41AE"/>
    <w:rsid w:val="13C24F9B"/>
    <w:rsid w:val="13C45A18"/>
    <w:rsid w:val="13C9247B"/>
    <w:rsid w:val="13C92A4D"/>
    <w:rsid w:val="13DE55D1"/>
    <w:rsid w:val="13E0285C"/>
    <w:rsid w:val="13E90F57"/>
    <w:rsid w:val="143B2E0B"/>
    <w:rsid w:val="144E09DA"/>
    <w:rsid w:val="145715B0"/>
    <w:rsid w:val="147C1943"/>
    <w:rsid w:val="148054E9"/>
    <w:rsid w:val="14892735"/>
    <w:rsid w:val="14906D6C"/>
    <w:rsid w:val="14CC769D"/>
    <w:rsid w:val="14D764D5"/>
    <w:rsid w:val="14F43330"/>
    <w:rsid w:val="15133738"/>
    <w:rsid w:val="152509D7"/>
    <w:rsid w:val="15436F05"/>
    <w:rsid w:val="155541C5"/>
    <w:rsid w:val="15691FE3"/>
    <w:rsid w:val="158B5DDD"/>
    <w:rsid w:val="15A41986"/>
    <w:rsid w:val="15B11221"/>
    <w:rsid w:val="15C16EB3"/>
    <w:rsid w:val="15CB76C9"/>
    <w:rsid w:val="15D359D7"/>
    <w:rsid w:val="160E7A2C"/>
    <w:rsid w:val="16111028"/>
    <w:rsid w:val="161F7731"/>
    <w:rsid w:val="163C77BE"/>
    <w:rsid w:val="16573587"/>
    <w:rsid w:val="1679588C"/>
    <w:rsid w:val="168C2855"/>
    <w:rsid w:val="16903443"/>
    <w:rsid w:val="16994962"/>
    <w:rsid w:val="16A233CF"/>
    <w:rsid w:val="16A71041"/>
    <w:rsid w:val="16AA24BF"/>
    <w:rsid w:val="171D3FE1"/>
    <w:rsid w:val="1742794A"/>
    <w:rsid w:val="17680CAB"/>
    <w:rsid w:val="176E4128"/>
    <w:rsid w:val="1783371F"/>
    <w:rsid w:val="178D7563"/>
    <w:rsid w:val="17B61794"/>
    <w:rsid w:val="17C52CBF"/>
    <w:rsid w:val="17C93012"/>
    <w:rsid w:val="17E62B67"/>
    <w:rsid w:val="180F4499"/>
    <w:rsid w:val="182201B4"/>
    <w:rsid w:val="18221ECE"/>
    <w:rsid w:val="18303840"/>
    <w:rsid w:val="183C3D90"/>
    <w:rsid w:val="18504A07"/>
    <w:rsid w:val="1859036F"/>
    <w:rsid w:val="18681814"/>
    <w:rsid w:val="18690202"/>
    <w:rsid w:val="18B0649B"/>
    <w:rsid w:val="18C8297B"/>
    <w:rsid w:val="18D418FC"/>
    <w:rsid w:val="18FC7745"/>
    <w:rsid w:val="19027053"/>
    <w:rsid w:val="191677A6"/>
    <w:rsid w:val="19353F17"/>
    <w:rsid w:val="194D39A7"/>
    <w:rsid w:val="19DD405E"/>
    <w:rsid w:val="1A460CF5"/>
    <w:rsid w:val="1A7A6BB4"/>
    <w:rsid w:val="1A7F297D"/>
    <w:rsid w:val="1A940EDD"/>
    <w:rsid w:val="1A9B268C"/>
    <w:rsid w:val="1A9D6244"/>
    <w:rsid w:val="1AAF6004"/>
    <w:rsid w:val="1AB16AC1"/>
    <w:rsid w:val="1AB1732F"/>
    <w:rsid w:val="1ABF1CEA"/>
    <w:rsid w:val="1B014DDE"/>
    <w:rsid w:val="1B0320FB"/>
    <w:rsid w:val="1B034A52"/>
    <w:rsid w:val="1B1464B2"/>
    <w:rsid w:val="1B175BF4"/>
    <w:rsid w:val="1B45344E"/>
    <w:rsid w:val="1B591D2B"/>
    <w:rsid w:val="1B5D76FB"/>
    <w:rsid w:val="1B683578"/>
    <w:rsid w:val="1B8C0040"/>
    <w:rsid w:val="1B967C40"/>
    <w:rsid w:val="1BBA4E52"/>
    <w:rsid w:val="1BD9519A"/>
    <w:rsid w:val="1BDE2F66"/>
    <w:rsid w:val="1C2A22B3"/>
    <w:rsid w:val="1C750ECE"/>
    <w:rsid w:val="1CA56AF4"/>
    <w:rsid w:val="1CE1575A"/>
    <w:rsid w:val="1D196139"/>
    <w:rsid w:val="1D2E2708"/>
    <w:rsid w:val="1D5E02D1"/>
    <w:rsid w:val="1D7B74A7"/>
    <w:rsid w:val="1D7F0ED0"/>
    <w:rsid w:val="1D8B1E8F"/>
    <w:rsid w:val="1DA31EB7"/>
    <w:rsid w:val="1DA55D97"/>
    <w:rsid w:val="1DBB6100"/>
    <w:rsid w:val="1DBE6816"/>
    <w:rsid w:val="1DC174F7"/>
    <w:rsid w:val="1DC67725"/>
    <w:rsid w:val="1DCB4FF1"/>
    <w:rsid w:val="1DDC11E4"/>
    <w:rsid w:val="1DF5452A"/>
    <w:rsid w:val="1E010AF7"/>
    <w:rsid w:val="1E1C405A"/>
    <w:rsid w:val="1E2E29E0"/>
    <w:rsid w:val="1E301173"/>
    <w:rsid w:val="1E3D17F7"/>
    <w:rsid w:val="1E884D18"/>
    <w:rsid w:val="1ED8781E"/>
    <w:rsid w:val="1EDD3235"/>
    <w:rsid w:val="1EE7283A"/>
    <w:rsid w:val="1F1102B0"/>
    <w:rsid w:val="1F2F1047"/>
    <w:rsid w:val="1F43381C"/>
    <w:rsid w:val="1F7D6A3D"/>
    <w:rsid w:val="1FA4148D"/>
    <w:rsid w:val="1FC10FAB"/>
    <w:rsid w:val="1FC65577"/>
    <w:rsid w:val="1FD82385"/>
    <w:rsid w:val="1FE848F9"/>
    <w:rsid w:val="20121621"/>
    <w:rsid w:val="201636E2"/>
    <w:rsid w:val="202E3F6D"/>
    <w:rsid w:val="2032134B"/>
    <w:rsid w:val="20325F7E"/>
    <w:rsid w:val="204778E7"/>
    <w:rsid w:val="204E554F"/>
    <w:rsid w:val="20546774"/>
    <w:rsid w:val="20590035"/>
    <w:rsid w:val="206C3DBE"/>
    <w:rsid w:val="20851B47"/>
    <w:rsid w:val="209A2C3D"/>
    <w:rsid w:val="20C75F75"/>
    <w:rsid w:val="20E5011E"/>
    <w:rsid w:val="20FC799E"/>
    <w:rsid w:val="21073837"/>
    <w:rsid w:val="21286DA7"/>
    <w:rsid w:val="2134683B"/>
    <w:rsid w:val="21C82E72"/>
    <w:rsid w:val="21DE0801"/>
    <w:rsid w:val="21DE339D"/>
    <w:rsid w:val="22154DDD"/>
    <w:rsid w:val="221D4DB5"/>
    <w:rsid w:val="22336873"/>
    <w:rsid w:val="22396826"/>
    <w:rsid w:val="225471A3"/>
    <w:rsid w:val="225E34DC"/>
    <w:rsid w:val="227561AD"/>
    <w:rsid w:val="227D1295"/>
    <w:rsid w:val="229B678A"/>
    <w:rsid w:val="22AB3B7D"/>
    <w:rsid w:val="22AF3A08"/>
    <w:rsid w:val="22F92F75"/>
    <w:rsid w:val="239634D6"/>
    <w:rsid w:val="23A323EE"/>
    <w:rsid w:val="23BB4E7D"/>
    <w:rsid w:val="23C172D6"/>
    <w:rsid w:val="23CB1286"/>
    <w:rsid w:val="23D77537"/>
    <w:rsid w:val="23E6195D"/>
    <w:rsid w:val="23F04F64"/>
    <w:rsid w:val="242654AA"/>
    <w:rsid w:val="245501BA"/>
    <w:rsid w:val="24814CBE"/>
    <w:rsid w:val="24AC168B"/>
    <w:rsid w:val="24BB6664"/>
    <w:rsid w:val="24EC64CB"/>
    <w:rsid w:val="250E1318"/>
    <w:rsid w:val="25103738"/>
    <w:rsid w:val="253F46D8"/>
    <w:rsid w:val="254D0389"/>
    <w:rsid w:val="25884C5D"/>
    <w:rsid w:val="258C3BEC"/>
    <w:rsid w:val="25A03144"/>
    <w:rsid w:val="25B2479F"/>
    <w:rsid w:val="25C15C5D"/>
    <w:rsid w:val="25D329B9"/>
    <w:rsid w:val="25E5427A"/>
    <w:rsid w:val="2624159B"/>
    <w:rsid w:val="26276A31"/>
    <w:rsid w:val="26366F9D"/>
    <w:rsid w:val="263B1230"/>
    <w:rsid w:val="2642752B"/>
    <w:rsid w:val="26485508"/>
    <w:rsid w:val="26554808"/>
    <w:rsid w:val="265E685B"/>
    <w:rsid w:val="26607D95"/>
    <w:rsid w:val="26700955"/>
    <w:rsid w:val="26A16AE9"/>
    <w:rsid w:val="26A605D9"/>
    <w:rsid w:val="26AD0500"/>
    <w:rsid w:val="26B121A3"/>
    <w:rsid w:val="26E464C3"/>
    <w:rsid w:val="26E7337E"/>
    <w:rsid w:val="272E3097"/>
    <w:rsid w:val="272E6F74"/>
    <w:rsid w:val="273B7A3B"/>
    <w:rsid w:val="2744303C"/>
    <w:rsid w:val="277E6655"/>
    <w:rsid w:val="2780046C"/>
    <w:rsid w:val="27933DEA"/>
    <w:rsid w:val="27B36A67"/>
    <w:rsid w:val="27D722B1"/>
    <w:rsid w:val="27D9633F"/>
    <w:rsid w:val="280B2E27"/>
    <w:rsid w:val="281E404F"/>
    <w:rsid w:val="28302479"/>
    <w:rsid w:val="2846581F"/>
    <w:rsid w:val="284A5CA4"/>
    <w:rsid w:val="286550ED"/>
    <w:rsid w:val="286602C8"/>
    <w:rsid w:val="28665C95"/>
    <w:rsid w:val="28736F5F"/>
    <w:rsid w:val="28B01D1E"/>
    <w:rsid w:val="28C2628C"/>
    <w:rsid w:val="28CC3373"/>
    <w:rsid w:val="28F47F99"/>
    <w:rsid w:val="28F579BA"/>
    <w:rsid w:val="290B3EB9"/>
    <w:rsid w:val="292728C1"/>
    <w:rsid w:val="293E4722"/>
    <w:rsid w:val="294E392A"/>
    <w:rsid w:val="2950768C"/>
    <w:rsid w:val="296A5655"/>
    <w:rsid w:val="297A5FC4"/>
    <w:rsid w:val="29B51252"/>
    <w:rsid w:val="29E14657"/>
    <w:rsid w:val="29E474B8"/>
    <w:rsid w:val="29ED574B"/>
    <w:rsid w:val="29FA2D3E"/>
    <w:rsid w:val="29FE5CE6"/>
    <w:rsid w:val="2A743AE8"/>
    <w:rsid w:val="2A8D4F8F"/>
    <w:rsid w:val="2A917B34"/>
    <w:rsid w:val="2A9308A8"/>
    <w:rsid w:val="2A9F5AB8"/>
    <w:rsid w:val="2AB10C99"/>
    <w:rsid w:val="2AD74E8C"/>
    <w:rsid w:val="2AE3766F"/>
    <w:rsid w:val="2AEC612E"/>
    <w:rsid w:val="2B0268A7"/>
    <w:rsid w:val="2B060F9E"/>
    <w:rsid w:val="2B0E56AB"/>
    <w:rsid w:val="2B51141C"/>
    <w:rsid w:val="2B590601"/>
    <w:rsid w:val="2B5E72FD"/>
    <w:rsid w:val="2B710DB7"/>
    <w:rsid w:val="2B7408CF"/>
    <w:rsid w:val="2B7E4054"/>
    <w:rsid w:val="2BBA6A76"/>
    <w:rsid w:val="2BCC03D1"/>
    <w:rsid w:val="2BDF1FBA"/>
    <w:rsid w:val="2C0C6D59"/>
    <w:rsid w:val="2C1E3C99"/>
    <w:rsid w:val="2C5B0D4B"/>
    <w:rsid w:val="2C8903AA"/>
    <w:rsid w:val="2C987C56"/>
    <w:rsid w:val="2CA156F3"/>
    <w:rsid w:val="2CC11460"/>
    <w:rsid w:val="2CC15BAA"/>
    <w:rsid w:val="2CC72A61"/>
    <w:rsid w:val="2CDC3153"/>
    <w:rsid w:val="2CDF621C"/>
    <w:rsid w:val="2CE136D7"/>
    <w:rsid w:val="2CFE7A11"/>
    <w:rsid w:val="2CFF149A"/>
    <w:rsid w:val="2D201865"/>
    <w:rsid w:val="2D2B6EDE"/>
    <w:rsid w:val="2D4B5CEA"/>
    <w:rsid w:val="2D4C5B4C"/>
    <w:rsid w:val="2D542188"/>
    <w:rsid w:val="2D652658"/>
    <w:rsid w:val="2D964A56"/>
    <w:rsid w:val="2DC16E0A"/>
    <w:rsid w:val="2DC80C49"/>
    <w:rsid w:val="2DCA6355"/>
    <w:rsid w:val="2DEA4E78"/>
    <w:rsid w:val="2E030E17"/>
    <w:rsid w:val="2E166748"/>
    <w:rsid w:val="2E1931D6"/>
    <w:rsid w:val="2E2054A0"/>
    <w:rsid w:val="2E482374"/>
    <w:rsid w:val="2E491580"/>
    <w:rsid w:val="2E556F01"/>
    <w:rsid w:val="2E8345A7"/>
    <w:rsid w:val="2E8E20B4"/>
    <w:rsid w:val="2EAA7BAE"/>
    <w:rsid w:val="2EC1207D"/>
    <w:rsid w:val="2ED06066"/>
    <w:rsid w:val="2ED1223D"/>
    <w:rsid w:val="2F000139"/>
    <w:rsid w:val="2F1B303D"/>
    <w:rsid w:val="2F275F60"/>
    <w:rsid w:val="2F3F11F4"/>
    <w:rsid w:val="2F5E0754"/>
    <w:rsid w:val="2F9F42DC"/>
    <w:rsid w:val="2FBB4121"/>
    <w:rsid w:val="2FBC2844"/>
    <w:rsid w:val="2FBE3786"/>
    <w:rsid w:val="2FC32F68"/>
    <w:rsid w:val="2FD6418B"/>
    <w:rsid w:val="2FF37AB3"/>
    <w:rsid w:val="30210B8A"/>
    <w:rsid w:val="30224DC7"/>
    <w:rsid w:val="303B4C3F"/>
    <w:rsid w:val="3073310C"/>
    <w:rsid w:val="309D6BE6"/>
    <w:rsid w:val="30AA1790"/>
    <w:rsid w:val="30EE385E"/>
    <w:rsid w:val="30F85AFE"/>
    <w:rsid w:val="31031402"/>
    <w:rsid w:val="31170995"/>
    <w:rsid w:val="31264A30"/>
    <w:rsid w:val="312651F8"/>
    <w:rsid w:val="31862EE3"/>
    <w:rsid w:val="31884E67"/>
    <w:rsid w:val="31A0275E"/>
    <w:rsid w:val="31A67308"/>
    <w:rsid w:val="31B91526"/>
    <w:rsid w:val="31BA7402"/>
    <w:rsid w:val="31EF0041"/>
    <w:rsid w:val="320107F5"/>
    <w:rsid w:val="322E7A29"/>
    <w:rsid w:val="324175CB"/>
    <w:rsid w:val="326A0524"/>
    <w:rsid w:val="327B7EDF"/>
    <w:rsid w:val="327F64D7"/>
    <w:rsid w:val="32A43242"/>
    <w:rsid w:val="32AB70C5"/>
    <w:rsid w:val="32EF2122"/>
    <w:rsid w:val="32F17F41"/>
    <w:rsid w:val="332038B4"/>
    <w:rsid w:val="33247607"/>
    <w:rsid w:val="333014B0"/>
    <w:rsid w:val="33550FE6"/>
    <w:rsid w:val="335D0AF5"/>
    <w:rsid w:val="336917EF"/>
    <w:rsid w:val="336B2EA4"/>
    <w:rsid w:val="336B3E67"/>
    <w:rsid w:val="3370088C"/>
    <w:rsid w:val="33872039"/>
    <w:rsid w:val="339A687B"/>
    <w:rsid w:val="33DC2F78"/>
    <w:rsid w:val="3428227C"/>
    <w:rsid w:val="343230D5"/>
    <w:rsid w:val="3439428E"/>
    <w:rsid w:val="34571EF7"/>
    <w:rsid w:val="347918A5"/>
    <w:rsid w:val="34802E4C"/>
    <w:rsid w:val="349D37D5"/>
    <w:rsid w:val="34A61BDE"/>
    <w:rsid w:val="34BA37F6"/>
    <w:rsid w:val="34BB7B5F"/>
    <w:rsid w:val="3522586C"/>
    <w:rsid w:val="352D7140"/>
    <w:rsid w:val="35572473"/>
    <w:rsid w:val="35602226"/>
    <w:rsid w:val="356B72E7"/>
    <w:rsid w:val="356D2AC8"/>
    <w:rsid w:val="3572424F"/>
    <w:rsid w:val="35734CF3"/>
    <w:rsid w:val="35866014"/>
    <w:rsid w:val="359B4FE3"/>
    <w:rsid w:val="359E5CE0"/>
    <w:rsid w:val="35D275C3"/>
    <w:rsid w:val="35E50FBB"/>
    <w:rsid w:val="36187212"/>
    <w:rsid w:val="362B215D"/>
    <w:rsid w:val="366666CA"/>
    <w:rsid w:val="367070F4"/>
    <w:rsid w:val="367801A9"/>
    <w:rsid w:val="36807FCC"/>
    <w:rsid w:val="36AD519D"/>
    <w:rsid w:val="36B57705"/>
    <w:rsid w:val="36B93E53"/>
    <w:rsid w:val="36DC1DD3"/>
    <w:rsid w:val="36F3711D"/>
    <w:rsid w:val="36FC25DD"/>
    <w:rsid w:val="37090CD6"/>
    <w:rsid w:val="37122320"/>
    <w:rsid w:val="3754697A"/>
    <w:rsid w:val="37636A21"/>
    <w:rsid w:val="377C03A4"/>
    <w:rsid w:val="37A103ED"/>
    <w:rsid w:val="37A367C3"/>
    <w:rsid w:val="37BD33EE"/>
    <w:rsid w:val="37D96E78"/>
    <w:rsid w:val="37E02B23"/>
    <w:rsid w:val="37E345A6"/>
    <w:rsid w:val="37EA5E6E"/>
    <w:rsid w:val="37EC6A58"/>
    <w:rsid w:val="37FB2268"/>
    <w:rsid w:val="37FF016F"/>
    <w:rsid w:val="380F0693"/>
    <w:rsid w:val="382A6E2D"/>
    <w:rsid w:val="383D7952"/>
    <w:rsid w:val="386E4145"/>
    <w:rsid w:val="387C5ABE"/>
    <w:rsid w:val="388D0C74"/>
    <w:rsid w:val="38B66D0C"/>
    <w:rsid w:val="38CC1BD1"/>
    <w:rsid w:val="38D41643"/>
    <w:rsid w:val="38EB6119"/>
    <w:rsid w:val="39044996"/>
    <w:rsid w:val="392C6D9B"/>
    <w:rsid w:val="393B020C"/>
    <w:rsid w:val="39506E15"/>
    <w:rsid w:val="396678D9"/>
    <w:rsid w:val="39790BE6"/>
    <w:rsid w:val="397A0ADB"/>
    <w:rsid w:val="39844799"/>
    <w:rsid w:val="39954B2B"/>
    <w:rsid w:val="39B76D45"/>
    <w:rsid w:val="39DA2245"/>
    <w:rsid w:val="39E66E3B"/>
    <w:rsid w:val="39FD4CC2"/>
    <w:rsid w:val="3A51228C"/>
    <w:rsid w:val="3A545E48"/>
    <w:rsid w:val="3A552E60"/>
    <w:rsid w:val="3A5D642F"/>
    <w:rsid w:val="3A744447"/>
    <w:rsid w:val="3A78219D"/>
    <w:rsid w:val="3A854279"/>
    <w:rsid w:val="3A995C5C"/>
    <w:rsid w:val="3AB210FC"/>
    <w:rsid w:val="3ADB7381"/>
    <w:rsid w:val="3AF04A37"/>
    <w:rsid w:val="3B043A1D"/>
    <w:rsid w:val="3B1E01C3"/>
    <w:rsid w:val="3B232247"/>
    <w:rsid w:val="3B3E5B8A"/>
    <w:rsid w:val="3B793A48"/>
    <w:rsid w:val="3B7E3699"/>
    <w:rsid w:val="3B85393E"/>
    <w:rsid w:val="3BCA4B8A"/>
    <w:rsid w:val="3BCD72F7"/>
    <w:rsid w:val="3BFC2F5F"/>
    <w:rsid w:val="3BFC606A"/>
    <w:rsid w:val="3C37146A"/>
    <w:rsid w:val="3C3D3625"/>
    <w:rsid w:val="3C414142"/>
    <w:rsid w:val="3C5B725E"/>
    <w:rsid w:val="3C84047F"/>
    <w:rsid w:val="3C88055A"/>
    <w:rsid w:val="3C974E1F"/>
    <w:rsid w:val="3C9E57AB"/>
    <w:rsid w:val="3CAF79B9"/>
    <w:rsid w:val="3CB35097"/>
    <w:rsid w:val="3CF737A2"/>
    <w:rsid w:val="3D10295A"/>
    <w:rsid w:val="3D184041"/>
    <w:rsid w:val="3D370C2A"/>
    <w:rsid w:val="3D414FC0"/>
    <w:rsid w:val="3D4F12A7"/>
    <w:rsid w:val="3D7B5F78"/>
    <w:rsid w:val="3D7D049C"/>
    <w:rsid w:val="3DB35BBB"/>
    <w:rsid w:val="3DE20EAE"/>
    <w:rsid w:val="3DEF3701"/>
    <w:rsid w:val="3E0572FD"/>
    <w:rsid w:val="3E0720FE"/>
    <w:rsid w:val="3E2819F6"/>
    <w:rsid w:val="3E287A22"/>
    <w:rsid w:val="3E5A7FE7"/>
    <w:rsid w:val="3E7D40EF"/>
    <w:rsid w:val="3E955A6A"/>
    <w:rsid w:val="3E964D81"/>
    <w:rsid w:val="3EF66B2E"/>
    <w:rsid w:val="3F217914"/>
    <w:rsid w:val="3F8213A8"/>
    <w:rsid w:val="3FD10810"/>
    <w:rsid w:val="3FD70BB0"/>
    <w:rsid w:val="3FF82C4F"/>
    <w:rsid w:val="3FFB55AC"/>
    <w:rsid w:val="40017152"/>
    <w:rsid w:val="401C5F9D"/>
    <w:rsid w:val="401C690C"/>
    <w:rsid w:val="401D7195"/>
    <w:rsid w:val="405C1C05"/>
    <w:rsid w:val="40722246"/>
    <w:rsid w:val="407A652F"/>
    <w:rsid w:val="40825D97"/>
    <w:rsid w:val="40836C36"/>
    <w:rsid w:val="40870EA3"/>
    <w:rsid w:val="409928E7"/>
    <w:rsid w:val="40997CFE"/>
    <w:rsid w:val="40C34607"/>
    <w:rsid w:val="40CE3DC0"/>
    <w:rsid w:val="40D7455A"/>
    <w:rsid w:val="40E743E5"/>
    <w:rsid w:val="40EB4012"/>
    <w:rsid w:val="41075C9E"/>
    <w:rsid w:val="410A1661"/>
    <w:rsid w:val="412D5EA0"/>
    <w:rsid w:val="415A62F5"/>
    <w:rsid w:val="416D78C7"/>
    <w:rsid w:val="41734CBA"/>
    <w:rsid w:val="417F4E1A"/>
    <w:rsid w:val="418B0C8A"/>
    <w:rsid w:val="41A82190"/>
    <w:rsid w:val="41D25071"/>
    <w:rsid w:val="41DE5999"/>
    <w:rsid w:val="41E1181A"/>
    <w:rsid w:val="41E32A20"/>
    <w:rsid w:val="41FA3241"/>
    <w:rsid w:val="420F7A65"/>
    <w:rsid w:val="4216611A"/>
    <w:rsid w:val="42321B6A"/>
    <w:rsid w:val="423E300F"/>
    <w:rsid w:val="425656C8"/>
    <w:rsid w:val="4257273C"/>
    <w:rsid w:val="42687ACE"/>
    <w:rsid w:val="4270145E"/>
    <w:rsid w:val="429E6041"/>
    <w:rsid w:val="42BF4B02"/>
    <w:rsid w:val="42FD694D"/>
    <w:rsid w:val="43034DFA"/>
    <w:rsid w:val="437D6687"/>
    <w:rsid w:val="438351F5"/>
    <w:rsid w:val="438D35EA"/>
    <w:rsid w:val="43BC1E57"/>
    <w:rsid w:val="43D23F8D"/>
    <w:rsid w:val="43D43F1D"/>
    <w:rsid w:val="43FA5777"/>
    <w:rsid w:val="44023422"/>
    <w:rsid w:val="44184A2D"/>
    <w:rsid w:val="441C1611"/>
    <w:rsid w:val="443C440B"/>
    <w:rsid w:val="44514F52"/>
    <w:rsid w:val="44761C8F"/>
    <w:rsid w:val="449722E3"/>
    <w:rsid w:val="449D7B09"/>
    <w:rsid w:val="44AE3FD4"/>
    <w:rsid w:val="44D0586F"/>
    <w:rsid w:val="44FA2D53"/>
    <w:rsid w:val="453C4912"/>
    <w:rsid w:val="45687813"/>
    <w:rsid w:val="4571374F"/>
    <w:rsid w:val="458B1BB0"/>
    <w:rsid w:val="45A41560"/>
    <w:rsid w:val="45AD31D6"/>
    <w:rsid w:val="45B93426"/>
    <w:rsid w:val="45CF1361"/>
    <w:rsid w:val="464C6420"/>
    <w:rsid w:val="46552F9B"/>
    <w:rsid w:val="466D2933"/>
    <w:rsid w:val="4677696F"/>
    <w:rsid w:val="467A0297"/>
    <w:rsid w:val="46832211"/>
    <w:rsid w:val="468B7125"/>
    <w:rsid w:val="46B506EF"/>
    <w:rsid w:val="46C4691F"/>
    <w:rsid w:val="46CB53EF"/>
    <w:rsid w:val="46EE513F"/>
    <w:rsid w:val="470F5A71"/>
    <w:rsid w:val="473154FF"/>
    <w:rsid w:val="47685427"/>
    <w:rsid w:val="476C4065"/>
    <w:rsid w:val="4779499C"/>
    <w:rsid w:val="477B6530"/>
    <w:rsid w:val="47801172"/>
    <w:rsid w:val="479D1D34"/>
    <w:rsid w:val="47B609C0"/>
    <w:rsid w:val="47EC3B04"/>
    <w:rsid w:val="47EC6277"/>
    <w:rsid w:val="48021483"/>
    <w:rsid w:val="481A219B"/>
    <w:rsid w:val="482D31EA"/>
    <w:rsid w:val="48393936"/>
    <w:rsid w:val="48447D02"/>
    <w:rsid w:val="485970A0"/>
    <w:rsid w:val="486A6E89"/>
    <w:rsid w:val="48823516"/>
    <w:rsid w:val="48877686"/>
    <w:rsid w:val="488B498B"/>
    <w:rsid w:val="48B176C2"/>
    <w:rsid w:val="48B65C71"/>
    <w:rsid w:val="48D550F0"/>
    <w:rsid w:val="48FB1909"/>
    <w:rsid w:val="491E6F33"/>
    <w:rsid w:val="491F266E"/>
    <w:rsid w:val="492E6A57"/>
    <w:rsid w:val="493A3982"/>
    <w:rsid w:val="495839AA"/>
    <w:rsid w:val="49700A6F"/>
    <w:rsid w:val="49771AFE"/>
    <w:rsid w:val="49802948"/>
    <w:rsid w:val="4986089F"/>
    <w:rsid w:val="498B5309"/>
    <w:rsid w:val="499F0AAB"/>
    <w:rsid w:val="49C154CE"/>
    <w:rsid w:val="49C33FF5"/>
    <w:rsid w:val="49DB11EC"/>
    <w:rsid w:val="49E31DD1"/>
    <w:rsid w:val="4A0030EE"/>
    <w:rsid w:val="4A0568D6"/>
    <w:rsid w:val="4A0C4F3C"/>
    <w:rsid w:val="4A162478"/>
    <w:rsid w:val="4A171EC9"/>
    <w:rsid w:val="4A1A1689"/>
    <w:rsid w:val="4A484D41"/>
    <w:rsid w:val="4A632AAF"/>
    <w:rsid w:val="4A6D15F8"/>
    <w:rsid w:val="4A7617B6"/>
    <w:rsid w:val="4A8C4FB8"/>
    <w:rsid w:val="4A9A25BD"/>
    <w:rsid w:val="4A9E0551"/>
    <w:rsid w:val="4AB542AE"/>
    <w:rsid w:val="4AB65B44"/>
    <w:rsid w:val="4AB8303E"/>
    <w:rsid w:val="4AF72FEA"/>
    <w:rsid w:val="4AFF7D5D"/>
    <w:rsid w:val="4B1477B3"/>
    <w:rsid w:val="4B1802CF"/>
    <w:rsid w:val="4B1F062C"/>
    <w:rsid w:val="4B243D9D"/>
    <w:rsid w:val="4B281425"/>
    <w:rsid w:val="4B6F66A1"/>
    <w:rsid w:val="4B85213F"/>
    <w:rsid w:val="4B8C2DEB"/>
    <w:rsid w:val="4BFA3C9F"/>
    <w:rsid w:val="4BFA7F6C"/>
    <w:rsid w:val="4C107F48"/>
    <w:rsid w:val="4C3117D0"/>
    <w:rsid w:val="4C3277BC"/>
    <w:rsid w:val="4C5C442D"/>
    <w:rsid w:val="4C6D42A9"/>
    <w:rsid w:val="4C716A38"/>
    <w:rsid w:val="4CA6013A"/>
    <w:rsid w:val="4CC0351C"/>
    <w:rsid w:val="4CC353EB"/>
    <w:rsid w:val="4CD824F7"/>
    <w:rsid w:val="4CE64E14"/>
    <w:rsid w:val="4CE95EE5"/>
    <w:rsid w:val="4CEC4311"/>
    <w:rsid w:val="4CF36F3C"/>
    <w:rsid w:val="4D007BC8"/>
    <w:rsid w:val="4D0602E5"/>
    <w:rsid w:val="4D1470BD"/>
    <w:rsid w:val="4D154882"/>
    <w:rsid w:val="4D1C3C50"/>
    <w:rsid w:val="4D603399"/>
    <w:rsid w:val="4D6A7284"/>
    <w:rsid w:val="4D6E30E1"/>
    <w:rsid w:val="4D867EE1"/>
    <w:rsid w:val="4DBC4C65"/>
    <w:rsid w:val="4DC9105D"/>
    <w:rsid w:val="4DE2009B"/>
    <w:rsid w:val="4DF86974"/>
    <w:rsid w:val="4E0F235E"/>
    <w:rsid w:val="4E157689"/>
    <w:rsid w:val="4E471216"/>
    <w:rsid w:val="4E533FA5"/>
    <w:rsid w:val="4E550010"/>
    <w:rsid w:val="4E5F14CB"/>
    <w:rsid w:val="4E6808B0"/>
    <w:rsid w:val="4E780BC4"/>
    <w:rsid w:val="4EAE5AF3"/>
    <w:rsid w:val="4EBA42F2"/>
    <w:rsid w:val="4EC00DDD"/>
    <w:rsid w:val="4ED908C5"/>
    <w:rsid w:val="4EF265BE"/>
    <w:rsid w:val="4EFB1C45"/>
    <w:rsid w:val="4F0C2A48"/>
    <w:rsid w:val="4F26273B"/>
    <w:rsid w:val="4F2D3A8A"/>
    <w:rsid w:val="4F32478A"/>
    <w:rsid w:val="4F3705F8"/>
    <w:rsid w:val="4F5361A4"/>
    <w:rsid w:val="4F913A9A"/>
    <w:rsid w:val="4F9714A0"/>
    <w:rsid w:val="4FAA3F91"/>
    <w:rsid w:val="4FAC3540"/>
    <w:rsid w:val="4FCF1583"/>
    <w:rsid w:val="4FD23E66"/>
    <w:rsid w:val="4FD44D1B"/>
    <w:rsid w:val="4FDC066D"/>
    <w:rsid w:val="4FFA7625"/>
    <w:rsid w:val="50453E7E"/>
    <w:rsid w:val="50594CF7"/>
    <w:rsid w:val="50760D49"/>
    <w:rsid w:val="507D2599"/>
    <w:rsid w:val="5096229D"/>
    <w:rsid w:val="509E157D"/>
    <w:rsid w:val="50A6165E"/>
    <w:rsid w:val="50DC4184"/>
    <w:rsid w:val="50EE4A51"/>
    <w:rsid w:val="50F934A0"/>
    <w:rsid w:val="50FB6146"/>
    <w:rsid w:val="512F4CA0"/>
    <w:rsid w:val="51361FFF"/>
    <w:rsid w:val="513D4C38"/>
    <w:rsid w:val="514C3EA7"/>
    <w:rsid w:val="515A76EC"/>
    <w:rsid w:val="517E37D9"/>
    <w:rsid w:val="51884E99"/>
    <w:rsid w:val="51976F41"/>
    <w:rsid w:val="51AC4D00"/>
    <w:rsid w:val="51FF3C99"/>
    <w:rsid w:val="522A20E4"/>
    <w:rsid w:val="52363D4D"/>
    <w:rsid w:val="524771BA"/>
    <w:rsid w:val="524A2AC9"/>
    <w:rsid w:val="52521A20"/>
    <w:rsid w:val="528604EC"/>
    <w:rsid w:val="529E2C3A"/>
    <w:rsid w:val="52AC4ABC"/>
    <w:rsid w:val="52C201B9"/>
    <w:rsid w:val="52E57A12"/>
    <w:rsid w:val="52F20B62"/>
    <w:rsid w:val="531C4FCC"/>
    <w:rsid w:val="53827E49"/>
    <w:rsid w:val="538A6BB9"/>
    <w:rsid w:val="539964FD"/>
    <w:rsid w:val="539C1B81"/>
    <w:rsid w:val="539D7755"/>
    <w:rsid w:val="53A447B1"/>
    <w:rsid w:val="53AE750F"/>
    <w:rsid w:val="53D224B3"/>
    <w:rsid w:val="53F81D96"/>
    <w:rsid w:val="541D5DE8"/>
    <w:rsid w:val="541F57C4"/>
    <w:rsid w:val="544B5214"/>
    <w:rsid w:val="546F523C"/>
    <w:rsid w:val="54782FBD"/>
    <w:rsid w:val="5483138F"/>
    <w:rsid w:val="5488523A"/>
    <w:rsid w:val="549A6BFA"/>
    <w:rsid w:val="54C341E7"/>
    <w:rsid w:val="54D933CD"/>
    <w:rsid w:val="551751CF"/>
    <w:rsid w:val="5522558F"/>
    <w:rsid w:val="55244D7F"/>
    <w:rsid w:val="55305397"/>
    <w:rsid w:val="55362287"/>
    <w:rsid w:val="55432F3C"/>
    <w:rsid w:val="5575450D"/>
    <w:rsid w:val="55A37FFD"/>
    <w:rsid w:val="55AE22F1"/>
    <w:rsid w:val="55C3227E"/>
    <w:rsid w:val="55CE1AA9"/>
    <w:rsid w:val="55F6381F"/>
    <w:rsid w:val="55FA2961"/>
    <w:rsid w:val="5602250F"/>
    <w:rsid w:val="564220BA"/>
    <w:rsid w:val="565E7F4F"/>
    <w:rsid w:val="565F3DA6"/>
    <w:rsid w:val="56914056"/>
    <w:rsid w:val="56B61E36"/>
    <w:rsid w:val="56C36589"/>
    <w:rsid w:val="570D55B0"/>
    <w:rsid w:val="57293C95"/>
    <w:rsid w:val="572A6381"/>
    <w:rsid w:val="572B41B4"/>
    <w:rsid w:val="57365868"/>
    <w:rsid w:val="573C1959"/>
    <w:rsid w:val="57554571"/>
    <w:rsid w:val="57F65317"/>
    <w:rsid w:val="57FC2169"/>
    <w:rsid w:val="58024015"/>
    <w:rsid w:val="58096275"/>
    <w:rsid w:val="5819544F"/>
    <w:rsid w:val="582D6D32"/>
    <w:rsid w:val="582E6EF7"/>
    <w:rsid w:val="584E30E6"/>
    <w:rsid w:val="58546EFD"/>
    <w:rsid w:val="5873301D"/>
    <w:rsid w:val="5881703E"/>
    <w:rsid w:val="58E26731"/>
    <w:rsid w:val="58EB1371"/>
    <w:rsid w:val="59091D98"/>
    <w:rsid w:val="590E4A97"/>
    <w:rsid w:val="591250FF"/>
    <w:rsid w:val="5920012C"/>
    <w:rsid w:val="593700E7"/>
    <w:rsid w:val="595578DE"/>
    <w:rsid w:val="597B384D"/>
    <w:rsid w:val="59996DA8"/>
    <w:rsid w:val="59C30F1B"/>
    <w:rsid w:val="59CE4759"/>
    <w:rsid w:val="59D90B78"/>
    <w:rsid w:val="5A814766"/>
    <w:rsid w:val="5A8C20D0"/>
    <w:rsid w:val="5AA71877"/>
    <w:rsid w:val="5ABC29E4"/>
    <w:rsid w:val="5AC7121C"/>
    <w:rsid w:val="5AD90B8D"/>
    <w:rsid w:val="5AE12927"/>
    <w:rsid w:val="5AE35472"/>
    <w:rsid w:val="5AF41CF3"/>
    <w:rsid w:val="5AF87CC9"/>
    <w:rsid w:val="5B07329F"/>
    <w:rsid w:val="5B4E1A44"/>
    <w:rsid w:val="5B873201"/>
    <w:rsid w:val="5B967767"/>
    <w:rsid w:val="5B9D1624"/>
    <w:rsid w:val="5BBF73E2"/>
    <w:rsid w:val="5BEE5378"/>
    <w:rsid w:val="5C0C2FF6"/>
    <w:rsid w:val="5C0E26B6"/>
    <w:rsid w:val="5C1241CC"/>
    <w:rsid w:val="5C286807"/>
    <w:rsid w:val="5C34339E"/>
    <w:rsid w:val="5C355656"/>
    <w:rsid w:val="5C370E72"/>
    <w:rsid w:val="5C446BC8"/>
    <w:rsid w:val="5C481A59"/>
    <w:rsid w:val="5C4B56E1"/>
    <w:rsid w:val="5C54662E"/>
    <w:rsid w:val="5C7146B1"/>
    <w:rsid w:val="5C7C2768"/>
    <w:rsid w:val="5CAD3BC1"/>
    <w:rsid w:val="5CAE62DC"/>
    <w:rsid w:val="5CB23AE6"/>
    <w:rsid w:val="5CED5863"/>
    <w:rsid w:val="5D0D6DF5"/>
    <w:rsid w:val="5D4A5E05"/>
    <w:rsid w:val="5D580A8A"/>
    <w:rsid w:val="5D7E6D71"/>
    <w:rsid w:val="5D893B14"/>
    <w:rsid w:val="5DB42C29"/>
    <w:rsid w:val="5DCB65CF"/>
    <w:rsid w:val="5E1219F7"/>
    <w:rsid w:val="5E18541D"/>
    <w:rsid w:val="5E291636"/>
    <w:rsid w:val="5E48511F"/>
    <w:rsid w:val="5E655B72"/>
    <w:rsid w:val="5E8B0770"/>
    <w:rsid w:val="5E8C5DB1"/>
    <w:rsid w:val="5EA06921"/>
    <w:rsid w:val="5EBA259F"/>
    <w:rsid w:val="5EE1082B"/>
    <w:rsid w:val="5EE97BB4"/>
    <w:rsid w:val="5EF55BC9"/>
    <w:rsid w:val="5F085DDA"/>
    <w:rsid w:val="5F2E2D52"/>
    <w:rsid w:val="5F54198B"/>
    <w:rsid w:val="5F6C74C2"/>
    <w:rsid w:val="5F9D1350"/>
    <w:rsid w:val="5FA44AD1"/>
    <w:rsid w:val="5FBE370A"/>
    <w:rsid w:val="5FC61F2E"/>
    <w:rsid w:val="5FC83407"/>
    <w:rsid w:val="5FD56E87"/>
    <w:rsid w:val="5FED058C"/>
    <w:rsid w:val="5FF0558C"/>
    <w:rsid w:val="60015A45"/>
    <w:rsid w:val="601A27F4"/>
    <w:rsid w:val="60292845"/>
    <w:rsid w:val="606F2632"/>
    <w:rsid w:val="6071543B"/>
    <w:rsid w:val="607921FE"/>
    <w:rsid w:val="607E12CC"/>
    <w:rsid w:val="608F62AE"/>
    <w:rsid w:val="60B9251B"/>
    <w:rsid w:val="60E236C1"/>
    <w:rsid w:val="60E37983"/>
    <w:rsid w:val="61260B6B"/>
    <w:rsid w:val="612B3ABB"/>
    <w:rsid w:val="612E1A5D"/>
    <w:rsid w:val="614E5D7E"/>
    <w:rsid w:val="61514145"/>
    <w:rsid w:val="61816046"/>
    <w:rsid w:val="61BD04E4"/>
    <w:rsid w:val="61C81AB1"/>
    <w:rsid w:val="620B0059"/>
    <w:rsid w:val="62391564"/>
    <w:rsid w:val="624A22BE"/>
    <w:rsid w:val="6263230B"/>
    <w:rsid w:val="626E235A"/>
    <w:rsid w:val="626F60D5"/>
    <w:rsid w:val="62816669"/>
    <w:rsid w:val="6282086D"/>
    <w:rsid w:val="629007F7"/>
    <w:rsid w:val="62AB4D99"/>
    <w:rsid w:val="62B36CD7"/>
    <w:rsid w:val="62BA0953"/>
    <w:rsid w:val="62D03A7C"/>
    <w:rsid w:val="62F42FAE"/>
    <w:rsid w:val="62F648FE"/>
    <w:rsid w:val="63167A4F"/>
    <w:rsid w:val="631D2BD6"/>
    <w:rsid w:val="635356F3"/>
    <w:rsid w:val="637D5B70"/>
    <w:rsid w:val="63825E77"/>
    <w:rsid w:val="63A10995"/>
    <w:rsid w:val="63C23EFA"/>
    <w:rsid w:val="63D255DA"/>
    <w:rsid w:val="63EB2168"/>
    <w:rsid w:val="63F854C1"/>
    <w:rsid w:val="63FB5857"/>
    <w:rsid w:val="64076B79"/>
    <w:rsid w:val="640B7654"/>
    <w:rsid w:val="64116D46"/>
    <w:rsid w:val="643A070A"/>
    <w:rsid w:val="64410A96"/>
    <w:rsid w:val="644C573D"/>
    <w:rsid w:val="64507EFB"/>
    <w:rsid w:val="64A532CB"/>
    <w:rsid w:val="64DC7C04"/>
    <w:rsid w:val="65032F85"/>
    <w:rsid w:val="651304A7"/>
    <w:rsid w:val="65136B50"/>
    <w:rsid w:val="6531690D"/>
    <w:rsid w:val="65320485"/>
    <w:rsid w:val="655A12F3"/>
    <w:rsid w:val="657E2A35"/>
    <w:rsid w:val="65A42E08"/>
    <w:rsid w:val="65A94E9D"/>
    <w:rsid w:val="65B96B3F"/>
    <w:rsid w:val="65BE1071"/>
    <w:rsid w:val="65C60A92"/>
    <w:rsid w:val="65C82CE5"/>
    <w:rsid w:val="65DB19DF"/>
    <w:rsid w:val="660451CE"/>
    <w:rsid w:val="664B3BEB"/>
    <w:rsid w:val="665346B7"/>
    <w:rsid w:val="667C7CCE"/>
    <w:rsid w:val="66A12460"/>
    <w:rsid w:val="66BE2423"/>
    <w:rsid w:val="66DD6702"/>
    <w:rsid w:val="66E856F1"/>
    <w:rsid w:val="66FB0BAD"/>
    <w:rsid w:val="671B1623"/>
    <w:rsid w:val="671E6EBA"/>
    <w:rsid w:val="6731269C"/>
    <w:rsid w:val="675352AA"/>
    <w:rsid w:val="6759400B"/>
    <w:rsid w:val="675E528D"/>
    <w:rsid w:val="676C598C"/>
    <w:rsid w:val="67966EFB"/>
    <w:rsid w:val="679E7FA1"/>
    <w:rsid w:val="67A32389"/>
    <w:rsid w:val="67B768D0"/>
    <w:rsid w:val="67C779FD"/>
    <w:rsid w:val="67C85DAF"/>
    <w:rsid w:val="68281CFE"/>
    <w:rsid w:val="682A2352"/>
    <w:rsid w:val="682A2630"/>
    <w:rsid w:val="682E4A5B"/>
    <w:rsid w:val="682E7AFD"/>
    <w:rsid w:val="68707071"/>
    <w:rsid w:val="687A4379"/>
    <w:rsid w:val="687B015C"/>
    <w:rsid w:val="687E3889"/>
    <w:rsid w:val="6884222C"/>
    <w:rsid w:val="68A957C8"/>
    <w:rsid w:val="68AD17BB"/>
    <w:rsid w:val="68D6620B"/>
    <w:rsid w:val="68D94D22"/>
    <w:rsid w:val="68F06F2B"/>
    <w:rsid w:val="68F30B57"/>
    <w:rsid w:val="69011241"/>
    <w:rsid w:val="692B2E4A"/>
    <w:rsid w:val="692B69D7"/>
    <w:rsid w:val="696A0B34"/>
    <w:rsid w:val="69821807"/>
    <w:rsid w:val="698D6A17"/>
    <w:rsid w:val="699026E3"/>
    <w:rsid w:val="699E0BED"/>
    <w:rsid w:val="699F0522"/>
    <w:rsid w:val="69D37590"/>
    <w:rsid w:val="69F954C1"/>
    <w:rsid w:val="6A19556D"/>
    <w:rsid w:val="6A1E1E73"/>
    <w:rsid w:val="6A2031B6"/>
    <w:rsid w:val="6A2F57D7"/>
    <w:rsid w:val="6A3924BB"/>
    <w:rsid w:val="6A3C1D40"/>
    <w:rsid w:val="6A6432E1"/>
    <w:rsid w:val="6A685FD0"/>
    <w:rsid w:val="6AA23DFF"/>
    <w:rsid w:val="6AAA6F38"/>
    <w:rsid w:val="6AC61F6F"/>
    <w:rsid w:val="6AD34E53"/>
    <w:rsid w:val="6AD83EA1"/>
    <w:rsid w:val="6ADE74F0"/>
    <w:rsid w:val="6B1D62E8"/>
    <w:rsid w:val="6B723594"/>
    <w:rsid w:val="6B805156"/>
    <w:rsid w:val="6B945E48"/>
    <w:rsid w:val="6B974A7B"/>
    <w:rsid w:val="6BD50977"/>
    <w:rsid w:val="6BE450D3"/>
    <w:rsid w:val="6BE60C84"/>
    <w:rsid w:val="6C4670E5"/>
    <w:rsid w:val="6C4F0900"/>
    <w:rsid w:val="6C6C32E1"/>
    <w:rsid w:val="6C6E3E15"/>
    <w:rsid w:val="6C8B1F5D"/>
    <w:rsid w:val="6CA85D3A"/>
    <w:rsid w:val="6CAA3931"/>
    <w:rsid w:val="6CE2512E"/>
    <w:rsid w:val="6CEA06D7"/>
    <w:rsid w:val="6CF70607"/>
    <w:rsid w:val="6D325918"/>
    <w:rsid w:val="6D3933CA"/>
    <w:rsid w:val="6D401810"/>
    <w:rsid w:val="6D6261FE"/>
    <w:rsid w:val="6D7B222A"/>
    <w:rsid w:val="6D7B61EC"/>
    <w:rsid w:val="6D8E03AA"/>
    <w:rsid w:val="6DBB089F"/>
    <w:rsid w:val="6DC63038"/>
    <w:rsid w:val="6DDC5608"/>
    <w:rsid w:val="6DE30DE0"/>
    <w:rsid w:val="6DE6130A"/>
    <w:rsid w:val="6E09491E"/>
    <w:rsid w:val="6E0D3655"/>
    <w:rsid w:val="6E1A437E"/>
    <w:rsid w:val="6E3A144E"/>
    <w:rsid w:val="6E5606D3"/>
    <w:rsid w:val="6E5F4465"/>
    <w:rsid w:val="6E8B1663"/>
    <w:rsid w:val="6E8C54DA"/>
    <w:rsid w:val="6EB752BD"/>
    <w:rsid w:val="6EF11E03"/>
    <w:rsid w:val="6EF1241D"/>
    <w:rsid w:val="6EF82916"/>
    <w:rsid w:val="6F0B2DE7"/>
    <w:rsid w:val="6F111C62"/>
    <w:rsid w:val="6F2176E5"/>
    <w:rsid w:val="6F3A2A5F"/>
    <w:rsid w:val="6F4F7F03"/>
    <w:rsid w:val="6F5523A2"/>
    <w:rsid w:val="6F592303"/>
    <w:rsid w:val="6F5F5B74"/>
    <w:rsid w:val="6F682400"/>
    <w:rsid w:val="6F9600A4"/>
    <w:rsid w:val="6F98032D"/>
    <w:rsid w:val="6F9B1C65"/>
    <w:rsid w:val="6FA30C1E"/>
    <w:rsid w:val="6FA44937"/>
    <w:rsid w:val="6FAD3FB9"/>
    <w:rsid w:val="6FE82C9C"/>
    <w:rsid w:val="6FFB146E"/>
    <w:rsid w:val="70160742"/>
    <w:rsid w:val="7030610F"/>
    <w:rsid w:val="704F103F"/>
    <w:rsid w:val="70612DB4"/>
    <w:rsid w:val="706516C3"/>
    <w:rsid w:val="70660714"/>
    <w:rsid w:val="70896E68"/>
    <w:rsid w:val="708A4844"/>
    <w:rsid w:val="708E6666"/>
    <w:rsid w:val="70C94DCA"/>
    <w:rsid w:val="70E05E9D"/>
    <w:rsid w:val="70F96818"/>
    <w:rsid w:val="71073061"/>
    <w:rsid w:val="711A201F"/>
    <w:rsid w:val="71215AE9"/>
    <w:rsid w:val="712864E5"/>
    <w:rsid w:val="71396ACC"/>
    <w:rsid w:val="715B60E9"/>
    <w:rsid w:val="716F0EE9"/>
    <w:rsid w:val="7196674D"/>
    <w:rsid w:val="719E245E"/>
    <w:rsid w:val="71BA3FE5"/>
    <w:rsid w:val="71BB412E"/>
    <w:rsid w:val="71EA1FED"/>
    <w:rsid w:val="72165C6B"/>
    <w:rsid w:val="722021E3"/>
    <w:rsid w:val="72290340"/>
    <w:rsid w:val="722C6DDA"/>
    <w:rsid w:val="72515945"/>
    <w:rsid w:val="729243CB"/>
    <w:rsid w:val="72E661B1"/>
    <w:rsid w:val="730313F6"/>
    <w:rsid w:val="730E4732"/>
    <w:rsid w:val="73370D24"/>
    <w:rsid w:val="73397FB3"/>
    <w:rsid w:val="73472C84"/>
    <w:rsid w:val="7359268C"/>
    <w:rsid w:val="735F327A"/>
    <w:rsid w:val="7366631C"/>
    <w:rsid w:val="736A7E47"/>
    <w:rsid w:val="736C263C"/>
    <w:rsid w:val="73723640"/>
    <w:rsid w:val="737311F5"/>
    <w:rsid w:val="737B6A68"/>
    <w:rsid w:val="739503EB"/>
    <w:rsid w:val="73A05B28"/>
    <w:rsid w:val="73C07D69"/>
    <w:rsid w:val="73C979D4"/>
    <w:rsid w:val="73DC335B"/>
    <w:rsid w:val="740B60EC"/>
    <w:rsid w:val="74502F01"/>
    <w:rsid w:val="745E7D35"/>
    <w:rsid w:val="7465362D"/>
    <w:rsid w:val="7475188D"/>
    <w:rsid w:val="749E16A8"/>
    <w:rsid w:val="74B42AE4"/>
    <w:rsid w:val="74C54993"/>
    <w:rsid w:val="74EB68F6"/>
    <w:rsid w:val="750A429D"/>
    <w:rsid w:val="751F525F"/>
    <w:rsid w:val="752739E7"/>
    <w:rsid w:val="75474B47"/>
    <w:rsid w:val="75533AB0"/>
    <w:rsid w:val="75614792"/>
    <w:rsid w:val="75761866"/>
    <w:rsid w:val="75784473"/>
    <w:rsid w:val="75B10995"/>
    <w:rsid w:val="75B161B3"/>
    <w:rsid w:val="75DC6C44"/>
    <w:rsid w:val="75F05CC0"/>
    <w:rsid w:val="762F6A19"/>
    <w:rsid w:val="76341B33"/>
    <w:rsid w:val="76736B32"/>
    <w:rsid w:val="76807C04"/>
    <w:rsid w:val="76AF35EE"/>
    <w:rsid w:val="76C27A74"/>
    <w:rsid w:val="76C726A5"/>
    <w:rsid w:val="76D94FEC"/>
    <w:rsid w:val="76E3765E"/>
    <w:rsid w:val="76FC2AFA"/>
    <w:rsid w:val="771813CF"/>
    <w:rsid w:val="77527424"/>
    <w:rsid w:val="77653671"/>
    <w:rsid w:val="77707007"/>
    <w:rsid w:val="778546CC"/>
    <w:rsid w:val="778B6B46"/>
    <w:rsid w:val="77A337B9"/>
    <w:rsid w:val="77B551B3"/>
    <w:rsid w:val="77B56730"/>
    <w:rsid w:val="77B92EBE"/>
    <w:rsid w:val="77C04A8B"/>
    <w:rsid w:val="77D85DB3"/>
    <w:rsid w:val="77EB1B74"/>
    <w:rsid w:val="782A3EA3"/>
    <w:rsid w:val="78490703"/>
    <w:rsid w:val="78A50513"/>
    <w:rsid w:val="78C43087"/>
    <w:rsid w:val="78D37FAF"/>
    <w:rsid w:val="78EF7AB5"/>
    <w:rsid w:val="790D6849"/>
    <w:rsid w:val="795767E3"/>
    <w:rsid w:val="79586707"/>
    <w:rsid w:val="796518DD"/>
    <w:rsid w:val="79724BEF"/>
    <w:rsid w:val="797264AC"/>
    <w:rsid w:val="79AA0532"/>
    <w:rsid w:val="79FA22BC"/>
    <w:rsid w:val="79FE1DDD"/>
    <w:rsid w:val="7A075767"/>
    <w:rsid w:val="7A0C15B3"/>
    <w:rsid w:val="7A212062"/>
    <w:rsid w:val="7A2522C9"/>
    <w:rsid w:val="7A282A11"/>
    <w:rsid w:val="7A3A59B8"/>
    <w:rsid w:val="7A5D0F75"/>
    <w:rsid w:val="7A715CD2"/>
    <w:rsid w:val="7A921E9A"/>
    <w:rsid w:val="7A9E53BF"/>
    <w:rsid w:val="7AA914B9"/>
    <w:rsid w:val="7ABA2EFD"/>
    <w:rsid w:val="7ABF2475"/>
    <w:rsid w:val="7AC21562"/>
    <w:rsid w:val="7AD474A4"/>
    <w:rsid w:val="7AFC38DE"/>
    <w:rsid w:val="7B303E8C"/>
    <w:rsid w:val="7B6A2721"/>
    <w:rsid w:val="7B7D6B6D"/>
    <w:rsid w:val="7B865D50"/>
    <w:rsid w:val="7B8D34C3"/>
    <w:rsid w:val="7B971D84"/>
    <w:rsid w:val="7BAB0CB7"/>
    <w:rsid w:val="7BB4028F"/>
    <w:rsid w:val="7BC1107E"/>
    <w:rsid w:val="7BF32F03"/>
    <w:rsid w:val="7BF50D2C"/>
    <w:rsid w:val="7C066F4E"/>
    <w:rsid w:val="7C1724A5"/>
    <w:rsid w:val="7C2B1B19"/>
    <w:rsid w:val="7C5906C2"/>
    <w:rsid w:val="7C8561DF"/>
    <w:rsid w:val="7CA54112"/>
    <w:rsid w:val="7CA553D9"/>
    <w:rsid w:val="7CAB27F5"/>
    <w:rsid w:val="7CAF438A"/>
    <w:rsid w:val="7CCE726D"/>
    <w:rsid w:val="7CD71EA3"/>
    <w:rsid w:val="7CE50CE4"/>
    <w:rsid w:val="7CE94EE1"/>
    <w:rsid w:val="7CF877E9"/>
    <w:rsid w:val="7D134762"/>
    <w:rsid w:val="7D244CB3"/>
    <w:rsid w:val="7D294322"/>
    <w:rsid w:val="7D2E5ABF"/>
    <w:rsid w:val="7D4A45B8"/>
    <w:rsid w:val="7D535AC7"/>
    <w:rsid w:val="7D964A74"/>
    <w:rsid w:val="7DFB43EA"/>
    <w:rsid w:val="7E007625"/>
    <w:rsid w:val="7E0737C8"/>
    <w:rsid w:val="7E131C51"/>
    <w:rsid w:val="7E176B90"/>
    <w:rsid w:val="7E2142A2"/>
    <w:rsid w:val="7E240411"/>
    <w:rsid w:val="7E48335A"/>
    <w:rsid w:val="7E797DE5"/>
    <w:rsid w:val="7E7B0BF2"/>
    <w:rsid w:val="7E8D75B6"/>
    <w:rsid w:val="7E8E672B"/>
    <w:rsid w:val="7EA27DDF"/>
    <w:rsid w:val="7EC67BB0"/>
    <w:rsid w:val="7ED809AD"/>
    <w:rsid w:val="7EF760EE"/>
    <w:rsid w:val="7F2536B5"/>
    <w:rsid w:val="7F2C3CE7"/>
    <w:rsid w:val="7F5A01CA"/>
    <w:rsid w:val="7F75661B"/>
    <w:rsid w:val="7F9D0980"/>
    <w:rsid w:val="7FB17429"/>
    <w:rsid w:val="7FC237CA"/>
    <w:rsid w:val="7FF127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line="360" w:lineRule="auto"/>
    </w:pPr>
    <w:rPr>
      <w:rFonts w:ascii="Tahoma" w:hAnsi="Tahoma" w:eastAsia="宋体" w:cstheme="minorBidi"/>
      <w:sz w:val="21"/>
      <w:szCs w:val="22"/>
      <w:lang w:val="en-US" w:eastAsia="zh-CN" w:bidi="ar-SA"/>
    </w:rPr>
  </w:style>
  <w:style w:type="paragraph" w:styleId="3">
    <w:name w:val="heading 1"/>
    <w:basedOn w:val="1"/>
    <w:next w:val="1"/>
    <w:link w:val="74"/>
    <w:qFormat/>
    <w:uiPriority w:val="9"/>
    <w:pPr>
      <w:keepNext/>
      <w:keepLines/>
      <w:spacing w:before="340" w:after="330" w:line="576" w:lineRule="auto"/>
      <w:outlineLvl w:val="0"/>
    </w:pPr>
    <w:rPr>
      <w:b/>
      <w:kern w:val="44"/>
      <w:sz w:val="44"/>
    </w:rPr>
  </w:style>
  <w:style w:type="paragraph" w:styleId="2">
    <w:name w:val="heading 2"/>
    <w:basedOn w:val="1"/>
    <w:next w:val="1"/>
    <w:link w:val="4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9"/>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3"/>
    <w:unhideWhenUsed/>
    <w:qFormat/>
    <w:uiPriority w:val="9"/>
    <w:pPr>
      <w:keepNext/>
      <w:keepLines/>
      <w:outlineLvl w:val="3"/>
    </w:pPr>
    <w:rPr>
      <w:rFonts w:asciiTheme="majorHAnsi" w:hAnsiTheme="majorHAnsi" w:cstheme="majorBidi"/>
      <w:b/>
      <w:bCs/>
      <w:sz w:val="24"/>
      <w:szCs w:val="28"/>
    </w:rPr>
  </w:style>
  <w:style w:type="paragraph" w:styleId="6">
    <w:name w:val="heading 5"/>
    <w:basedOn w:val="1"/>
    <w:next w:val="1"/>
    <w:link w:val="73"/>
    <w:semiHidden/>
    <w:unhideWhenUsed/>
    <w:qFormat/>
    <w:uiPriority w:val="9"/>
    <w:pPr>
      <w:keepNext/>
      <w:keepLines/>
      <w:spacing w:before="280" w:after="290" w:line="372" w:lineRule="auto"/>
      <w:outlineLvl w:val="4"/>
    </w:pPr>
    <w:rPr>
      <w:b/>
      <w:sz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widowControl w:val="0"/>
      <w:adjustRightInd/>
      <w:snapToGrid/>
      <w:spacing w:line="240" w:lineRule="auto"/>
      <w:ind w:left="2520" w:leftChars="1200"/>
      <w:jc w:val="both"/>
    </w:pPr>
    <w:rPr>
      <w:rFonts w:asciiTheme="minorHAnsi" w:hAnsiTheme="minorHAnsi" w:eastAsiaTheme="minorEastAsia"/>
      <w:kern w:val="2"/>
    </w:rPr>
  </w:style>
  <w:style w:type="paragraph" w:styleId="8">
    <w:name w:val="Normal Indent"/>
    <w:basedOn w:val="1"/>
    <w:qFormat/>
    <w:uiPriority w:val="0"/>
    <w:pPr>
      <w:widowControl/>
      <w:ind w:firstLine="420"/>
      <w:jc w:val="left"/>
    </w:pPr>
    <w:rPr>
      <w:rFonts w:ascii="Times New Roman" w:hAnsi="Times New Roman"/>
      <w:kern w:val="0"/>
      <w:szCs w:val="20"/>
    </w:rPr>
  </w:style>
  <w:style w:type="paragraph" w:styleId="9">
    <w:name w:val="annotation text"/>
    <w:basedOn w:val="1"/>
    <w:link w:val="62"/>
    <w:unhideWhenUsed/>
    <w:qFormat/>
    <w:uiPriority w:val="99"/>
  </w:style>
  <w:style w:type="paragraph" w:styleId="10">
    <w:name w:val="Body Text"/>
    <w:basedOn w:val="1"/>
    <w:next w:val="11"/>
    <w:link w:val="65"/>
    <w:qFormat/>
    <w:uiPriority w:val="1"/>
    <w:pPr>
      <w:spacing w:before="161"/>
      <w:ind w:left="120"/>
    </w:pPr>
    <w:rPr>
      <w:rFonts w:ascii="宋体" w:hAnsi="宋体" w:cs="宋体"/>
      <w:sz w:val="24"/>
      <w:lang w:val="zh-CN" w:bidi="zh-CN"/>
    </w:rPr>
  </w:style>
  <w:style w:type="paragraph" w:styleId="11">
    <w:name w:val="Body Text Indent"/>
    <w:basedOn w:val="1"/>
    <w:next w:val="12"/>
    <w:qFormat/>
    <w:uiPriority w:val="0"/>
    <w:pPr>
      <w:ind w:left="359" w:leftChars="171" w:firstLine="179" w:firstLineChars="85"/>
    </w:pPr>
    <w:rPr>
      <w:rFonts w:ascii="宋体" w:hAnsi="宋体"/>
      <w:b/>
      <w:bCs/>
      <w:szCs w:val="26"/>
    </w:rPr>
  </w:style>
  <w:style w:type="paragraph" w:styleId="12">
    <w:name w:val="envelope return"/>
    <w:basedOn w:val="1"/>
    <w:qFormat/>
    <w:uiPriority w:val="0"/>
    <w:pPr>
      <w:widowControl w:val="0"/>
      <w:jc w:val="both"/>
    </w:pPr>
    <w:rPr>
      <w:rFonts w:ascii="Calibri" w:hAnsi="Calibri" w:cs="Times New Roman"/>
      <w:kern w:val="2"/>
      <w:szCs w:val="24"/>
    </w:rPr>
  </w:style>
  <w:style w:type="paragraph" w:styleId="13">
    <w:name w:val="toc 5"/>
    <w:basedOn w:val="1"/>
    <w:next w:val="1"/>
    <w:unhideWhenUsed/>
    <w:qFormat/>
    <w:uiPriority w:val="39"/>
    <w:pPr>
      <w:widowControl w:val="0"/>
      <w:adjustRightInd/>
      <w:snapToGrid/>
      <w:spacing w:line="240" w:lineRule="auto"/>
      <w:ind w:left="1680" w:leftChars="800"/>
      <w:jc w:val="both"/>
    </w:pPr>
    <w:rPr>
      <w:rFonts w:asciiTheme="minorHAnsi" w:hAnsiTheme="minorHAnsi" w:eastAsiaTheme="minorEastAsia"/>
      <w:kern w:val="2"/>
    </w:rPr>
  </w:style>
  <w:style w:type="paragraph" w:styleId="14">
    <w:name w:val="toc 3"/>
    <w:basedOn w:val="1"/>
    <w:next w:val="1"/>
    <w:unhideWhenUsed/>
    <w:qFormat/>
    <w:uiPriority w:val="39"/>
    <w:pPr>
      <w:tabs>
        <w:tab w:val="right" w:leader="dot" w:pos="8296"/>
      </w:tabs>
      <w:ind w:left="838" w:leftChars="381"/>
    </w:pPr>
    <w:rPr>
      <w:szCs w:val="21"/>
    </w:rPr>
  </w:style>
  <w:style w:type="paragraph" w:styleId="15">
    <w:name w:val="Plain Text"/>
    <w:basedOn w:val="1"/>
    <w:link w:val="54"/>
    <w:qFormat/>
    <w:uiPriority w:val="0"/>
    <w:pPr>
      <w:widowControl w:val="0"/>
      <w:adjustRightInd/>
      <w:snapToGrid/>
      <w:jc w:val="both"/>
    </w:pPr>
    <w:rPr>
      <w:rFonts w:ascii="宋体" w:hAnsi="Courier New" w:cs="Times New Roman"/>
      <w:b/>
      <w:kern w:val="2"/>
      <w:szCs w:val="20"/>
    </w:rPr>
  </w:style>
  <w:style w:type="paragraph" w:styleId="16">
    <w:name w:val="toc 8"/>
    <w:basedOn w:val="1"/>
    <w:next w:val="1"/>
    <w:unhideWhenUsed/>
    <w:qFormat/>
    <w:uiPriority w:val="39"/>
    <w:pPr>
      <w:widowControl w:val="0"/>
      <w:adjustRightInd/>
      <w:snapToGrid/>
      <w:spacing w:line="240" w:lineRule="auto"/>
      <w:ind w:left="2940" w:leftChars="1400"/>
      <w:jc w:val="both"/>
    </w:pPr>
    <w:rPr>
      <w:rFonts w:asciiTheme="minorHAnsi" w:hAnsiTheme="minorHAnsi" w:eastAsiaTheme="minorEastAsia"/>
      <w:kern w:val="2"/>
    </w:rPr>
  </w:style>
  <w:style w:type="paragraph" w:styleId="17">
    <w:name w:val="Balloon Text"/>
    <w:basedOn w:val="1"/>
    <w:link w:val="57"/>
    <w:semiHidden/>
    <w:unhideWhenUsed/>
    <w:qFormat/>
    <w:uiPriority w:val="99"/>
    <w:rPr>
      <w:sz w:val="18"/>
      <w:szCs w:val="18"/>
    </w:rPr>
  </w:style>
  <w:style w:type="paragraph" w:styleId="18">
    <w:name w:val="footer"/>
    <w:basedOn w:val="1"/>
    <w:link w:val="56"/>
    <w:unhideWhenUsed/>
    <w:qFormat/>
    <w:uiPriority w:val="99"/>
    <w:pPr>
      <w:tabs>
        <w:tab w:val="center" w:pos="4153"/>
        <w:tab w:val="right" w:pos="8306"/>
      </w:tabs>
    </w:pPr>
    <w:rPr>
      <w:sz w:val="18"/>
      <w:szCs w:val="18"/>
    </w:rPr>
  </w:style>
  <w:style w:type="paragraph" w:styleId="19">
    <w:name w:val="header"/>
    <w:basedOn w:val="1"/>
    <w:link w:val="55"/>
    <w:unhideWhenUsed/>
    <w:qFormat/>
    <w:uiPriority w:val="99"/>
    <w:pPr>
      <w:pBdr>
        <w:bottom w:val="single" w:color="auto" w:sz="6" w:space="1"/>
      </w:pBdr>
      <w:tabs>
        <w:tab w:val="center" w:pos="4153"/>
        <w:tab w:val="right" w:pos="8306"/>
      </w:tabs>
      <w:jc w:val="center"/>
    </w:pPr>
    <w:rPr>
      <w:sz w:val="18"/>
      <w:szCs w:val="18"/>
    </w:rPr>
  </w:style>
  <w:style w:type="paragraph" w:styleId="20">
    <w:name w:val="toc 1"/>
    <w:basedOn w:val="1"/>
    <w:next w:val="1"/>
    <w:unhideWhenUsed/>
    <w:qFormat/>
    <w:uiPriority w:val="39"/>
  </w:style>
  <w:style w:type="paragraph" w:styleId="21">
    <w:name w:val="toc 4"/>
    <w:basedOn w:val="1"/>
    <w:next w:val="1"/>
    <w:unhideWhenUsed/>
    <w:qFormat/>
    <w:uiPriority w:val="39"/>
    <w:pPr>
      <w:tabs>
        <w:tab w:val="right" w:leader="dot" w:pos="8296"/>
      </w:tabs>
      <w:spacing w:after="120"/>
      <w:ind w:left="1320" w:leftChars="600"/>
    </w:pPr>
  </w:style>
  <w:style w:type="paragraph" w:styleId="22">
    <w:name w:val="footnote text"/>
    <w:basedOn w:val="1"/>
    <w:semiHidden/>
    <w:unhideWhenUsed/>
    <w:qFormat/>
    <w:uiPriority w:val="99"/>
    <w:rPr>
      <w:sz w:val="18"/>
    </w:rPr>
  </w:style>
  <w:style w:type="paragraph" w:styleId="23">
    <w:name w:val="toc 6"/>
    <w:basedOn w:val="1"/>
    <w:next w:val="1"/>
    <w:qFormat/>
    <w:uiPriority w:val="39"/>
    <w:pPr>
      <w:ind w:left="1200"/>
    </w:pPr>
    <w:rPr>
      <w:rFonts w:ascii="Calibri" w:cs="Calibri"/>
      <w:sz w:val="18"/>
      <w:szCs w:val="18"/>
    </w:rPr>
  </w:style>
  <w:style w:type="paragraph" w:styleId="24">
    <w:name w:val="toc 2"/>
    <w:basedOn w:val="1"/>
    <w:next w:val="1"/>
    <w:unhideWhenUsed/>
    <w:qFormat/>
    <w:uiPriority w:val="39"/>
    <w:pPr>
      <w:tabs>
        <w:tab w:val="right" w:leader="dot" w:pos="8296"/>
      </w:tabs>
      <w:ind w:left="440" w:leftChars="200"/>
      <w:jc w:val="center"/>
    </w:pPr>
    <w:rPr>
      <w:rFonts w:ascii="宋体" w:hAnsi="宋体"/>
      <w:sz w:val="30"/>
      <w:szCs w:val="30"/>
    </w:rPr>
  </w:style>
  <w:style w:type="paragraph" w:styleId="25">
    <w:name w:val="toc 9"/>
    <w:basedOn w:val="1"/>
    <w:next w:val="1"/>
    <w:unhideWhenUsed/>
    <w:qFormat/>
    <w:uiPriority w:val="39"/>
    <w:pPr>
      <w:widowControl w:val="0"/>
      <w:adjustRightInd/>
      <w:snapToGrid/>
      <w:spacing w:line="240" w:lineRule="auto"/>
      <w:ind w:left="3360" w:leftChars="1600"/>
      <w:jc w:val="both"/>
    </w:pPr>
    <w:rPr>
      <w:rFonts w:asciiTheme="minorHAnsi" w:hAnsiTheme="minorHAnsi" w:eastAsiaTheme="minorEastAsia"/>
      <w:kern w:val="2"/>
    </w:rPr>
  </w:style>
  <w:style w:type="paragraph" w:styleId="2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7">
    <w:name w:val="Normal (Web)"/>
    <w:basedOn w:val="1"/>
    <w:link w:val="59"/>
    <w:qFormat/>
    <w:uiPriority w:val="0"/>
    <w:pPr>
      <w:widowControl w:val="0"/>
      <w:adjustRightInd/>
      <w:snapToGrid/>
      <w:jc w:val="both"/>
    </w:pPr>
    <w:rPr>
      <w:rFonts w:asciiTheme="minorHAnsi" w:hAnsiTheme="minorHAnsi"/>
      <w:kern w:val="2"/>
      <w:sz w:val="24"/>
      <w:szCs w:val="24"/>
    </w:rPr>
  </w:style>
  <w:style w:type="paragraph" w:styleId="28">
    <w:name w:val="annotation subject"/>
    <w:basedOn w:val="9"/>
    <w:next w:val="9"/>
    <w:link w:val="63"/>
    <w:semiHidden/>
    <w:unhideWhenUsed/>
    <w:qFormat/>
    <w:uiPriority w:val="99"/>
    <w:rPr>
      <w:b/>
      <w:bCs/>
    </w:rPr>
  </w:style>
  <w:style w:type="paragraph" w:styleId="29">
    <w:name w:val="Body Text First Indent"/>
    <w:basedOn w:val="10"/>
    <w:next w:val="30"/>
    <w:qFormat/>
    <w:uiPriority w:val="0"/>
    <w:pPr>
      <w:spacing w:after="120"/>
      <w:ind w:firstLine="420" w:firstLineChars="100"/>
    </w:pPr>
    <w:rPr>
      <w:bCs/>
      <w:szCs w:val="21"/>
    </w:rPr>
  </w:style>
  <w:style w:type="paragraph" w:customStyle="1" w:styleId="30">
    <w:name w:val="样式 正文首行缩进 + 首行缩进:  1 字符"/>
    <w:basedOn w:val="1"/>
    <w:next w:val="1"/>
    <w:qFormat/>
    <w:uiPriority w:val="0"/>
    <w:pPr>
      <w:ind w:firstLine="200" w:firstLineChars="200"/>
    </w:pPr>
    <w:rPr>
      <w:rFonts w:cs="宋体"/>
      <w:szCs w:val="20"/>
    </w:rPr>
  </w:style>
  <w:style w:type="table" w:styleId="32">
    <w:name w:val="Table Grid"/>
    <w:basedOn w:val="3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basedOn w:val="33"/>
    <w:qFormat/>
    <w:uiPriority w:val="0"/>
  </w:style>
  <w:style w:type="character" w:styleId="35">
    <w:name w:val="Emphasis"/>
    <w:basedOn w:val="33"/>
    <w:qFormat/>
    <w:uiPriority w:val="20"/>
    <w:rPr>
      <w:i/>
      <w:iCs/>
    </w:rPr>
  </w:style>
  <w:style w:type="character" w:styleId="36">
    <w:name w:val="Hyperlink"/>
    <w:qFormat/>
    <w:uiPriority w:val="99"/>
    <w:rPr>
      <w:rFonts w:hint="eastAsia" w:ascii="宋体" w:hAnsi="宋体" w:eastAsia="宋体" w:cs="宋体"/>
      <w:b/>
      <w:color w:val="0031C1"/>
      <w:kern w:val="0"/>
      <w:sz w:val="18"/>
      <w:szCs w:val="18"/>
      <w:u w:val="none"/>
      <w:lang w:eastAsia="en-US"/>
    </w:rPr>
  </w:style>
  <w:style w:type="character" w:styleId="37">
    <w:name w:val="annotation reference"/>
    <w:basedOn w:val="33"/>
    <w:semiHidden/>
    <w:unhideWhenUsed/>
    <w:qFormat/>
    <w:uiPriority w:val="99"/>
    <w:rPr>
      <w:sz w:val="21"/>
      <w:szCs w:val="21"/>
    </w:rPr>
  </w:style>
  <w:style w:type="character" w:styleId="38">
    <w:name w:val="footnote reference"/>
    <w:basedOn w:val="33"/>
    <w:semiHidden/>
    <w:unhideWhenUsed/>
    <w:qFormat/>
    <w:uiPriority w:val="99"/>
    <w:rPr>
      <w:vertAlign w:val="superscript"/>
    </w:rPr>
  </w:style>
  <w:style w:type="character" w:customStyle="1" w:styleId="39">
    <w:name w:val="标题 3 字符"/>
    <w:basedOn w:val="33"/>
    <w:link w:val="4"/>
    <w:qFormat/>
    <w:uiPriority w:val="9"/>
    <w:rPr>
      <w:rFonts w:ascii="Tahoma" w:hAnsi="Tahoma"/>
      <w:b/>
      <w:bCs/>
      <w:sz w:val="32"/>
      <w:szCs w:val="32"/>
    </w:rPr>
  </w:style>
  <w:style w:type="paragraph" w:customStyle="1" w:styleId="40">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 w:type="character" w:customStyle="1" w:styleId="41">
    <w:name w:val="标题 2 字符"/>
    <w:basedOn w:val="33"/>
    <w:link w:val="2"/>
    <w:qFormat/>
    <w:uiPriority w:val="9"/>
    <w:rPr>
      <w:rFonts w:asciiTheme="majorHAnsi" w:hAnsiTheme="majorHAnsi" w:eastAsiaTheme="majorEastAsia" w:cstheme="majorBidi"/>
      <w:b/>
      <w:bCs/>
      <w:sz w:val="32"/>
      <w:szCs w:val="32"/>
    </w:rPr>
  </w:style>
  <w:style w:type="paragraph" w:styleId="42">
    <w:name w:val="List Paragraph"/>
    <w:basedOn w:val="1"/>
    <w:link w:val="64"/>
    <w:qFormat/>
    <w:uiPriority w:val="0"/>
    <w:pPr>
      <w:ind w:firstLine="420" w:firstLineChars="200"/>
    </w:pPr>
  </w:style>
  <w:style w:type="character" w:customStyle="1" w:styleId="43">
    <w:name w:val="标题 4 字符"/>
    <w:basedOn w:val="33"/>
    <w:link w:val="5"/>
    <w:qFormat/>
    <w:uiPriority w:val="9"/>
    <w:rPr>
      <w:rFonts w:eastAsia="宋体" w:asciiTheme="majorHAnsi" w:hAnsiTheme="majorHAnsi" w:cstheme="majorBidi"/>
      <w:b/>
      <w:bCs/>
      <w:sz w:val="24"/>
      <w:szCs w:val="28"/>
    </w:rPr>
  </w:style>
  <w:style w:type="character" w:customStyle="1" w:styleId="44">
    <w:name w:val="正文缩进2格 Char"/>
    <w:link w:val="45"/>
    <w:qFormat/>
    <w:uiPriority w:val="0"/>
    <w:rPr>
      <w:rFonts w:ascii="仿宋_GB2312" w:hAnsi="宋体" w:eastAsia="仿宋_GB2312"/>
      <w:kern w:val="2"/>
      <w:sz w:val="31"/>
    </w:rPr>
  </w:style>
  <w:style w:type="paragraph" w:customStyle="1" w:styleId="45">
    <w:name w:val="正文缩进2格"/>
    <w:basedOn w:val="1"/>
    <w:link w:val="44"/>
    <w:qFormat/>
    <w:uiPriority w:val="0"/>
    <w:pPr>
      <w:widowControl w:val="0"/>
      <w:adjustRightInd/>
      <w:snapToGrid/>
      <w:spacing w:line="600" w:lineRule="exact"/>
      <w:ind w:firstLine="639" w:firstLineChars="206"/>
      <w:jc w:val="both"/>
    </w:pPr>
    <w:rPr>
      <w:rFonts w:ascii="仿宋_GB2312" w:hAnsi="宋体" w:eastAsia="仿宋_GB2312"/>
      <w:kern w:val="2"/>
      <w:sz w:val="31"/>
    </w:rPr>
  </w:style>
  <w:style w:type="paragraph" w:customStyle="1" w:styleId="46">
    <w:name w:val="正文缩进4格"/>
    <w:basedOn w:val="45"/>
    <w:qFormat/>
    <w:uiPriority w:val="0"/>
    <w:pPr>
      <w:ind w:left="2" w:firstLine="538" w:firstLineChars="192"/>
    </w:pPr>
    <w:rPr>
      <w:color w:val="0000FF"/>
      <w:sz w:val="28"/>
    </w:rPr>
  </w:style>
  <w:style w:type="character" w:customStyle="1" w:styleId="47">
    <w:name w:val="正文缩进2格 Char Char"/>
    <w:qFormat/>
    <w:uiPriority w:val="0"/>
    <w:rPr>
      <w:rFonts w:ascii="仿宋_GB2312" w:hAnsi="宋体" w:eastAsia="仿宋_GB2312" w:cs="Times New Roman"/>
      <w:b/>
      <w:kern w:val="2"/>
      <w:sz w:val="31"/>
      <w:szCs w:val="28"/>
      <w:lang w:val="en-US" w:eastAsia="zh-CN" w:bidi="ar-SA"/>
    </w:rPr>
  </w:style>
  <w:style w:type="paragraph" w:customStyle="1" w:styleId="48">
    <w:name w:val="_Style 3"/>
    <w:basedOn w:val="1"/>
    <w:qFormat/>
    <w:uiPriority w:val="0"/>
    <w:pPr>
      <w:widowControl w:val="0"/>
      <w:adjustRightInd/>
      <w:snapToGrid/>
      <w:ind w:firstLine="420" w:firstLineChars="200"/>
      <w:jc w:val="both"/>
    </w:pPr>
    <w:rPr>
      <w:rFonts w:ascii="Times New Roman" w:hAnsi="Times New Roman" w:cs="Times New Roman"/>
      <w:kern w:val="2"/>
      <w:szCs w:val="24"/>
    </w:rPr>
  </w:style>
  <w:style w:type="character" w:customStyle="1" w:styleId="49">
    <w:name w:val="标题1"/>
    <w:qFormat/>
    <w:uiPriority w:val="0"/>
    <w:rPr>
      <w:rFonts w:ascii="Times New Roman" w:hAnsi="Times New Roman" w:eastAsia="宋体" w:cs="Times New Roman"/>
      <w:b/>
      <w:kern w:val="0"/>
      <w:sz w:val="24"/>
      <w:szCs w:val="20"/>
      <w:lang w:eastAsia="en-US"/>
    </w:rPr>
  </w:style>
  <w:style w:type="character" w:customStyle="1" w:styleId="50">
    <w:name w:val="标题 3.1 Char"/>
    <w:link w:val="51"/>
    <w:qFormat/>
    <w:uiPriority w:val="0"/>
    <w:rPr>
      <w:rFonts w:ascii="宋体" w:hAnsi="宋体" w:eastAsia="宋体"/>
      <w:b/>
      <w:color w:val="FF0000"/>
      <w:kern w:val="2"/>
      <w:sz w:val="32"/>
    </w:rPr>
  </w:style>
  <w:style w:type="paragraph" w:customStyle="1" w:styleId="51">
    <w:name w:val="标题 3.1"/>
    <w:basedOn w:val="4"/>
    <w:link w:val="50"/>
    <w:qFormat/>
    <w:uiPriority w:val="0"/>
    <w:pPr>
      <w:widowControl w:val="0"/>
      <w:tabs>
        <w:tab w:val="left" w:pos="1440"/>
        <w:tab w:val="left" w:pos="1620"/>
      </w:tabs>
      <w:adjustRightInd/>
      <w:snapToGrid/>
      <w:spacing w:line="600" w:lineRule="exact"/>
      <w:jc w:val="both"/>
    </w:pPr>
    <w:rPr>
      <w:rFonts w:ascii="宋体" w:hAnsi="宋体"/>
      <w:bCs w:val="0"/>
      <w:color w:val="FF0000"/>
      <w:kern w:val="2"/>
      <w:szCs w:val="22"/>
    </w:rPr>
  </w:style>
  <w:style w:type="character" w:customStyle="1" w:styleId="52">
    <w:name w:val="样式 楷体_GB2312 小四"/>
    <w:qFormat/>
    <w:uiPriority w:val="0"/>
    <w:rPr>
      <w:rFonts w:ascii="楷体_GB2312" w:hAnsi="楷体_GB2312" w:eastAsia="仿宋_GB2312"/>
      <w:sz w:val="24"/>
    </w:rPr>
  </w:style>
  <w:style w:type="character" w:customStyle="1" w:styleId="53">
    <w:name w:val="纯文本 Char"/>
    <w:qFormat/>
    <w:uiPriority w:val="0"/>
    <w:rPr>
      <w:rFonts w:ascii="宋体" w:hAnsi="Courier New" w:eastAsia="宋体" w:cs="Times New Roman"/>
      <w:b/>
      <w:kern w:val="2"/>
      <w:sz w:val="21"/>
      <w:szCs w:val="20"/>
    </w:rPr>
  </w:style>
  <w:style w:type="character" w:customStyle="1" w:styleId="54">
    <w:name w:val="纯文本 字符"/>
    <w:basedOn w:val="33"/>
    <w:link w:val="15"/>
    <w:semiHidden/>
    <w:qFormat/>
    <w:uiPriority w:val="99"/>
    <w:rPr>
      <w:rFonts w:ascii="宋体" w:hAnsi="Courier New" w:eastAsia="宋体" w:cs="Courier New"/>
      <w:sz w:val="21"/>
      <w:szCs w:val="21"/>
    </w:rPr>
  </w:style>
  <w:style w:type="character" w:customStyle="1" w:styleId="55">
    <w:name w:val="页眉 字符"/>
    <w:basedOn w:val="33"/>
    <w:link w:val="19"/>
    <w:qFormat/>
    <w:uiPriority w:val="99"/>
    <w:rPr>
      <w:rFonts w:ascii="Tahoma" w:hAnsi="Tahoma"/>
      <w:sz w:val="18"/>
      <w:szCs w:val="18"/>
    </w:rPr>
  </w:style>
  <w:style w:type="character" w:customStyle="1" w:styleId="56">
    <w:name w:val="页脚 字符"/>
    <w:basedOn w:val="33"/>
    <w:link w:val="18"/>
    <w:qFormat/>
    <w:uiPriority w:val="99"/>
    <w:rPr>
      <w:rFonts w:ascii="Tahoma" w:hAnsi="Tahoma"/>
      <w:sz w:val="18"/>
      <w:szCs w:val="18"/>
    </w:rPr>
  </w:style>
  <w:style w:type="character" w:customStyle="1" w:styleId="57">
    <w:name w:val="批注框文本 字符"/>
    <w:basedOn w:val="33"/>
    <w:link w:val="17"/>
    <w:semiHidden/>
    <w:qFormat/>
    <w:uiPriority w:val="99"/>
    <w:rPr>
      <w:rFonts w:ascii="Tahoma" w:hAnsi="Tahoma"/>
      <w:sz w:val="18"/>
      <w:szCs w:val="18"/>
    </w:rPr>
  </w:style>
  <w:style w:type="paragraph" w:customStyle="1" w:styleId="58">
    <w:name w:val="Char Char2 Char"/>
    <w:basedOn w:val="1"/>
    <w:qFormat/>
    <w:uiPriority w:val="0"/>
    <w:pPr>
      <w:widowControl w:val="0"/>
      <w:adjustRightInd/>
      <w:snapToGrid/>
      <w:jc w:val="both"/>
    </w:pPr>
    <w:rPr>
      <w:rFonts w:ascii="宋体" w:hAnsi="宋体" w:cs="Times New Roman"/>
      <w:b/>
      <w:kern w:val="2"/>
      <w:sz w:val="28"/>
      <w:szCs w:val="28"/>
    </w:rPr>
  </w:style>
  <w:style w:type="character" w:customStyle="1" w:styleId="59">
    <w:name w:val="普通(网站) 字符"/>
    <w:link w:val="27"/>
    <w:qFormat/>
    <w:uiPriority w:val="0"/>
    <w:rPr>
      <w:rFonts w:eastAsia="宋体"/>
      <w:kern w:val="2"/>
      <w:sz w:val="24"/>
      <w:szCs w:val="24"/>
    </w:rPr>
  </w:style>
  <w:style w:type="paragraph" w:customStyle="1" w:styleId="60">
    <w:name w:val="列出段落1"/>
    <w:basedOn w:val="1"/>
    <w:qFormat/>
    <w:uiPriority w:val="99"/>
    <w:pPr>
      <w:widowControl w:val="0"/>
      <w:adjustRightInd/>
      <w:snapToGrid/>
      <w:ind w:firstLine="420" w:firstLineChars="200"/>
      <w:jc w:val="both"/>
    </w:pPr>
    <w:rPr>
      <w:rFonts w:ascii="Times New Roman" w:hAnsi="Times New Roman" w:cs="Times New Roman"/>
      <w:kern w:val="2"/>
      <w:sz w:val="24"/>
      <w:szCs w:val="24"/>
    </w:rPr>
  </w:style>
  <w:style w:type="character" w:customStyle="1" w:styleId="61">
    <w:name w:val="p141"/>
    <w:qFormat/>
    <w:uiPriority w:val="0"/>
    <w:rPr>
      <w:sz w:val="21"/>
      <w:szCs w:val="21"/>
    </w:rPr>
  </w:style>
  <w:style w:type="character" w:customStyle="1" w:styleId="62">
    <w:name w:val="批注文字 字符"/>
    <w:basedOn w:val="33"/>
    <w:link w:val="9"/>
    <w:qFormat/>
    <w:uiPriority w:val="99"/>
    <w:rPr>
      <w:rFonts w:ascii="Tahoma" w:hAnsi="Tahoma" w:eastAsia="微软雅黑" w:cstheme="minorBidi"/>
      <w:sz w:val="22"/>
      <w:szCs w:val="22"/>
    </w:rPr>
  </w:style>
  <w:style w:type="character" w:customStyle="1" w:styleId="63">
    <w:name w:val="批注主题 字符"/>
    <w:basedOn w:val="62"/>
    <w:link w:val="28"/>
    <w:semiHidden/>
    <w:qFormat/>
    <w:uiPriority w:val="99"/>
    <w:rPr>
      <w:rFonts w:ascii="Tahoma" w:hAnsi="Tahoma" w:eastAsia="微软雅黑" w:cstheme="minorBidi"/>
      <w:b/>
      <w:bCs/>
      <w:sz w:val="22"/>
      <w:szCs w:val="22"/>
    </w:rPr>
  </w:style>
  <w:style w:type="character" w:customStyle="1" w:styleId="64">
    <w:name w:val="列表段落 字符"/>
    <w:link w:val="42"/>
    <w:qFormat/>
    <w:uiPriority w:val="0"/>
    <w:rPr>
      <w:rFonts w:ascii="Tahoma" w:hAnsi="Tahoma" w:eastAsia="微软雅黑" w:cstheme="minorBidi"/>
      <w:sz w:val="22"/>
      <w:szCs w:val="22"/>
    </w:rPr>
  </w:style>
  <w:style w:type="character" w:customStyle="1" w:styleId="65">
    <w:name w:val="正文文本 字符"/>
    <w:basedOn w:val="33"/>
    <w:link w:val="10"/>
    <w:qFormat/>
    <w:uiPriority w:val="1"/>
    <w:rPr>
      <w:rFonts w:ascii="宋体" w:hAnsi="宋体" w:cs="宋体"/>
      <w:sz w:val="24"/>
      <w:szCs w:val="22"/>
      <w:lang w:val="zh-CN" w:bidi="zh-CN"/>
    </w:rPr>
  </w:style>
  <w:style w:type="paragraph" w:customStyle="1" w:styleId="6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7">
    <w:name w:val="_Style 1"/>
    <w:basedOn w:val="1"/>
    <w:qFormat/>
    <w:uiPriority w:val="0"/>
    <w:pPr>
      <w:ind w:firstLine="420" w:firstLineChars="200"/>
    </w:pPr>
  </w:style>
  <w:style w:type="paragraph" w:customStyle="1" w:styleId="68">
    <w:name w:val="列出段落2"/>
    <w:basedOn w:val="1"/>
    <w:qFormat/>
    <w:uiPriority w:val="0"/>
    <w:pPr>
      <w:ind w:firstLine="420" w:firstLineChars="200"/>
    </w:pPr>
  </w:style>
  <w:style w:type="paragraph" w:customStyle="1" w:styleId="69">
    <w:name w:val="p0"/>
    <w:basedOn w:val="1"/>
    <w:qFormat/>
    <w:uiPriority w:val="0"/>
    <w:rPr>
      <w:szCs w:val="21"/>
    </w:rPr>
  </w:style>
  <w:style w:type="paragraph" w:customStyle="1" w:styleId="70">
    <w:name w:val="正文文本缩进 21"/>
    <w:basedOn w:val="1"/>
    <w:qFormat/>
    <w:uiPriority w:val="0"/>
    <w:pPr>
      <w:spacing w:line="480" w:lineRule="auto"/>
      <w:ind w:firstLine="540"/>
    </w:pPr>
    <w:rPr>
      <w:rFonts w:ascii="Calibri" w:hAnsi="Calibri"/>
      <w:sz w:val="20"/>
      <w:szCs w:val="20"/>
    </w:rPr>
  </w:style>
  <w:style w:type="paragraph" w:customStyle="1" w:styleId="71">
    <w:name w:val="_Style 2"/>
    <w:basedOn w:val="1"/>
    <w:qFormat/>
    <w:uiPriority w:val="0"/>
    <w:pPr>
      <w:ind w:firstLine="420" w:firstLineChars="200"/>
    </w:pPr>
  </w:style>
  <w:style w:type="paragraph" w:customStyle="1" w:styleId="72">
    <w:name w:val="msolistparagraph"/>
    <w:basedOn w:val="1"/>
    <w:qFormat/>
    <w:uiPriority w:val="0"/>
    <w:pPr>
      <w:ind w:firstLine="420" w:firstLineChars="200"/>
    </w:pPr>
    <w:rPr>
      <w:rFonts w:hint="eastAsia" w:hAnsi="宋体"/>
    </w:rPr>
  </w:style>
  <w:style w:type="character" w:customStyle="1" w:styleId="73">
    <w:name w:val="标题 5 字符"/>
    <w:link w:val="6"/>
    <w:qFormat/>
    <w:uiPriority w:val="0"/>
    <w:rPr>
      <w:b/>
      <w:sz w:val="28"/>
    </w:rPr>
  </w:style>
  <w:style w:type="character" w:customStyle="1" w:styleId="74">
    <w:name w:val="标题 1 字符"/>
    <w:link w:val="3"/>
    <w:qFormat/>
    <w:uiPriority w:val="9"/>
    <w:rPr>
      <w:b/>
      <w:kern w:val="44"/>
      <w:sz w:val="44"/>
    </w:rPr>
  </w:style>
  <w:style w:type="paragraph" w:customStyle="1" w:styleId="75">
    <w:name w:val="修订1"/>
    <w:hidden/>
    <w:semiHidden/>
    <w:qFormat/>
    <w:uiPriority w:val="99"/>
    <w:rPr>
      <w:rFonts w:ascii="Tahoma" w:hAnsi="Tahoma" w:eastAsia="宋体" w:cstheme="minorBidi"/>
      <w:sz w:val="21"/>
      <w:szCs w:val="22"/>
      <w:lang w:val="en-US" w:eastAsia="zh-CN" w:bidi="ar-SA"/>
    </w:rPr>
  </w:style>
  <w:style w:type="paragraph" w:customStyle="1" w:styleId="76">
    <w:name w:val="表格文字"/>
    <w:basedOn w:val="1"/>
    <w:qFormat/>
    <w:uiPriority w:val="0"/>
    <w:pPr>
      <w:adjustRightInd/>
      <w:spacing w:before="25" w:after="25"/>
    </w:pPr>
    <w:rPr>
      <w:rFonts w:ascii="Times New Roman"/>
      <w:bCs/>
      <w:spacing w:val="10"/>
      <w:szCs w:val="20"/>
    </w:rPr>
  </w:style>
  <w:style w:type="paragraph" w:customStyle="1" w:styleId="77">
    <w:name w:val="纯文本1"/>
    <w:basedOn w:val="78"/>
    <w:qFormat/>
    <w:uiPriority w:val="0"/>
    <w:rPr>
      <w:rFonts w:ascii="宋体" w:hAnsi="Courier New"/>
      <w:szCs w:val="20"/>
    </w:rPr>
  </w:style>
  <w:style w:type="paragraph" w:customStyle="1" w:styleId="78">
    <w:name w:val="正文 New"/>
    <w:qFormat/>
    <w:uiPriority w:val="99"/>
    <w:pPr>
      <w:widowControl w:val="0"/>
      <w:spacing w:line="360" w:lineRule="auto"/>
      <w:jc w:val="both"/>
    </w:pPr>
    <w:rPr>
      <w:rFonts w:ascii="Times New Roman" w:hAnsi="Times New Roman" w:eastAsia="宋体" w:cs="黑体"/>
      <w:kern w:val="2"/>
      <w:sz w:val="21"/>
      <w:szCs w:val="22"/>
      <w:lang w:val="en-US" w:eastAsia="zh-CN" w:bidi="ar-SA"/>
    </w:rPr>
  </w:style>
  <w:style w:type="paragraph" w:customStyle="1" w:styleId="79">
    <w:name w:val="正文2"/>
    <w:qFormat/>
    <w:uiPriority w:val="0"/>
    <w:pPr>
      <w:jc w:val="both"/>
    </w:pPr>
    <w:rPr>
      <w:rFonts w:ascii="Times New Roman" w:hAnsi="Times New Roman" w:eastAsia="宋体" w:cs="Times New Roman"/>
      <w:kern w:val="2"/>
      <w:sz w:val="21"/>
      <w:szCs w:val="21"/>
      <w:lang w:val="en-US" w:eastAsia="zh-CN" w:bidi="ar-SA"/>
    </w:rPr>
  </w:style>
  <w:style w:type="table" w:customStyle="1" w:styleId="80">
    <w:name w:val="Table Normal"/>
    <w:semiHidden/>
    <w:unhideWhenUsed/>
    <w:qFormat/>
    <w:uiPriority w:val="2"/>
    <w:tblPr>
      <w:tblCellMar>
        <w:top w:w="0" w:type="dxa"/>
        <w:left w:w="0" w:type="dxa"/>
        <w:bottom w:w="0" w:type="dxa"/>
        <w:right w:w="0" w:type="dxa"/>
      </w:tblCellMar>
    </w:tblPr>
  </w:style>
  <w:style w:type="paragraph" w:customStyle="1" w:styleId="81">
    <w:name w:val="Table Paragraph"/>
    <w:basedOn w:val="1"/>
    <w:qFormat/>
    <w:uiPriority w:val="1"/>
  </w:style>
  <w:style w:type="paragraph" w:customStyle="1" w:styleId="82">
    <w:name w:val="正文文本缩进1"/>
    <w:basedOn w:val="78"/>
    <w:qFormat/>
    <w:uiPriority w:val="0"/>
    <w:pPr>
      <w:spacing w:after="120"/>
      <w:ind w:left="420" w:leftChars="200"/>
    </w:pPr>
  </w:style>
  <w:style w:type="paragraph" w:customStyle="1" w:styleId="83">
    <w:name w:val="正文 New New"/>
    <w:qFormat/>
    <w:uiPriority w:val="0"/>
    <w:pPr>
      <w:widowControl w:val="0"/>
      <w:jc w:val="both"/>
    </w:pPr>
    <w:rPr>
      <w:rFonts w:ascii="Times New Roman" w:hAnsi="Times New Roman" w:eastAsia="宋体" w:cs="Times New Roman"/>
      <w:szCs w:val="24"/>
      <w:lang w:val="en-US" w:eastAsia="zh-CN" w:bidi="ar-SA"/>
    </w:rPr>
  </w:style>
  <w:style w:type="paragraph" w:customStyle="1" w:styleId="84">
    <w:name w:val="纯文本2"/>
    <w:basedOn w:val="78"/>
    <w:qFormat/>
    <w:uiPriority w:val="0"/>
    <w:rPr>
      <w:rFonts w:ascii="宋体" w:hAnsi="Courier New"/>
      <w:szCs w:val="20"/>
    </w:rPr>
  </w:style>
  <w:style w:type="character" w:customStyle="1" w:styleId="85">
    <w:name w:val="font141"/>
    <w:qFormat/>
    <w:uiPriority w:val="0"/>
    <w:rPr>
      <w:rFonts w:hint="default" w:ascii="Times New Roman" w:hAnsi="Times New Roman" w:cs="Times New Roman"/>
      <w:color w:val="000000"/>
      <w:sz w:val="18"/>
      <w:szCs w:val="18"/>
      <w:u w:val="none"/>
    </w:rPr>
  </w:style>
  <w:style w:type="character" w:customStyle="1" w:styleId="86">
    <w:name w:val="font71"/>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2FDE4B-77BC-4B7C-94B1-DC883D1266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180</Pages>
  <Words>15767</Words>
  <Characters>17163</Characters>
  <Lines>66</Lines>
  <Paragraphs>65</Paragraphs>
  <TotalTime>9</TotalTime>
  <ScaleCrop>false</ScaleCrop>
  <LinksUpToDate>false</LinksUpToDate>
  <CharactersWithSpaces>17802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2022-10-28T09:19:00Z</dcterms:created>
  <dc:creator>MyPC</dc:creator>
  <cp:lastModifiedBy>伟杰</cp:lastModifiedBy>
  <cp:lastPrinted>2022-12-01T06:09:00Z</cp:lastPrinted>
  <dcterms:modified xsi:type="dcterms:W3CDTF">2026-09-24T03:01:09Z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2E21D7E159F147769CF7268FAAB8B053_13</vt:lpwstr>
  </property>
  <property fmtid="{D5CDD505-2E9C-101B-9397-08002B2CF9AE}" pid="4" name="KSOTemplateDocerSaveRecord">
    <vt:lpwstr>eyJoZGlkIjoiNmQ0YzE5YjJiMDZiM2M0OGRjZjgwNDU0NWI5ZDMxODIiLCJ1c2VySWQiOiIxMjQ0MzUwODE2In0=</vt:lpwstr>
  </property>
</Properties>
</file>