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2A1AAE">
      <w:pPr>
        <w:spacing w:before="480" w:after="480" w:line="288" w:lineRule="auto"/>
        <w:ind w:left="0"/>
        <w:jc w:val="center"/>
        <w:rPr>
          <w:rFonts w:hint="eastAsia" w:asciiTheme="majorEastAsia" w:hAnsiTheme="majorEastAsia" w:eastAsiaTheme="majorEastAsia" w:cstheme="majorEastAsia"/>
          <w:b/>
          <w:sz w:val="52"/>
          <w:lang w:val="en-US" w:eastAsia="zh-CN"/>
        </w:rPr>
      </w:pPr>
      <w:r>
        <w:rPr>
          <w:rFonts w:hint="eastAsia" w:asciiTheme="majorEastAsia" w:hAnsiTheme="majorEastAsia" w:eastAsiaTheme="majorEastAsia" w:cstheme="majorEastAsia"/>
          <w:b/>
          <w:sz w:val="52"/>
          <w:lang w:val="en-US" w:eastAsia="zh-CN"/>
        </w:rPr>
        <w:t>东莞市海心沙资源综合利用中心环保热电厂膜处理设备配件采购项目</w:t>
      </w:r>
    </w:p>
    <w:p w14:paraId="30E99500">
      <w:pPr>
        <w:spacing w:before="480" w:after="480" w:line="288" w:lineRule="auto"/>
        <w:ind w:left="0"/>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b/>
          <w:sz w:val="52"/>
        </w:rPr>
        <w:t>技术需求书</w:t>
      </w:r>
    </w:p>
    <w:p w14:paraId="5AAC46BE">
      <w:pPr>
        <w:spacing w:before="120" w:after="120" w:line="288" w:lineRule="auto"/>
        <w:ind w:left="0" w:leftChars="0" w:firstLine="420" w:firstLineChars="0"/>
        <w:jc w:val="left"/>
      </w:pPr>
      <w:r>
        <w:rPr>
          <w:rFonts w:hint="eastAsia" w:asciiTheme="minorEastAsia" w:hAnsiTheme="minorEastAsia" w:eastAsiaTheme="minorEastAsia" w:cstheme="minorEastAsia"/>
          <w:sz w:val="22"/>
          <w:lang w:val="en-US" w:eastAsia="zh-CN"/>
        </w:rPr>
        <w:t>东莞市海心沙资源综合利用中心环保热电厂，</w:t>
      </w:r>
      <w:r>
        <w:rPr>
          <w:rFonts w:hint="eastAsia" w:asciiTheme="minorEastAsia" w:hAnsiTheme="minorEastAsia" w:eastAsiaTheme="minorEastAsia" w:cstheme="minorEastAsia"/>
          <w:color w:val="000000"/>
          <w:szCs w:val="21"/>
        </w:rPr>
        <w:t>项目总处理规模为日处理生活垃圾和一般工业垃圾2250吨，年处理垃圾82.125万吨。配置安装3×750吨/日焚烧线及对应配套系统（包括烟气净化系统、飞灰螯合稳定化系统、给排水系统等），2×40MW纯凝式汽轮发电机组。项目用地总面积为6.96公顷</w:t>
      </w:r>
      <w:r>
        <w:rPr>
          <w:rFonts w:hint="eastAsia" w:asciiTheme="minorEastAsia" w:hAnsiTheme="minorEastAsia" w:eastAsiaTheme="minorEastAsia" w:cstheme="minorEastAsia"/>
          <w:color w:val="000000"/>
          <w:szCs w:val="21"/>
          <w:lang w:eastAsia="zh-CN"/>
        </w:rPr>
        <w:t>。</w:t>
      </w:r>
      <w:r>
        <w:rPr>
          <w:rFonts w:hint="eastAsia" w:asciiTheme="minorEastAsia" w:hAnsiTheme="minorEastAsia" w:eastAsiaTheme="minorEastAsia" w:cstheme="minorEastAsia"/>
          <w:color w:val="000000"/>
          <w:szCs w:val="21"/>
          <w:lang w:val="en-US" w:eastAsia="zh-CN"/>
        </w:rPr>
        <w:t>项目配置了除盐水系统、渗滤液处理系统、洗烟废水处理系统、一体化净水系统等水处理系统。</w:t>
      </w:r>
    </w:p>
    <w:p w14:paraId="178BBA58">
      <w:pPr>
        <w:spacing w:before="320" w:after="120" w:line="288" w:lineRule="auto"/>
        <w:ind w:left="0" w:leftChars="0" w:firstLine="419" w:firstLineChars="131"/>
        <w:jc w:val="left"/>
        <w:outlineLvl w:val="1"/>
        <w:rPr>
          <w:rFonts w:hint="default" w:ascii="Arial" w:hAnsi="Arial" w:eastAsia="等线" w:cs="Arial"/>
          <w:b/>
          <w:sz w:val="32"/>
          <w:lang w:val="en-US" w:eastAsia="zh-CN"/>
        </w:rPr>
      </w:pPr>
      <w:r>
        <w:rPr>
          <w:rFonts w:hint="eastAsia" w:ascii="Arial" w:hAnsi="Arial" w:eastAsia="等线" w:cs="Arial"/>
          <w:b/>
          <w:sz w:val="32"/>
          <w:lang w:val="en-US" w:eastAsia="zh-CN"/>
        </w:rPr>
        <w:t>一、膜处理系统基本情况介绍</w:t>
      </w:r>
    </w:p>
    <w:p w14:paraId="1F42D1A1">
      <w:pPr>
        <w:numPr>
          <w:ilvl w:val="0"/>
          <w:numId w:val="0"/>
        </w:numPr>
        <w:spacing w:before="120" w:after="120" w:line="288" w:lineRule="auto"/>
        <w:ind w:left="500" w:leftChars="0"/>
        <w:jc w:val="left"/>
        <w:rPr>
          <w:rFonts w:hint="eastAsia" w:asciiTheme="minorEastAsia" w:hAnsiTheme="minorEastAsia" w:eastAsiaTheme="minorEastAsia" w:cstheme="minorEastAsia"/>
          <w:b/>
          <w:bCs/>
          <w:sz w:val="22"/>
          <w:lang w:val="en-US" w:eastAsia="zh-CN"/>
        </w:rPr>
      </w:pPr>
      <w:r>
        <w:rPr>
          <w:rFonts w:hint="eastAsia" w:asciiTheme="minorEastAsia" w:hAnsiTheme="minorEastAsia" w:eastAsiaTheme="minorEastAsia" w:cstheme="minorEastAsia"/>
          <w:b/>
          <w:bCs/>
          <w:sz w:val="22"/>
          <w:lang w:val="en-US" w:eastAsia="zh-CN"/>
        </w:rPr>
        <w:t>1、除盐水系统</w:t>
      </w:r>
    </w:p>
    <w:p w14:paraId="69F14819">
      <w:pPr>
        <w:numPr>
          <w:ilvl w:val="0"/>
          <w:numId w:val="0"/>
        </w:numPr>
        <w:spacing w:before="120" w:after="120" w:line="288" w:lineRule="auto"/>
        <w:ind w:left="0" w:leftChars="0" w:firstLine="418" w:firstLineChars="190"/>
        <w:jc w:val="left"/>
        <w:rPr>
          <w:rFonts w:hint="eastAsia" w:asciiTheme="minorEastAsia" w:hAnsiTheme="minorEastAsia" w:eastAsiaTheme="minorEastAsia" w:cstheme="minorEastAsia"/>
          <w:sz w:val="22"/>
          <w:lang w:val="en-US" w:eastAsia="zh-CN"/>
        </w:rPr>
      </w:pPr>
      <w:r>
        <w:rPr>
          <w:rFonts w:hint="eastAsia" w:asciiTheme="minorEastAsia" w:hAnsiTheme="minorEastAsia" w:eastAsiaTheme="minorEastAsia" w:cstheme="minorEastAsia"/>
          <w:sz w:val="22"/>
          <w:lang w:val="en-US" w:eastAsia="zh-CN"/>
        </w:rPr>
        <w:t>除盐水系统采用“盘式过滤+超滤膜+一级反渗透膜+二级反渗透膜+EDI”工艺，设备规模为2*30t/h，要求产水水质：</w:t>
      </w:r>
    </w:p>
    <w:p w14:paraId="0B72AD3B">
      <w:pPr>
        <w:spacing w:before="120" w:after="120" w:line="288" w:lineRule="auto"/>
        <w:ind w:left="0" w:firstLine="500" w:firstLineChars="0"/>
        <w:jc w:val="left"/>
        <w:rPr>
          <w:rFonts w:hint="eastAsia" w:asciiTheme="minorEastAsia" w:hAnsiTheme="minorEastAsia" w:eastAsiaTheme="minorEastAsia" w:cstheme="minorEastAsia"/>
          <w:sz w:val="22"/>
          <w:lang w:val="en-US" w:eastAsia="zh-CN"/>
        </w:rPr>
      </w:pPr>
      <w:r>
        <w:rPr>
          <w:rFonts w:hint="eastAsia" w:asciiTheme="minorEastAsia" w:hAnsiTheme="minorEastAsia" w:eastAsiaTheme="minorEastAsia" w:cstheme="minorEastAsia"/>
          <w:sz w:val="22"/>
          <w:lang w:val="en-US" w:eastAsia="zh-CN"/>
        </w:rPr>
        <w:t>电导率 ≤0.1μs/cm；</w:t>
      </w:r>
    </w:p>
    <w:p w14:paraId="3CBC077E">
      <w:pPr>
        <w:spacing w:before="120" w:after="120" w:line="288" w:lineRule="auto"/>
        <w:ind w:left="0" w:firstLine="500" w:firstLineChars="0"/>
        <w:jc w:val="left"/>
        <w:rPr>
          <w:rFonts w:hint="eastAsia" w:asciiTheme="minorEastAsia" w:hAnsiTheme="minorEastAsia" w:eastAsiaTheme="minorEastAsia" w:cstheme="minorEastAsia"/>
          <w:sz w:val="22"/>
          <w:lang w:val="en-US" w:eastAsia="zh-CN"/>
        </w:rPr>
      </w:pPr>
      <w:r>
        <w:rPr>
          <w:rFonts w:hint="eastAsia" w:asciiTheme="minorEastAsia" w:hAnsiTheme="minorEastAsia" w:eastAsiaTheme="minorEastAsia" w:cstheme="minorEastAsia"/>
          <w:sz w:val="22"/>
          <w:lang w:val="en-US" w:eastAsia="zh-CN"/>
        </w:rPr>
        <w:t>SiO2： ≤20μg/L；</w:t>
      </w:r>
    </w:p>
    <w:p w14:paraId="080E2DA1">
      <w:pPr>
        <w:spacing w:before="120" w:after="120" w:line="288" w:lineRule="auto"/>
        <w:ind w:left="0" w:firstLine="500" w:firstLineChars="0"/>
        <w:jc w:val="left"/>
        <w:rPr>
          <w:rFonts w:hint="eastAsia" w:asciiTheme="minorEastAsia" w:hAnsiTheme="minorEastAsia" w:eastAsiaTheme="minorEastAsia" w:cstheme="minorEastAsia"/>
          <w:sz w:val="22"/>
          <w:lang w:val="en-US" w:eastAsia="zh-CN"/>
        </w:rPr>
      </w:pPr>
      <w:r>
        <w:rPr>
          <w:rFonts w:hint="eastAsia" w:asciiTheme="minorEastAsia" w:hAnsiTheme="minorEastAsia" w:eastAsiaTheme="minorEastAsia" w:cstheme="minorEastAsia"/>
          <w:sz w:val="22"/>
          <w:lang w:val="en-US" w:eastAsia="zh-CN"/>
        </w:rPr>
        <w:t>硬度： ≤0.4μmol/L；</w:t>
      </w:r>
    </w:p>
    <w:p w14:paraId="7208A871">
      <w:pPr>
        <w:spacing w:before="120" w:after="120" w:line="288" w:lineRule="auto"/>
        <w:ind w:left="0" w:firstLine="500" w:firstLineChars="0"/>
        <w:jc w:val="left"/>
        <w:rPr>
          <w:rFonts w:hint="eastAsia" w:asciiTheme="minorEastAsia" w:hAnsiTheme="minorEastAsia" w:eastAsiaTheme="minorEastAsia" w:cstheme="minorEastAsia"/>
          <w:sz w:val="22"/>
          <w:lang w:val="en-US" w:eastAsia="zh-CN"/>
        </w:rPr>
      </w:pPr>
      <w:r>
        <w:rPr>
          <w:rFonts w:hint="eastAsia" w:asciiTheme="minorEastAsia" w:hAnsiTheme="minorEastAsia" w:eastAsiaTheme="minorEastAsia" w:cstheme="minorEastAsia"/>
          <w:sz w:val="22"/>
          <w:lang w:val="en-US" w:eastAsia="zh-CN"/>
        </w:rPr>
        <w:t>铁： ≤20μg/L；</w:t>
      </w:r>
    </w:p>
    <w:p w14:paraId="6FA177D0">
      <w:pPr>
        <w:spacing w:before="120" w:after="120" w:line="288" w:lineRule="auto"/>
        <w:ind w:left="0" w:firstLine="500" w:firstLineChars="0"/>
        <w:jc w:val="left"/>
        <w:rPr>
          <w:rFonts w:hint="default" w:asciiTheme="minorEastAsia" w:hAnsiTheme="minorEastAsia" w:eastAsiaTheme="minorEastAsia" w:cstheme="minorEastAsia"/>
          <w:sz w:val="22"/>
          <w:lang w:val="en-US" w:eastAsia="zh-CN"/>
        </w:rPr>
      </w:pPr>
      <w:r>
        <w:rPr>
          <w:rFonts w:hint="eastAsia" w:asciiTheme="minorEastAsia" w:hAnsiTheme="minorEastAsia" w:eastAsiaTheme="minorEastAsia" w:cstheme="minorEastAsia"/>
          <w:sz w:val="22"/>
          <w:lang w:val="en-US" w:eastAsia="zh-CN"/>
        </w:rPr>
        <w:t>铜： ≤5μg/L。</w:t>
      </w:r>
    </w:p>
    <w:p w14:paraId="6B0546F4">
      <w:pPr>
        <w:numPr>
          <w:ilvl w:val="0"/>
          <w:numId w:val="0"/>
        </w:numPr>
        <w:spacing w:before="120" w:after="120" w:line="288" w:lineRule="auto"/>
        <w:ind w:left="500" w:leftChars="0"/>
        <w:jc w:val="left"/>
        <w:rPr>
          <w:rFonts w:hint="eastAsia" w:asciiTheme="minorEastAsia" w:hAnsiTheme="minorEastAsia" w:eastAsiaTheme="minorEastAsia" w:cstheme="minorEastAsia"/>
          <w:b/>
          <w:bCs/>
          <w:sz w:val="22"/>
          <w:lang w:val="en-US" w:eastAsia="zh-CN"/>
        </w:rPr>
      </w:pPr>
      <w:r>
        <w:rPr>
          <w:rFonts w:hint="eastAsia" w:asciiTheme="minorEastAsia" w:hAnsiTheme="minorEastAsia" w:eastAsiaTheme="minorEastAsia" w:cstheme="minorEastAsia"/>
          <w:b/>
          <w:bCs/>
          <w:sz w:val="22"/>
          <w:lang w:val="en-US" w:eastAsia="zh-CN"/>
        </w:rPr>
        <w:t>2、渗滤液处理系统</w:t>
      </w:r>
    </w:p>
    <w:p w14:paraId="3ECC52C6">
      <w:pPr>
        <w:numPr>
          <w:ilvl w:val="0"/>
          <w:numId w:val="0"/>
        </w:numPr>
        <w:spacing w:before="120" w:after="120" w:line="288" w:lineRule="auto"/>
        <w:ind w:left="0" w:leftChars="0" w:firstLine="418" w:firstLineChars="190"/>
        <w:jc w:val="left"/>
        <w:rPr>
          <w:rFonts w:hint="default" w:asciiTheme="minorEastAsia" w:hAnsiTheme="minorEastAsia" w:eastAsiaTheme="minorEastAsia" w:cstheme="minorEastAsia"/>
          <w:sz w:val="22"/>
          <w:lang w:val="en-US" w:eastAsia="zh-CN"/>
        </w:rPr>
      </w:pPr>
      <w:r>
        <w:rPr>
          <w:rFonts w:hint="eastAsia" w:asciiTheme="minorEastAsia" w:hAnsiTheme="minorEastAsia" w:eastAsiaTheme="minorEastAsia" w:cstheme="minorEastAsia"/>
          <w:sz w:val="22"/>
          <w:lang w:val="en-US" w:eastAsia="zh-CN"/>
        </w:rPr>
        <w:t>垃圾渗滤液处理系统规模为600吨/天，采用2条并列处理线，设计总体回收率达到80%以上。膜系统采用“UF+NF+两级RO+DTRO”工艺，设备规模为2*300t/d，出水水质达到GB/T 19923-2024《城市污水再生利用 工业用水水质》中开式循环冷却水补充水标准。</w:t>
      </w:r>
    </w:p>
    <w:p w14:paraId="157D932F">
      <w:pPr>
        <w:numPr>
          <w:ilvl w:val="0"/>
          <w:numId w:val="0"/>
        </w:numPr>
        <w:spacing w:before="120" w:after="120" w:line="288" w:lineRule="auto"/>
        <w:ind w:left="500" w:leftChars="0"/>
        <w:jc w:val="left"/>
        <w:rPr>
          <w:rFonts w:hint="default" w:asciiTheme="minorEastAsia" w:hAnsiTheme="minorEastAsia" w:eastAsiaTheme="minorEastAsia" w:cstheme="minorEastAsia"/>
          <w:b/>
          <w:bCs/>
          <w:sz w:val="22"/>
          <w:lang w:val="en-US" w:eastAsia="zh-CN"/>
        </w:rPr>
      </w:pPr>
      <w:r>
        <w:rPr>
          <w:rFonts w:hint="eastAsia" w:asciiTheme="minorEastAsia" w:hAnsiTheme="minorEastAsia" w:eastAsiaTheme="minorEastAsia" w:cstheme="minorEastAsia"/>
          <w:b/>
          <w:bCs/>
          <w:sz w:val="22"/>
          <w:lang w:val="en-US" w:eastAsia="zh-CN"/>
        </w:rPr>
        <w:t>3、洗烟废水处理系统</w:t>
      </w:r>
    </w:p>
    <w:p w14:paraId="1E1090AC">
      <w:pPr>
        <w:numPr>
          <w:ilvl w:val="0"/>
          <w:numId w:val="0"/>
        </w:numPr>
        <w:spacing w:before="120" w:after="120" w:line="288" w:lineRule="auto"/>
        <w:ind w:left="0" w:leftChars="0" w:firstLine="418" w:firstLineChars="190"/>
        <w:jc w:val="left"/>
        <w:rPr>
          <w:rFonts w:hint="default" w:asciiTheme="minorEastAsia" w:hAnsiTheme="minorEastAsia" w:eastAsiaTheme="minorEastAsia" w:cstheme="minorEastAsia"/>
          <w:sz w:val="22"/>
          <w:lang w:val="en-US" w:eastAsia="zh-CN"/>
        </w:rPr>
      </w:pPr>
      <w:r>
        <w:rPr>
          <w:rFonts w:hint="eastAsia" w:asciiTheme="minorEastAsia" w:hAnsiTheme="minorEastAsia" w:eastAsiaTheme="minorEastAsia" w:cstheme="minorEastAsia"/>
          <w:sz w:val="22"/>
          <w:lang w:val="en-US" w:eastAsia="zh-CN"/>
        </w:rPr>
        <w:t>洗烟废水处理系统规模为350吨/天，只设一条处理线。处理工艺采用“预处理+超滤+STRO高压膜+RO膜”，出水水质达到GB/T 19923-2024《城市污水再生利用 工业用水水质》中开式循环冷却水补充水标准。</w:t>
      </w:r>
    </w:p>
    <w:p w14:paraId="08CEC81C">
      <w:pPr>
        <w:spacing w:before="120" w:after="120" w:line="288" w:lineRule="auto"/>
        <w:ind w:left="0" w:firstLine="500" w:firstLineChars="0"/>
        <w:jc w:val="left"/>
        <w:rPr>
          <w:rFonts w:hint="eastAsia" w:asciiTheme="minorEastAsia" w:hAnsiTheme="minorEastAsia" w:eastAsiaTheme="minorEastAsia" w:cstheme="minorEastAsia"/>
          <w:sz w:val="22"/>
        </w:rPr>
      </w:pPr>
      <w:r>
        <w:rPr>
          <w:rFonts w:hint="eastAsia" w:asciiTheme="minorEastAsia" w:hAnsiTheme="minorEastAsia" w:eastAsiaTheme="minorEastAsia" w:cstheme="minorEastAsia"/>
          <w:sz w:val="22"/>
          <w:lang w:val="en-US" w:eastAsia="zh-CN"/>
        </w:rPr>
        <w:t>以上水处理系统，自2021年6月投产，至今已超过5年</w:t>
      </w:r>
      <w:r>
        <w:rPr>
          <w:rFonts w:hint="eastAsia" w:asciiTheme="minorEastAsia" w:hAnsiTheme="minorEastAsia" w:eastAsiaTheme="minorEastAsia" w:cstheme="minorEastAsia"/>
          <w:sz w:val="22"/>
        </w:rPr>
        <w:t>的运行使用，</w:t>
      </w:r>
      <w:r>
        <w:rPr>
          <w:rFonts w:hint="eastAsia" w:asciiTheme="minorEastAsia" w:hAnsiTheme="minorEastAsia" w:eastAsiaTheme="minorEastAsia" w:cstheme="minorEastAsia"/>
          <w:sz w:val="22"/>
          <w:lang w:val="en-US" w:eastAsia="zh-CN"/>
        </w:rPr>
        <w:t>部分膜设备/膜原件已</w:t>
      </w:r>
      <w:r>
        <w:rPr>
          <w:rFonts w:hint="eastAsia" w:asciiTheme="minorEastAsia" w:hAnsiTheme="minorEastAsia" w:eastAsiaTheme="minorEastAsia" w:cstheme="minorEastAsia"/>
          <w:sz w:val="22"/>
        </w:rPr>
        <w:t>出现脱盐率下降、膜氧化等情况。根据行业经验和项目运营管理要求，水处理设备检修应贯彻“预防为主、计划检修”的方针，以检修安全和质量为前提，做到“应修必修，修必修好”，保障水处理设备长期处于良好运行状态，实现设备检修后安全、稳定、长周期运行。</w:t>
      </w:r>
    </w:p>
    <w:p w14:paraId="57FF3459">
      <w:pPr>
        <w:spacing w:before="120" w:after="120" w:line="288" w:lineRule="auto"/>
        <w:ind w:left="0" w:firstLine="500" w:firstLineChars="0"/>
        <w:jc w:val="left"/>
        <w:rPr>
          <w:rFonts w:hint="default" w:asciiTheme="minorEastAsia" w:hAnsiTheme="minorEastAsia" w:eastAsiaTheme="minorEastAsia" w:cstheme="minorEastAsia"/>
          <w:lang w:val="en-US" w:eastAsia="zh-CN"/>
        </w:rPr>
      </w:pPr>
    </w:p>
    <w:p w14:paraId="427DD439">
      <w:pPr>
        <w:spacing w:before="320" w:after="120" w:line="288" w:lineRule="auto"/>
        <w:ind w:left="0"/>
        <w:jc w:val="left"/>
        <w:outlineLvl w:val="1"/>
      </w:pPr>
      <w:bookmarkStart w:id="0" w:name="heading_0"/>
      <w:r>
        <w:rPr>
          <w:rFonts w:hint="eastAsia" w:ascii="Arial" w:hAnsi="Arial" w:eastAsia="等线" w:cs="Arial"/>
          <w:b/>
          <w:sz w:val="32"/>
          <w:lang w:val="en-US" w:eastAsia="zh-CN"/>
        </w:rPr>
        <w:t>二</w:t>
      </w:r>
      <w:r>
        <w:rPr>
          <w:rFonts w:ascii="Arial" w:hAnsi="Arial" w:eastAsia="等线" w:cs="Arial"/>
          <w:b/>
          <w:sz w:val="32"/>
        </w:rPr>
        <w:t>、</w:t>
      </w:r>
      <w:r>
        <w:rPr>
          <w:rFonts w:hint="eastAsia" w:ascii="Arial" w:hAnsi="Arial" w:eastAsia="等线" w:cs="Arial"/>
          <w:b/>
          <w:sz w:val="32"/>
          <w:lang w:val="en-US" w:eastAsia="zh-CN"/>
        </w:rPr>
        <w:t>膜配件需求清单</w:t>
      </w:r>
      <w:bookmarkEnd w:id="0"/>
    </w:p>
    <w:tbl>
      <w:tblPr>
        <w:tblStyle w:val="2"/>
        <w:tblW w:w="10037" w:type="dxa"/>
        <w:tblInd w:w="-8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67"/>
        <w:gridCol w:w="1993"/>
        <w:gridCol w:w="3074"/>
        <w:gridCol w:w="2513"/>
        <w:gridCol w:w="1290"/>
      </w:tblGrid>
      <w:tr w14:paraId="486EB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000" w:hRule="atLeast"/>
        </w:trPr>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F33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系统名称</w:t>
            </w: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4E9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3074" w:type="dxa"/>
            <w:tcBorders>
              <w:top w:val="single" w:color="000000" w:sz="4" w:space="0"/>
              <w:left w:val="single" w:color="000000" w:sz="4" w:space="0"/>
              <w:bottom w:val="single" w:color="000000" w:sz="4" w:space="0"/>
              <w:right w:val="single" w:color="000000" w:sz="4" w:space="0"/>
            </w:tcBorders>
            <w:shd w:val="clear" w:color="auto" w:fill="73E3FF"/>
            <w:noWrap/>
            <w:vAlign w:val="center"/>
          </w:tcPr>
          <w:p w14:paraId="744D99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技术参数</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EB6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推荐品牌、型号</w:t>
            </w:r>
          </w:p>
        </w:tc>
        <w:tc>
          <w:tcPr>
            <w:tcW w:w="129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5B8BC9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年度合同拟购数量(支)</w:t>
            </w:r>
          </w:p>
        </w:tc>
      </w:tr>
      <w:tr w14:paraId="137B8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380" w:hRule="atLeast"/>
        </w:trPr>
        <w:tc>
          <w:tcPr>
            <w:tcW w:w="116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E92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渗滤液处理系统</w:t>
            </w: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DC5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渗滤液超滤</w:t>
            </w:r>
          </w:p>
        </w:tc>
        <w:tc>
          <w:tcPr>
            <w:tcW w:w="3074" w:type="dxa"/>
            <w:tcBorders>
              <w:top w:val="single" w:color="000000" w:sz="4" w:space="0"/>
              <w:left w:val="single" w:color="000000" w:sz="4" w:space="0"/>
              <w:bottom w:val="single" w:color="000000" w:sz="4" w:space="0"/>
              <w:right w:val="single" w:color="000000" w:sz="4" w:space="0"/>
            </w:tcBorders>
            <w:shd w:val="clear" w:color="auto" w:fill="73E3FF"/>
            <w:vAlign w:val="center"/>
          </w:tcPr>
          <w:p w14:paraId="79510F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X-FLOW COMPACT 27，膜面积27m2，长度3000mm，组件直径213mm</w:t>
            </w:r>
          </w:p>
        </w:tc>
        <w:tc>
          <w:tcPr>
            <w:tcW w:w="2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497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PENTAIR滨特尔compact27，FULISTECH F4385 、东丽TM-UF8040-FA</w:t>
            </w:r>
          </w:p>
        </w:tc>
        <w:tc>
          <w:tcPr>
            <w:tcW w:w="129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6EC999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35BD1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147" w:hRule="atLeast"/>
        </w:trPr>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A12D0">
            <w:pPr>
              <w:jc w:val="center"/>
              <w:rPr>
                <w:rFonts w:hint="eastAsia" w:ascii="宋体" w:hAnsi="宋体" w:eastAsia="宋体" w:cs="宋体"/>
                <w:i w:val="0"/>
                <w:iCs w:val="0"/>
                <w:color w:val="000000"/>
                <w:sz w:val="21"/>
                <w:szCs w:val="21"/>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7FD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渗滤液纳滤</w:t>
            </w:r>
          </w:p>
        </w:tc>
        <w:tc>
          <w:tcPr>
            <w:tcW w:w="3074" w:type="dxa"/>
            <w:tcBorders>
              <w:top w:val="single" w:color="000000" w:sz="4" w:space="0"/>
              <w:left w:val="single" w:color="000000" w:sz="4" w:space="0"/>
              <w:bottom w:val="single" w:color="000000" w:sz="4" w:space="0"/>
              <w:right w:val="single" w:color="000000" w:sz="4" w:space="0"/>
            </w:tcBorders>
            <w:shd w:val="clear" w:color="auto" w:fill="73E3FF"/>
            <w:vAlign w:val="center"/>
          </w:tcPr>
          <w:p w14:paraId="3CEC08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标准脱盐率99%，透过水量：12,000 (45.4)gpd (m3/d)，膜面积400(37)ft2(m2),给水流道宽度34mil,最高操作压力600psi (4.1MPa)</w:t>
            </w:r>
          </w:p>
        </w:tc>
        <w:tc>
          <w:tcPr>
            <w:tcW w:w="2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BAE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杜邦DowNF270-400/34i、美国海德能（ESNA1-LF2-LD）、东丽NE8040-40</w:t>
            </w:r>
          </w:p>
        </w:tc>
        <w:tc>
          <w:tcPr>
            <w:tcW w:w="129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09272A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r>
      <w:tr w14:paraId="1242F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147" w:hRule="atLeast"/>
        </w:trPr>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28772">
            <w:pPr>
              <w:jc w:val="center"/>
              <w:rPr>
                <w:rFonts w:hint="eastAsia" w:ascii="宋体" w:hAnsi="宋体" w:eastAsia="宋体" w:cs="宋体"/>
                <w:i w:val="0"/>
                <w:iCs w:val="0"/>
                <w:color w:val="000000"/>
                <w:sz w:val="21"/>
                <w:szCs w:val="21"/>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BDD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渗滤液一级反渗透膜</w:t>
            </w:r>
          </w:p>
        </w:tc>
        <w:tc>
          <w:tcPr>
            <w:tcW w:w="3074" w:type="dxa"/>
            <w:tcBorders>
              <w:top w:val="single" w:color="000000" w:sz="4" w:space="0"/>
              <w:left w:val="single" w:color="000000" w:sz="4" w:space="0"/>
              <w:bottom w:val="single" w:color="000000" w:sz="4" w:space="0"/>
              <w:right w:val="single" w:color="000000" w:sz="4" w:space="0"/>
            </w:tcBorders>
            <w:shd w:val="clear" w:color="auto" w:fill="73E3FF"/>
            <w:vAlign w:val="center"/>
          </w:tcPr>
          <w:p w14:paraId="6E0198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标准脱盐率99.8%，透过水量：10,500 (39.7)gpd (m3/d)，膜面积400(37)ft2(m2),给水流道宽度34mil,最高操作压力600psi (4.1MPa)</w:t>
            </w:r>
          </w:p>
        </w:tc>
        <w:tc>
          <w:tcPr>
            <w:tcW w:w="2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8C8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杜邦DowBW30-400/34i、美国海德能PROC10、东丽TML20D-400</w:t>
            </w:r>
          </w:p>
        </w:tc>
        <w:tc>
          <w:tcPr>
            <w:tcW w:w="129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012796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r>
      <w:tr w14:paraId="19D60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147" w:hRule="atLeast"/>
        </w:trPr>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F839F">
            <w:pPr>
              <w:jc w:val="center"/>
              <w:rPr>
                <w:rFonts w:hint="eastAsia" w:ascii="宋体" w:hAnsi="宋体" w:eastAsia="宋体" w:cs="宋体"/>
                <w:i w:val="0"/>
                <w:iCs w:val="0"/>
                <w:color w:val="000000"/>
                <w:sz w:val="21"/>
                <w:szCs w:val="21"/>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3F5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渗滤液二级反渗透膜</w:t>
            </w:r>
          </w:p>
        </w:tc>
        <w:tc>
          <w:tcPr>
            <w:tcW w:w="3074" w:type="dxa"/>
            <w:tcBorders>
              <w:top w:val="single" w:color="000000" w:sz="4" w:space="0"/>
              <w:left w:val="single" w:color="000000" w:sz="4" w:space="0"/>
              <w:bottom w:val="single" w:color="000000" w:sz="4" w:space="0"/>
              <w:right w:val="single" w:color="000000" w:sz="4" w:space="0"/>
            </w:tcBorders>
            <w:shd w:val="clear" w:color="auto" w:fill="73E3FF"/>
            <w:vAlign w:val="center"/>
          </w:tcPr>
          <w:p w14:paraId="469768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标准脱盐率99.8%，透过水量：11,000 (41.6)gpd (m3/d)，膜面积400(37)ft2(m2),给水流道宽度34mil,最高操作压力600psi (4.1MPa)</w:t>
            </w:r>
          </w:p>
        </w:tc>
        <w:tc>
          <w:tcPr>
            <w:tcW w:w="2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63B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杜邦Dow BW30FR-400/34i、美国海德能LFC3-LD、东丽TM720D-400</w:t>
            </w:r>
          </w:p>
        </w:tc>
        <w:tc>
          <w:tcPr>
            <w:tcW w:w="129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7B466C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r>
      <w:tr w14:paraId="0738F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620" w:hRule="atLeast"/>
        </w:trPr>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5F0F0">
            <w:pPr>
              <w:jc w:val="center"/>
              <w:rPr>
                <w:rFonts w:hint="eastAsia" w:ascii="宋体" w:hAnsi="宋体" w:eastAsia="宋体" w:cs="宋体"/>
                <w:i w:val="0"/>
                <w:iCs w:val="0"/>
                <w:color w:val="000000"/>
                <w:sz w:val="21"/>
                <w:szCs w:val="21"/>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EB6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渗滤液DTRO膜</w:t>
            </w:r>
          </w:p>
        </w:tc>
        <w:tc>
          <w:tcPr>
            <w:tcW w:w="3074" w:type="dxa"/>
            <w:tcBorders>
              <w:top w:val="single" w:color="000000" w:sz="4" w:space="0"/>
              <w:left w:val="single" w:color="000000" w:sz="4" w:space="0"/>
              <w:bottom w:val="single" w:color="000000" w:sz="4" w:space="0"/>
              <w:right w:val="single" w:color="000000" w:sz="4" w:space="0"/>
            </w:tcBorders>
            <w:shd w:val="clear" w:color="auto" w:fill="73E3FF"/>
            <w:vAlign w:val="center"/>
          </w:tcPr>
          <w:p w14:paraId="6F8D62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中压膜元件DTGE-MP，最高操作压力：40-90bar，过滤操作压力：90bar。总长度：1400mm，压力容器外径：218mm.膜元件重量：82kg，膜元件的总膜面积：9.4m2，压力容器：FRP.</w:t>
            </w:r>
          </w:p>
        </w:tc>
        <w:tc>
          <w:tcPr>
            <w:tcW w:w="2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DA9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aquazoomDTG-R04-90bar、PALL颇尔DTGE-MP、东丽TRO3838N2</w:t>
            </w:r>
          </w:p>
        </w:tc>
        <w:tc>
          <w:tcPr>
            <w:tcW w:w="129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7FB5A0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r>
      <w:tr w14:paraId="5C1FB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007" w:hRule="atLeast"/>
        </w:trPr>
        <w:tc>
          <w:tcPr>
            <w:tcW w:w="116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A9C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除盐水制备系统</w:t>
            </w: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564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除盐水超滤</w:t>
            </w:r>
          </w:p>
        </w:tc>
        <w:tc>
          <w:tcPr>
            <w:tcW w:w="3074" w:type="dxa"/>
            <w:tcBorders>
              <w:top w:val="single" w:color="000000" w:sz="4" w:space="0"/>
              <w:left w:val="single" w:color="000000" w:sz="4" w:space="0"/>
              <w:bottom w:val="single" w:color="000000" w:sz="4" w:space="0"/>
              <w:right w:val="single" w:color="000000" w:sz="4" w:space="0"/>
            </w:tcBorders>
            <w:shd w:val="clear" w:color="auto" w:fill="73E3FF"/>
            <w:vAlign w:val="center"/>
          </w:tcPr>
          <w:p w14:paraId="4B8F8E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PENTAIR  X-flow XF 55，膜面积：55m2，重量：34kg,膜丝：PES,组件长度：1537.5[60.51] [mm/in]，膜元件直径：220.0 [8.66] [mm/in]。最大系统压力：300[43][kPa/psi]，最大跨膜压差：300[43][kPa/psi]，最大反洗压力：300[43][kPa/psi]。</w:t>
            </w:r>
          </w:p>
        </w:tc>
        <w:tc>
          <w:tcPr>
            <w:tcW w:w="2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096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美国海德能HYDRAcap60+A、PENTAIR滨特尔 XF55、3M  Liqui-Flux W10-08A 79㎡</w:t>
            </w:r>
          </w:p>
        </w:tc>
        <w:tc>
          <w:tcPr>
            <w:tcW w:w="129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233A81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r>
      <w:tr w14:paraId="319C8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147" w:hRule="atLeast"/>
        </w:trPr>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AF639">
            <w:pPr>
              <w:jc w:val="center"/>
              <w:rPr>
                <w:rFonts w:hint="eastAsia" w:ascii="宋体" w:hAnsi="宋体" w:eastAsia="宋体" w:cs="宋体"/>
                <w:i w:val="0"/>
                <w:iCs w:val="0"/>
                <w:color w:val="000000"/>
                <w:sz w:val="21"/>
                <w:szCs w:val="21"/>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C81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除盐水一级反渗透膜</w:t>
            </w:r>
          </w:p>
        </w:tc>
        <w:tc>
          <w:tcPr>
            <w:tcW w:w="3074" w:type="dxa"/>
            <w:tcBorders>
              <w:top w:val="single" w:color="000000" w:sz="4" w:space="0"/>
              <w:left w:val="single" w:color="000000" w:sz="4" w:space="0"/>
              <w:bottom w:val="single" w:color="000000" w:sz="4" w:space="0"/>
              <w:right w:val="single" w:color="000000" w:sz="4" w:space="0"/>
            </w:tcBorders>
            <w:shd w:val="clear" w:color="auto" w:fill="73E3FF"/>
            <w:vAlign w:val="center"/>
          </w:tcPr>
          <w:p w14:paraId="742A5A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标准脱盐率99.8%，透过水量：10,500 (39.7)gpd (m3/d)，膜面积400(37)ft2(m2),给水流道宽度34mil,最高操作压力600psi (4.1MPa)</w:t>
            </w:r>
          </w:p>
        </w:tc>
        <w:tc>
          <w:tcPr>
            <w:tcW w:w="2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668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杜邦Dow BW30FR-400/34、美国海德能PROC10、东丽TML20D-400</w:t>
            </w:r>
          </w:p>
        </w:tc>
        <w:tc>
          <w:tcPr>
            <w:tcW w:w="129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144751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r>
      <w:tr w14:paraId="3D791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320" w:hRule="atLeast"/>
        </w:trPr>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A1925">
            <w:pPr>
              <w:jc w:val="center"/>
              <w:rPr>
                <w:rFonts w:hint="eastAsia" w:ascii="宋体" w:hAnsi="宋体" w:eastAsia="宋体" w:cs="宋体"/>
                <w:i w:val="0"/>
                <w:iCs w:val="0"/>
                <w:color w:val="000000"/>
                <w:sz w:val="21"/>
                <w:szCs w:val="21"/>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99D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除盐水二级反渗透膜</w:t>
            </w:r>
          </w:p>
        </w:tc>
        <w:tc>
          <w:tcPr>
            <w:tcW w:w="3074" w:type="dxa"/>
            <w:tcBorders>
              <w:top w:val="single" w:color="000000" w:sz="4" w:space="0"/>
              <w:left w:val="single" w:color="000000" w:sz="4" w:space="0"/>
              <w:bottom w:val="single" w:color="000000" w:sz="4" w:space="0"/>
              <w:right w:val="single" w:color="000000" w:sz="4" w:space="0"/>
            </w:tcBorders>
            <w:shd w:val="clear" w:color="auto" w:fill="73E3FF"/>
            <w:vAlign w:val="center"/>
          </w:tcPr>
          <w:p w14:paraId="0F0767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标准脱盐率99.8%，透过水量：11,000 (41.6)gpd (m3/d)，膜面积400(37)ft2(m2),给水流道宽度34mil,最高操作压力600psi (4.1MPa)</w:t>
            </w:r>
          </w:p>
        </w:tc>
        <w:tc>
          <w:tcPr>
            <w:tcW w:w="2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F65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杜邦DowBW30-400IG、美国海德能LFC3-LD 、东丽TM720D-400</w:t>
            </w:r>
          </w:p>
        </w:tc>
        <w:tc>
          <w:tcPr>
            <w:tcW w:w="129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3843CD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r>
      <w:tr w14:paraId="4A81C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433" w:hRule="atLeast"/>
        </w:trPr>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B73D1">
            <w:pPr>
              <w:jc w:val="center"/>
              <w:rPr>
                <w:rFonts w:hint="eastAsia" w:ascii="宋体" w:hAnsi="宋体" w:eastAsia="宋体" w:cs="宋体"/>
                <w:i w:val="0"/>
                <w:iCs w:val="0"/>
                <w:color w:val="000000"/>
                <w:sz w:val="21"/>
                <w:szCs w:val="21"/>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1C6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除盐水EDI膜堆</w:t>
            </w:r>
          </w:p>
        </w:tc>
        <w:tc>
          <w:tcPr>
            <w:tcW w:w="3074" w:type="dxa"/>
            <w:tcBorders>
              <w:top w:val="single" w:color="000000" w:sz="4" w:space="0"/>
              <w:left w:val="single" w:color="000000" w:sz="4" w:space="0"/>
              <w:bottom w:val="single" w:color="000000" w:sz="4" w:space="0"/>
              <w:right w:val="single" w:color="000000" w:sz="4" w:space="0"/>
            </w:tcBorders>
            <w:shd w:val="clear" w:color="auto" w:fill="73E3FF"/>
            <w:vAlign w:val="center"/>
          </w:tcPr>
          <w:p w14:paraId="475643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Aquacells EIMD-50DI ，单台EDI标准产水量≥5m3/h  最大流量:7m3/h,最小流量:2.5m3/h, 产水水质:&gt;16MΩ·cm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最大电压:0-500V,最大电流:0-6A,, Si02去除率:90%~99%</w:t>
            </w:r>
          </w:p>
        </w:tc>
        <w:tc>
          <w:tcPr>
            <w:tcW w:w="2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4E0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Veolia威立雅MK-5，IONPURE赛莱默，IP-LXM45Z-5  Aquacells EIMD-5</w:t>
            </w:r>
            <w:bookmarkStart w:id="11" w:name="_GoBack"/>
            <w:bookmarkEnd w:id="11"/>
            <w:r>
              <w:rPr>
                <w:rFonts w:hint="eastAsia" w:ascii="宋体" w:hAnsi="宋体" w:eastAsia="宋体" w:cs="宋体"/>
                <w:i w:val="0"/>
                <w:iCs w:val="0"/>
                <w:color w:val="000000"/>
                <w:kern w:val="0"/>
                <w:sz w:val="21"/>
                <w:szCs w:val="21"/>
                <w:u w:val="none"/>
                <w:lang w:val="en-US" w:eastAsia="zh-CN" w:bidi="ar"/>
              </w:rPr>
              <w:t>0DI</w:t>
            </w:r>
          </w:p>
        </w:tc>
        <w:tc>
          <w:tcPr>
            <w:tcW w:w="129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42F066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r>
      <w:tr w14:paraId="08059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433" w:hRule="atLeast"/>
        </w:trPr>
        <w:tc>
          <w:tcPr>
            <w:tcW w:w="116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362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洗烟废水处理系统</w:t>
            </w: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CDA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超滤</w:t>
            </w:r>
          </w:p>
        </w:tc>
        <w:tc>
          <w:tcPr>
            <w:tcW w:w="3074" w:type="dxa"/>
            <w:tcBorders>
              <w:top w:val="single" w:color="000000" w:sz="4" w:space="0"/>
              <w:left w:val="single" w:color="000000" w:sz="4" w:space="0"/>
              <w:bottom w:val="single" w:color="000000" w:sz="4" w:space="0"/>
              <w:right w:val="single" w:color="000000" w:sz="4" w:space="0"/>
            </w:tcBorders>
            <w:shd w:val="clear" w:color="auto" w:fill="73E3FF"/>
            <w:vAlign w:val="center"/>
          </w:tcPr>
          <w:p w14:paraId="0276A8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PALL颇尔 型号：PUF80PV50A,膜面积：50m2，重量：15kg组件长度：2441mm，膜元件直径：160 mm。膜丝：PVDF,最大系统压力：≤3.5bar，最大跨膜压差：3bar,25℃过滤通量:40-100LMH</w:t>
            </w:r>
          </w:p>
        </w:tc>
        <w:tc>
          <w:tcPr>
            <w:tcW w:w="2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E4E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杜邦DowSFP-2860、PALL颇尔PUF80PV50A、东丽HFU-2020N</w:t>
            </w:r>
          </w:p>
        </w:tc>
        <w:tc>
          <w:tcPr>
            <w:tcW w:w="129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00447C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r>
      <w:tr w14:paraId="74458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147" w:hRule="atLeast"/>
        </w:trPr>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4FC9E">
            <w:pPr>
              <w:jc w:val="center"/>
              <w:rPr>
                <w:rFonts w:hint="eastAsia" w:ascii="宋体" w:hAnsi="宋体" w:eastAsia="宋体" w:cs="宋体"/>
                <w:i w:val="0"/>
                <w:iCs w:val="0"/>
                <w:color w:val="000000"/>
                <w:sz w:val="21"/>
                <w:szCs w:val="21"/>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10B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反渗透系统</w:t>
            </w:r>
          </w:p>
        </w:tc>
        <w:tc>
          <w:tcPr>
            <w:tcW w:w="3074" w:type="dxa"/>
            <w:tcBorders>
              <w:top w:val="single" w:color="000000" w:sz="4" w:space="0"/>
              <w:left w:val="single" w:color="000000" w:sz="4" w:space="0"/>
              <w:bottom w:val="single" w:color="000000" w:sz="4" w:space="0"/>
              <w:right w:val="single" w:color="000000" w:sz="4" w:space="0"/>
            </w:tcBorders>
            <w:shd w:val="clear" w:color="auto" w:fill="73E3FF"/>
            <w:vAlign w:val="center"/>
          </w:tcPr>
          <w:p w14:paraId="1FC5EF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标准脱盐率99.8%，透过水量：2,600 (9.8)gpd (m3/d)，膜面积87 (8)ft2(m2),给水流道宽度31mil,最高操作压力600psi (4.1MPa)</w:t>
            </w:r>
          </w:p>
        </w:tc>
        <w:tc>
          <w:tcPr>
            <w:tcW w:w="2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363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杜邦DowBW30-4040、美国海德能PRO-LF1-4040、东丽TM710D</w:t>
            </w:r>
          </w:p>
        </w:tc>
        <w:tc>
          <w:tcPr>
            <w:tcW w:w="129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795F86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r>
      <w:tr w14:paraId="33FB6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020" w:hRule="atLeast"/>
        </w:trPr>
        <w:tc>
          <w:tcPr>
            <w:tcW w:w="11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B8A81">
            <w:pPr>
              <w:jc w:val="center"/>
              <w:rPr>
                <w:rFonts w:hint="eastAsia" w:ascii="宋体" w:hAnsi="宋体" w:eastAsia="宋体" w:cs="宋体"/>
                <w:i w:val="0"/>
                <w:iCs w:val="0"/>
                <w:color w:val="000000"/>
                <w:sz w:val="21"/>
                <w:szCs w:val="21"/>
                <w:u w:val="none"/>
              </w:rPr>
            </w:pP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582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洗烟废水STRO</w:t>
            </w:r>
          </w:p>
        </w:tc>
        <w:tc>
          <w:tcPr>
            <w:tcW w:w="3074" w:type="dxa"/>
            <w:tcBorders>
              <w:top w:val="single" w:color="000000" w:sz="4" w:space="0"/>
              <w:left w:val="single" w:color="000000" w:sz="4" w:space="0"/>
              <w:bottom w:val="single" w:color="000000" w:sz="4" w:space="0"/>
              <w:right w:val="single" w:color="000000" w:sz="4" w:space="0"/>
            </w:tcBorders>
            <w:shd w:val="clear" w:color="auto" w:fill="73E3FF"/>
            <w:vAlign w:val="center"/>
          </w:tcPr>
          <w:p w14:paraId="745D98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耐压上限：75bar（7.5MPa）标准产水量 900GPD（1.7m³/d 单支产水）,脱盐率：标准≥98.5%</w:t>
            </w:r>
          </w:p>
        </w:tc>
        <w:tc>
          <w:tcPr>
            <w:tcW w:w="2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120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aquazoom ST-L-RO4-0900、PALL颇尔PALL CUFSep-51、东丽ST-TM720-400</w:t>
            </w:r>
          </w:p>
        </w:tc>
        <w:tc>
          <w:tcPr>
            <w:tcW w:w="129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617E1C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r>
    </w:tbl>
    <w:p w14:paraId="1083DCEA">
      <w:pPr>
        <w:spacing w:before="120" w:after="120" w:line="288" w:lineRule="auto"/>
        <w:ind w:left="0"/>
        <w:jc w:val="left"/>
      </w:pPr>
    </w:p>
    <w:p w14:paraId="2A747B7F">
      <w:pPr>
        <w:spacing w:before="120" w:after="120" w:line="288" w:lineRule="auto"/>
        <w:ind w:left="0" w:leftChars="0" w:firstLine="418" w:firstLineChars="190"/>
        <w:jc w:val="left"/>
        <w:rPr>
          <w:rFonts w:hint="default" w:ascii="Arial" w:hAnsi="Arial" w:eastAsia="等线" w:cs="Arial"/>
          <w:sz w:val="22"/>
          <w:lang w:val="en-US" w:eastAsia="zh-CN"/>
        </w:rPr>
      </w:pPr>
      <w:bookmarkStart w:id="1" w:name="heading_2"/>
      <w:r>
        <w:rPr>
          <w:rFonts w:hint="eastAsia" w:ascii="Arial" w:hAnsi="Arial" w:eastAsia="等线" w:cs="Arial"/>
          <w:sz w:val="22"/>
          <w:lang w:val="en-US" w:eastAsia="zh-CN"/>
        </w:rPr>
        <w:t>以上膜配件需求清单为暂定需求，需方可以根据其实际需求，向供货方分批进行膜设备采购，直至合同内清单全部供货完毕或合同期（一年）满，二者以先到为准。供货方不得以单次需求数量少或者其他任何原因拒绝供货或加收任何费用。</w:t>
      </w:r>
    </w:p>
    <w:p w14:paraId="109DA8CE">
      <w:pPr>
        <w:spacing w:before="320" w:after="120" w:line="288" w:lineRule="auto"/>
        <w:ind w:left="0"/>
        <w:jc w:val="left"/>
        <w:outlineLvl w:val="1"/>
      </w:pPr>
      <w:r>
        <w:rPr>
          <w:rFonts w:ascii="Arial" w:hAnsi="Arial" w:eastAsia="等线" w:cs="Arial"/>
          <w:b/>
          <w:sz w:val="32"/>
        </w:rPr>
        <w:t>三、</w:t>
      </w:r>
      <w:r>
        <w:rPr>
          <w:rFonts w:hint="eastAsia" w:ascii="Arial" w:hAnsi="Arial" w:eastAsia="等线" w:cs="Arial"/>
          <w:b/>
          <w:sz w:val="32"/>
          <w:lang w:val="en-US" w:eastAsia="zh-CN"/>
        </w:rPr>
        <w:t>供货</w:t>
      </w:r>
      <w:r>
        <w:rPr>
          <w:rFonts w:ascii="Arial" w:hAnsi="Arial" w:eastAsia="等线" w:cs="Arial"/>
          <w:b/>
          <w:sz w:val="32"/>
        </w:rPr>
        <w:t>技术要求</w:t>
      </w:r>
      <w:bookmarkEnd w:id="1"/>
    </w:p>
    <w:p w14:paraId="07A7C995">
      <w:pPr>
        <w:spacing w:before="120" w:after="120" w:line="288" w:lineRule="auto"/>
        <w:ind w:left="0" w:leftChars="0" w:firstLine="418" w:firstLineChars="190"/>
        <w:jc w:val="left"/>
        <w:rPr>
          <w:rFonts w:hint="default" w:ascii="Arial" w:hAnsi="Arial" w:eastAsia="等线" w:cs="Arial"/>
          <w:sz w:val="22"/>
          <w:lang w:val="en-US" w:eastAsia="zh-CN"/>
        </w:rPr>
      </w:pPr>
      <w:r>
        <w:rPr>
          <w:rFonts w:hint="eastAsia" w:ascii="Arial" w:hAnsi="Arial" w:eastAsia="等线" w:cs="Arial"/>
          <w:sz w:val="22"/>
          <w:lang w:val="en-US" w:eastAsia="zh-CN"/>
        </w:rPr>
        <w:t>供方向需方提供膜设备备货、发货、运输和更换服务。需方配合供方进行膜配件更换。需方负责替换下来的旧膜的妥善处置。</w:t>
      </w:r>
    </w:p>
    <w:p w14:paraId="68BF1D5D">
      <w:pPr>
        <w:spacing w:before="300" w:after="120" w:line="288" w:lineRule="auto"/>
        <w:ind w:left="0"/>
        <w:jc w:val="left"/>
        <w:outlineLvl w:val="2"/>
      </w:pPr>
      <w:bookmarkStart w:id="2" w:name="heading_7"/>
      <w:r>
        <w:rPr>
          <w:rFonts w:hint="eastAsia" w:ascii="Arial" w:hAnsi="Arial" w:eastAsia="等线" w:cs="Arial"/>
          <w:b/>
          <w:sz w:val="30"/>
          <w:lang w:val="en-US" w:eastAsia="zh-CN"/>
        </w:rPr>
        <w:t>3.1、</w:t>
      </w:r>
      <w:r>
        <w:rPr>
          <w:rFonts w:ascii="Arial" w:hAnsi="Arial" w:eastAsia="等线" w:cs="Arial"/>
          <w:b/>
          <w:sz w:val="30"/>
        </w:rPr>
        <w:t xml:space="preserve"> 膜</w:t>
      </w:r>
      <w:r>
        <w:rPr>
          <w:rFonts w:hint="eastAsia" w:ascii="Arial" w:hAnsi="Arial" w:eastAsia="等线" w:cs="Arial"/>
          <w:b/>
          <w:sz w:val="30"/>
          <w:lang w:val="en-US" w:eastAsia="zh-CN"/>
        </w:rPr>
        <w:t>配件</w:t>
      </w:r>
      <w:r>
        <w:rPr>
          <w:rFonts w:ascii="Arial" w:hAnsi="Arial" w:eastAsia="等线" w:cs="Arial"/>
          <w:b/>
          <w:sz w:val="30"/>
        </w:rPr>
        <w:t>安装规范</w:t>
      </w:r>
      <w:bookmarkEnd w:id="2"/>
    </w:p>
    <w:p w14:paraId="5F189EFC">
      <w:pPr>
        <w:spacing w:before="120" w:after="120" w:line="288" w:lineRule="auto"/>
        <w:ind w:left="0" w:leftChars="0" w:firstLine="418" w:firstLineChars="190"/>
        <w:jc w:val="left"/>
        <w:rPr>
          <w:rFonts w:hint="eastAsia" w:eastAsia="等线"/>
          <w:lang w:eastAsia="zh-CN"/>
        </w:rPr>
      </w:pPr>
      <w:r>
        <w:rPr>
          <w:rFonts w:ascii="Arial" w:hAnsi="Arial" w:eastAsia="等线" w:cs="Arial"/>
          <w:sz w:val="22"/>
        </w:rPr>
        <w:t>膜</w:t>
      </w:r>
      <w:r>
        <w:rPr>
          <w:rFonts w:hint="eastAsia" w:ascii="Arial" w:hAnsi="Arial" w:eastAsia="等线" w:cs="Arial"/>
          <w:sz w:val="22"/>
          <w:lang w:val="en-US" w:eastAsia="zh-CN"/>
        </w:rPr>
        <w:t>配件</w:t>
      </w:r>
      <w:r>
        <w:rPr>
          <w:rFonts w:ascii="Arial" w:hAnsi="Arial" w:eastAsia="等线" w:cs="Arial"/>
          <w:sz w:val="22"/>
        </w:rPr>
        <w:t>为水处理</w:t>
      </w:r>
      <w:r>
        <w:rPr>
          <w:rFonts w:hint="eastAsia" w:ascii="Arial" w:hAnsi="Arial" w:eastAsia="等线" w:cs="Arial"/>
          <w:sz w:val="22"/>
          <w:lang w:val="en-US" w:eastAsia="zh-CN"/>
        </w:rPr>
        <w:t>膜处理</w:t>
      </w:r>
      <w:r>
        <w:rPr>
          <w:rFonts w:ascii="Arial" w:hAnsi="Arial" w:eastAsia="等线" w:cs="Arial"/>
          <w:sz w:val="22"/>
        </w:rPr>
        <w:t>系统核心部件，安装作业必须严格遵守规范要求，违规操作易造成膜元件损坏、性能衰减，甚至引发人员安全事故，施工人员需严格执行以下安装标准及注意事项</w:t>
      </w:r>
      <w:r>
        <w:rPr>
          <w:rFonts w:hint="eastAsia" w:ascii="Arial" w:hAnsi="Arial" w:eastAsia="等线" w:cs="Arial"/>
          <w:sz w:val="22"/>
          <w:lang w:eastAsia="zh-CN"/>
        </w:rPr>
        <w:t>：</w:t>
      </w:r>
    </w:p>
    <w:tbl>
      <w:tblPr>
        <w:tblStyle w:val="2"/>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2070"/>
        <w:gridCol w:w="2070"/>
        <w:gridCol w:w="2070"/>
        <w:gridCol w:w="2070"/>
      </w:tblGrid>
      <w:tr w14:paraId="13B33B4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PrEx>
        <w:tc>
          <w:tcPr>
            <w:tcW w:w="207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433908B">
            <w:pPr>
              <w:spacing w:before="120" w:after="120" w:line="288" w:lineRule="auto"/>
              <w:ind w:left="0"/>
              <w:jc w:val="left"/>
            </w:pPr>
            <w:r>
              <w:rPr>
                <w:rFonts w:ascii="Arial" w:hAnsi="Arial" w:eastAsia="等线" w:cs="Arial"/>
                <w:sz w:val="22"/>
              </w:rPr>
              <w:t>序号</w:t>
            </w:r>
          </w:p>
        </w:tc>
        <w:tc>
          <w:tcPr>
            <w:tcW w:w="207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382955C">
            <w:pPr>
              <w:spacing w:before="120" w:after="120" w:line="288" w:lineRule="auto"/>
              <w:ind w:left="0"/>
              <w:jc w:val="left"/>
            </w:pPr>
            <w:r>
              <w:rPr>
                <w:rFonts w:ascii="Arial" w:hAnsi="Arial" w:eastAsia="等线" w:cs="Arial"/>
                <w:sz w:val="22"/>
              </w:rPr>
              <w:t>注意事项</w:t>
            </w:r>
          </w:p>
        </w:tc>
        <w:tc>
          <w:tcPr>
            <w:tcW w:w="207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12A34BF">
            <w:pPr>
              <w:spacing w:before="120" w:after="120" w:line="288" w:lineRule="auto"/>
              <w:ind w:left="0"/>
              <w:jc w:val="left"/>
            </w:pPr>
            <w:r>
              <w:rPr>
                <w:rFonts w:ascii="Arial" w:hAnsi="Arial" w:eastAsia="等线" w:cs="Arial"/>
                <w:sz w:val="22"/>
              </w:rPr>
              <w:t>原因</w:t>
            </w:r>
          </w:p>
        </w:tc>
        <w:tc>
          <w:tcPr>
            <w:tcW w:w="207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EDD0813">
            <w:pPr>
              <w:spacing w:before="120" w:after="120" w:line="288" w:lineRule="auto"/>
              <w:ind w:left="0"/>
              <w:jc w:val="left"/>
            </w:pPr>
            <w:r>
              <w:rPr>
                <w:rFonts w:ascii="Arial" w:hAnsi="Arial" w:eastAsia="等线" w:cs="Arial"/>
                <w:sz w:val="22"/>
              </w:rPr>
              <w:t>影响程度</w:t>
            </w:r>
          </w:p>
        </w:tc>
      </w:tr>
      <w:tr w14:paraId="744C2FE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PrEx>
        <w:tc>
          <w:tcPr>
            <w:tcW w:w="207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A1CC42F">
            <w:pPr>
              <w:spacing w:before="120" w:after="120" w:line="288" w:lineRule="auto"/>
              <w:ind w:left="0"/>
              <w:jc w:val="left"/>
            </w:pPr>
            <w:r>
              <w:rPr>
                <w:rFonts w:ascii="Arial" w:hAnsi="Arial" w:eastAsia="等线" w:cs="Arial"/>
                <w:sz w:val="22"/>
              </w:rPr>
              <w:t>1</w:t>
            </w:r>
          </w:p>
        </w:tc>
        <w:tc>
          <w:tcPr>
            <w:tcW w:w="207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DD6A213">
            <w:pPr>
              <w:spacing w:before="120" w:after="120" w:line="288" w:lineRule="auto"/>
              <w:ind w:left="0"/>
              <w:jc w:val="left"/>
            </w:pPr>
            <w:r>
              <w:rPr>
                <w:rFonts w:ascii="Arial" w:hAnsi="Arial" w:eastAsia="等线" w:cs="Arial"/>
                <w:sz w:val="22"/>
              </w:rPr>
              <w:t>拆取膜元件包装袋时，使用剪刀或刀具操作，严禁划伤膜元件表面及操作人员手部。</w:t>
            </w:r>
          </w:p>
        </w:tc>
        <w:tc>
          <w:tcPr>
            <w:tcW w:w="207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D114355">
            <w:pPr>
              <w:spacing w:before="120" w:after="120" w:line="288" w:lineRule="auto"/>
              <w:ind w:left="0"/>
              <w:jc w:val="left"/>
            </w:pPr>
            <w:r>
              <w:rPr>
                <w:rFonts w:ascii="Arial" w:hAnsi="Arial" w:eastAsia="等线" w:cs="Arial"/>
                <w:sz w:val="22"/>
              </w:rPr>
              <w:t>刀具插入包装袋过深易划伤膜表面，用力过猛易割伤操作人员皮肤，损坏膜元件、引发人身伤害。</w:t>
            </w:r>
          </w:p>
        </w:tc>
        <w:tc>
          <w:tcPr>
            <w:tcW w:w="207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C5889E4">
            <w:pPr>
              <w:spacing w:before="120" w:after="120" w:line="288" w:lineRule="auto"/>
              <w:ind w:left="0"/>
              <w:jc w:val="left"/>
            </w:pPr>
            <w:r>
              <w:rPr>
                <w:rFonts w:ascii="Arial" w:hAnsi="Arial" w:eastAsia="等线" w:cs="Arial"/>
                <w:sz w:val="22"/>
              </w:rPr>
              <w:t>很高</w:t>
            </w:r>
          </w:p>
        </w:tc>
      </w:tr>
      <w:tr w14:paraId="1B98FCA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PrEx>
        <w:tc>
          <w:tcPr>
            <w:tcW w:w="207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9497CBE">
            <w:pPr>
              <w:spacing w:before="120" w:after="120" w:line="288" w:lineRule="auto"/>
              <w:ind w:left="0"/>
              <w:jc w:val="left"/>
            </w:pPr>
            <w:r>
              <w:rPr>
                <w:rFonts w:ascii="Arial" w:hAnsi="Arial" w:eastAsia="等线" w:cs="Arial"/>
                <w:sz w:val="22"/>
              </w:rPr>
              <w:t>2</w:t>
            </w:r>
          </w:p>
        </w:tc>
        <w:tc>
          <w:tcPr>
            <w:tcW w:w="207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6C1D4C1">
            <w:pPr>
              <w:spacing w:before="120" w:after="120" w:line="288" w:lineRule="auto"/>
              <w:ind w:left="0"/>
              <w:jc w:val="left"/>
            </w:pPr>
            <w:r>
              <w:rPr>
                <w:rFonts w:ascii="Arial" w:hAnsi="Arial" w:eastAsia="等线" w:cs="Arial"/>
                <w:sz w:val="22"/>
              </w:rPr>
              <w:t>膜元件包装袋内含有1%浓度亚硫酸氢钠保护液，拆包作业需在通风良好区域进行，全程佩戴防护眼镜及防护手套。</w:t>
            </w:r>
          </w:p>
        </w:tc>
        <w:tc>
          <w:tcPr>
            <w:tcW w:w="207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ECA79B7">
            <w:pPr>
              <w:spacing w:before="120" w:after="120" w:line="288" w:lineRule="auto"/>
              <w:ind w:left="0"/>
              <w:jc w:val="left"/>
            </w:pPr>
            <w:r>
              <w:rPr>
                <w:rFonts w:ascii="Arial" w:hAnsi="Arial" w:eastAsia="等线" w:cs="Arial"/>
                <w:sz w:val="22"/>
              </w:rPr>
              <w:t>保护液对人体存在刺激性危害，不慎入眼需立即用清水冲洗并及时就医；溅至皮肤、衣物需即刻清水冲洗，该液体不影响膜元件性能。</w:t>
            </w:r>
          </w:p>
        </w:tc>
        <w:tc>
          <w:tcPr>
            <w:tcW w:w="207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2947273">
            <w:pPr>
              <w:spacing w:before="120" w:after="120" w:line="288" w:lineRule="auto"/>
              <w:ind w:left="0"/>
              <w:jc w:val="left"/>
            </w:pPr>
            <w:r>
              <w:rPr>
                <w:rFonts w:ascii="Arial" w:hAnsi="Arial" w:eastAsia="等线" w:cs="Arial"/>
                <w:sz w:val="22"/>
              </w:rPr>
              <w:t>对设备无影响、对人体有危险</w:t>
            </w:r>
          </w:p>
        </w:tc>
      </w:tr>
      <w:tr w14:paraId="756A5BE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PrEx>
        <w:tc>
          <w:tcPr>
            <w:tcW w:w="207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15B71EB">
            <w:pPr>
              <w:spacing w:before="120" w:after="120" w:line="288" w:lineRule="auto"/>
              <w:ind w:left="0"/>
              <w:jc w:val="left"/>
            </w:pPr>
            <w:r>
              <w:rPr>
                <w:rFonts w:ascii="Arial" w:hAnsi="Arial" w:eastAsia="等线" w:cs="Arial"/>
                <w:sz w:val="22"/>
              </w:rPr>
              <w:t>3</w:t>
            </w:r>
          </w:p>
        </w:tc>
        <w:tc>
          <w:tcPr>
            <w:tcW w:w="207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F12F252">
            <w:pPr>
              <w:spacing w:before="120" w:after="120" w:line="288" w:lineRule="auto"/>
              <w:ind w:left="0"/>
              <w:jc w:val="left"/>
            </w:pPr>
            <w:r>
              <w:rPr>
                <w:rFonts w:ascii="Arial" w:hAnsi="Arial" w:eastAsia="等线" w:cs="Arial"/>
                <w:sz w:val="22"/>
              </w:rPr>
              <w:t>安装时，连接部位密封圈仅可用清洁水或甘油沾湿润滑；严禁使用石油类润滑剂、润滑脂、凡士林、洗涤剂、汽油、稀释剂等介质。</w:t>
            </w:r>
          </w:p>
        </w:tc>
        <w:tc>
          <w:tcPr>
            <w:tcW w:w="207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5F2E430">
            <w:pPr>
              <w:spacing w:before="120" w:after="120" w:line="288" w:lineRule="auto"/>
              <w:ind w:left="0"/>
              <w:jc w:val="left"/>
            </w:pPr>
            <w:r>
              <w:rPr>
                <w:rFonts w:ascii="Arial" w:hAnsi="Arial" w:eastAsia="等线" w:cs="Arial"/>
                <w:sz w:val="22"/>
              </w:rPr>
              <w:t>设备集水管为塑料材质，违规使用各类禁用介质会导致管路快速裂化、老化，同时会造成膜元件性能大幅下降，影响系统运行效果。</w:t>
            </w:r>
          </w:p>
        </w:tc>
        <w:tc>
          <w:tcPr>
            <w:tcW w:w="207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64282A3">
            <w:pPr>
              <w:spacing w:before="120" w:after="120" w:line="288" w:lineRule="auto"/>
              <w:ind w:left="0"/>
              <w:jc w:val="left"/>
            </w:pPr>
            <w:r>
              <w:rPr>
                <w:rFonts w:ascii="Arial" w:hAnsi="Arial" w:eastAsia="等线" w:cs="Arial"/>
                <w:sz w:val="22"/>
              </w:rPr>
              <w:t>极高</w:t>
            </w:r>
          </w:p>
        </w:tc>
      </w:tr>
      <w:tr w14:paraId="7793931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PrEx>
        <w:tc>
          <w:tcPr>
            <w:tcW w:w="207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0226BB9">
            <w:pPr>
              <w:spacing w:before="120" w:after="120" w:line="288" w:lineRule="auto"/>
              <w:ind w:left="0"/>
              <w:jc w:val="left"/>
            </w:pPr>
            <w:r>
              <w:rPr>
                <w:rFonts w:ascii="Arial" w:hAnsi="Arial" w:eastAsia="等线" w:cs="Arial"/>
                <w:sz w:val="22"/>
              </w:rPr>
              <w:t>4</w:t>
            </w:r>
          </w:p>
        </w:tc>
        <w:tc>
          <w:tcPr>
            <w:tcW w:w="207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7F8F9A6">
            <w:pPr>
              <w:spacing w:before="120" w:after="120" w:line="288" w:lineRule="auto"/>
              <w:ind w:left="0"/>
              <w:jc w:val="left"/>
            </w:pPr>
            <w:r>
              <w:rPr>
                <w:rFonts w:ascii="Arial" w:hAnsi="Arial" w:eastAsia="等线" w:cs="Arial"/>
                <w:sz w:val="22"/>
              </w:rPr>
              <w:t>轻拿轻放膜元件，严禁乱扔、摔落、磕碰膜元件。</w:t>
            </w:r>
          </w:p>
        </w:tc>
        <w:tc>
          <w:tcPr>
            <w:tcW w:w="207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A6AFC05">
            <w:pPr>
              <w:spacing w:before="120" w:after="120" w:line="288" w:lineRule="auto"/>
              <w:ind w:left="0"/>
              <w:jc w:val="left"/>
            </w:pPr>
            <w:r>
              <w:rPr>
                <w:rFonts w:ascii="Arial" w:hAnsi="Arial" w:eastAsia="等线" w:cs="Arial"/>
                <w:sz w:val="22"/>
              </w:rPr>
              <w:t>膜元件受撞击、摔落损伤后，会直接导致过滤、脱盐性能衰减，缩短设备使用寿命。</w:t>
            </w:r>
          </w:p>
        </w:tc>
        <w:tc>
          <w:tcPr>
            <w:tcW w:w="207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4B219DC">
            <w:pPr>
              <w:spacing w:before="120" w:after="120" w:line="288" w:lineRule="auto"/>
              <w:ind w:left="0"/>
              <w:jc w:val="left"/>
            </w:pPr>
            <w:r>
              <w:rPr>
                <w:rFonts w:ascii="Arial" w:hAnsi="Arial" w:eastAsia="等线" w:cs="Arial"/>
                <w:sz w:val="22"/>
              </w:rPr>
              <w:t>很高</w:t>
            </w:r>
          </w:p>
        </w:tc>
      </w:tr>
      <w:tr w14:paraId="24FCDB9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PrEx>
        <w:tc>
          <w:tcPr>
            <w:tcW w:w="207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5351BA8">
            <w:pPr>
              <w:spacing w:before="120" w:after="120" w:line="288" w:lineRule="auto"/>
              <w:ind w:left="0"/>
              <w:jc w:val="left"/>
            </w:pPr>
            <w:r>
              <w:rPr>
                <w:rFonts w:ascii="Arial" w:hAnsi="Arial" w:eastAsia="等线" w:cs="Arial"/>
                <w:sz w:val="22"/>
              </w:rPr>
              <w:t>5</w:t>
            </w:r>
          </w:p>
        </w:tc>
        <w:tc>
          <w:tcPr>
            <w:tcW w:w="207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D8477C3">
            <w:pPr>
              <w:spacing w:before="120" w:after="120" w:line="288" w:lineRule="auto"/>
              <w:ind w:left="0"/>
              <w:jc w:val="left"/>
            </w:pPr>
            <w:r>
              <w:rPr>
                <w:rFonts w:ascii="Arial" w:hAnsi="Arial" w:eastAsia="等线" w:cs="Arial"/>
                <w:sz w:val="22"/>
              </w:rPr>
              <w:t>严禁使用锤子敲击、野蛮蛮力安装膜元件及配套部件。</w:t>
            </w:r>
          </w:p>
        </w:tc>
        <w:tc>
          <w:tcPr>
            <w:tcW w:w="207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868547C">
            <w:pPr>
              <w:spacing w:before="120" w:after="120" w:line="288" w:lineRule="auto"/>
              <w:ind w:left="0"/>
              <w:jc w:val="left"/>
            </w:pPr>
            <w:r>
              <w:rPr>
                <w:rFonts w:ascii="Arial" w:hAnsi="Arial" w:eastAsia="等线" w:cs="Arial"/>
                <w:sz w:val="22"/>
              </w:rPr>
              <w:t>野蛮安装易造成玻璃钢膜壳破裂、膜元件结构损伤，无法保障设备安装精度与运行性能。</w:t>
            </w:r>
          </w:p>
        </w:tc>
        <w:tc>
          <w:tcPr>
            <w:tcW w:w="207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BBB7E80">
            <w:pPr>
              <w:spacing w:before="120" w:after="120" w:line="288" w:lineRule="auto"/>
              <w:ind w:left="0"/>
              <w:jc w:val="left"/>
            </w:pPr>
            <w:r>
              <w:rPr>
                <w:rFonts w:ascii="Arial" w:hAnsi="Arial" w:eastAsia="等线" w:cs="Arial"/>
                <w:sz w:val="22"/>
              </w:rPr>
              <w:t>很高</w:t>
            </w:r>
          </w:p>
        </w:tc>
      </w:tr>
    </w:tbl>
    <w:p w14:paraId="154A55A9">
      <w:pPr>
        <w:spacing w:before="260" w:after="120" w:line="288" w:lineRule="auto"/>
        <w:ind w:left="0"/>
        <w:jc w:val="left"/>
        <w:outlineLvl w:val="3"/>
      </w:pPr>
      <w:bookmarkStart w:id="3" w:name="heading_9"/>
      <w:r>
        <w:rPr>
          <w:rFonts w:hint="eastAsia" w:ascii="Arial" w:hAnsi="Arial" w:eastAsia="等线" w:cs="Arial"/>
          <w:b/>
          <w:sz w:val="28"/>
          <w:lang w:val="en-US" w:eastAsia="zh-CN"/>
        </w:rPr>
        <w:t>3.2</w:t>
      </w:r>
      <w:r>
        <w:rPr>
          <w:rFonts w:ascii="Arial" w:hAnsi="Arial" w:eastAsia="等线" w:cs="Arial"/>
          <w:b/>
          <w:sz w:val="28"/>
        </w:rPr>
        <w:t xml:space="preserve"> 膜元件安装前准备</w:t>
      </w:r>
      <w:bookmarkEnd w:id="3"/>
    </w:p>
    <w:p w14:paraId="3D47F489">
      <w:pPr>
        <w:spacing w:before="120" w:after="120" w:line="288" w:lineRule="auto"/>
        <w:ind w:left="0"/>
        <w:jc w:val="left"/>
      </w:pPr>
      <w:r>
        <w:rPr>
          <w:rFonts w:hint="eastAsia" w:ascii="Arial" w:hAnsi="Arial" w:eastAsia="等线" w:cs="Arial"/>
          <w:sz w:val="22"/>
          <w:lang w:val="en-US" w:eastAsia="zh-CN"/>
        </w:rPr>
        <w:t>3</w:t>
      </w:r>
      <w:r>
        <w:rPr>
          <w:rFonts w:ascii="Arial" w:hAnsi="Arial" w:eastAsia="等线" w:cs="Arial"/>
          <w:sz w:val="22"/>
        </w:rPr>
        <w:t>.</w:t>
      </w:r>
      <w:r>
        <w:rPr>
          <w:rFonts w:hint="eastAsia" w:ascii="Arial" w:hAnsi="Arial" w:eastAsia="等线" w:cs="Arial"/>
          <w:sz w:val="22"/>
          <w:lang w:val="en-US" w:eastAsia="zh-CN"/>
        </w:rPr>
        <w:t>2</w:t>
      </w:r>
      <w:r>
        <w:rPr>
          <w:rFonts w:ascii="Arial" w:hAnsi="Arial" w:eastAsia="等线" w:cs="Arial"/>
          <w:sz w:val="22"/>
        </w:rPr>
        <w:t>.1 管路冲洗：膜元件安装前，必须彻底冲洗系统所有管路，全面清除管道内颗粒杂质、施工碎片、污垢杂物，避免杂质接触、损伤新膜元件。</w:t>
      </w:r>
    </w:p>
    <w:p w14:paraId="1938D446">
      <w:pPr>
        <w:spacing w:before="120" w:after="120" w:line="288" w:lineRule="auto"/>
        <w:ind w:left="0"/>
        <w:jc w:val="left"/>
      </w:pPr>
      <w:r>
        <w:rPr>
          <w:rFonts w:hint="eastAsia" w:ascii="Arial" w:hAnsi="Arial" w:eastAsia="等线" w:cs="Arial"/>
          <w:sz w:val="22"/>
          <w:lang w:val="en-US" w:eastAsia="zh-CN"/>
        </w:rPr>
        <w:t>3</w:t>
      </w:r>
      <w:r>
        <w:rPr>
          <w:rFonts w:ascii="Arial" w:hAnsi="Arial" w:eastAsia="等线" w:cs="Arial"/>
          <w:sz w:val="22"/>
        </w:rPr>
        <w:t>.</w:t>
      </w:r>
      <w:r>
        <w:rPr>
          <w:rFonts w:hint="eastAsia" w:ascii="Arial" w:hAnsi="Arial" w:eastAsia="等线" w:cs="Arial"/>
          <w:sz w:val="22"/>
          <w:lang w:val="en-US" w:eastAsia="zh-CN"/>
        </w:rPr>
        <w:t>2</w:t>
      </w:r>
      <w:r>
        <w:rPr>
          <w:rFonts w:ascii="Arial" w:hAnsi="Arial" w:eastAsia="等线" w:cs="Arial"/>
          <w:sz w:val="22"/>
        </w:rPr>
        <w:t>.2 膜壳清洁：清理压力容器内部污垢、残留碎片，采用海绵蘸取50%甘油溶液，使用专用工具轻柔擦洗膜壳内壁，确保内壁洁净无杂物；清洁过程严禁工具划伤膜壳内表面。</w:t>
      </w:r>
    </w:p>
    <w:p w14:paraId="76EEB98E">
      <w:pPr>
        <w:spacing w:before="260" w:after="120" w:line="288" w:lineRule="auto"/>
        <w:ind w:left="0"/>
        <w:jc w:val="left"/>
        <w:outlineLvl w:val="3"/>
      </w:pPr>
      <w:bookmarkStart w:id="4" w:name="heading_10"/>
      <w:r>
        <w:rPr>
          <w:rFonts w:hint="eastAsia" w:ascii="Arial" w:hAnsi="Arial" w:eastAsia="等线" w:cs="Arial"/>
          <w:b/>
          <w:sz w:val="28"/>
          <w:lang w:val="en-US" w:eastAsia="zh-CN"/>
        </w:rPr>
        <w:t>3</w:t>
      </w:r>
      <w:r>
        <w:rPr>
          <w:rFonts w:ascii="Arial" w:hAnsi="Arial" w:eastAsia="等线" w:cs="Arial"/>
          <w:b/>
          <w:sz w:val="28"/>
        </w:rPr>
        <w:t>.</w:t>
      </w:r>
      <w:r>
        <w:rPr>
          <w:rFonts w:hint="eastAsia" w:ascii="Arial" w:hAnsi="Arial" w:eastAsia="等线" w:cs="Arial"/>
          <w:b/>
          <w:sz w:val="28"/>
          <w:lang w:val="en-US" w:eastAsia="zh-CN"/>
        </w:rPr>
        <w:t>3</w:t>
      </w:r>
      <w:r>
        <w:rPr>
          <w:rFonts w:ascii="Arial" w:hAnsi="Arial" w:eastAsia="等线" w:cs="Arial"/>
          <w:b/>
          <w:sz w:val="28"/>
        </w:rPr>
        <w:t xml:space="preserve"> 膜元件安装顺序</w:t>
      </w:r>
      <w:bookmarkEnd w:id="4"/>
    </w:p>
    <w:p w14:paraId="3CDE4BBB">
      <w:pPr>
        <w:spacing w:before="120" w:after="120" w:line="288" w:lineRule="auto"/>
        <w:ind w:left="0"/>
        <w:jc w:val="left"/>
      </w:pPr>
      <w:r>
        <w:rPr>
          <w:rFonts w:hint="eastAsia" w:ascii="Arial" w:hAnsi="Arial" w:eastAsia="等线" w:cs="Arial"/>
          <w:sz w:val="22"/>
          <w:lang w:val="en-US" w:eastAsia="zh-CN"/>
        </w:rPr>
        <w:t>3</w:t>
      </w:r>
      <w:r>
        <w:rPr>
          <w:rFonts w:ascii="Arial" w:hAnsi="Arial" w:eastAsia="等线" w:cs="Arial"/>
          <w:sz w:val="22"/>
        </w:rPr>
        <w:t>.</w:t>
      </w:r>
      <w:r>
        <w:rPr>
          <w:rFonts w:hint="eastAsia" w:ascii="Arial" w:hAnsi="Arial" w:eastAsia="等线" w:cs="Arial"/>
          <w:sz w:val="22"/>
          <w:lang w:val="en-US" w:eastAsia="zh-CN"/>
        </w:rPr>
        <w:t>3</w:t>
      </w:r>
      <w:r>
        <w:rPr>
          <w:rFonts w:ascii="Arial" w:hAnsi="Arial" w:eastAsia="等线" w:cs="Arial"/>
          <w:sz w:val="22"/>
        </w:rPr>
        <w:t>.1 新膜元件储存于1%浓度亚硫酸氢钠保护液中，安装前需用洁净清水充分冲洗膜元件，去除表面残留保护液。</w:t>
      </w:r>
    </w:p>
    <w:p w14:paraId="292236CD">
      <w:pPr>
        <w:spacing w:before="120" w:after="120" w:line="288" w:lineRule="auto"/>
        <w:ind w:left="0"/>
        <w:jc w:val="left"/>
      </w:pPr>
      <w:r>
        <w:rPr>
          <w:rFonts w:hint="eastAsia" w:ascii="Arial" w:hAnsi="Arial" w:eastAsia="等线" w:cs="Arial"/>
          <w:sz w:val="22"/>
          <w:lang w:val="en-US" w:eastAsia="zh-CN"/>
        </w:rPr>
        <w:t>3</w:t>
      </w:r>
      <w:r>
        <w:rPr>
          <w:rFonts w:ascii="Arial" w:hAnsi="Arial" w:eastAsia="等线" w:cs="Arial"/>
          <w:sz w:val="22"/>
        </w:rPr>
        <w:t>.</w:t>
      </w:r>
      <w:r>
        <w:rPr>
          <w:rFonts w:hint="eastAsia" w:ascii="Arial" w:hAnsi="Arial" w:eastAsia="等线" w:cs="Arial"/>
          <w:sz w:val="22"/>
          <w:lang w:val="en-US" w:eastAsia="zh-CN"/>
        </w:rPr>
        <w:t>3</w:t>
      </w:r>
      <w:r>
        <w:rPr>
          <w:rFonts w:ascii="Arial" w:hAnsi="Arial" w:eastAsia="等线" w:cs="Arial"/>
          <w:sz w:val="22"/>
        </w:rPr>
        <w:t>.2 精准把控浓水密封圈安装方向，膜元件给水侧浓水密封圈需开口朝上游张开安装，确保原水全部进入膜元件内部、无旁流；利用原水流动压力使密封圈紧密贴合膜壳内壁，杜绝因安装反向导致原水侧流、膜表面流速降低、结垢滋生等问题，保障膜元件使用寿命。</w:t>
      </w:r>
    </w:p>
    <w:p w14:paraId="75D112B0">
      <w:pPr>
        <w:spacing w:before="120" w:after="120" w:line="288" w:lineRule="auto"/>
        <w:ind w:left="0"/>
        <w:jc w:val="left"/>
      </w:pPr>
      <w:r>
        <w:rPr>
          <w:rFonts w:hint="eastAsia" w:ascii="Arial" w:hAnsi="Arial" w:eastAsia="等线" w:cs="Arial"/>
          <w:sz w:val="22"/>
          <w:lang w:val="en-US" w:eastAsia="zh-CN"/>
        </w:rPr>
        <w:t>3</w:t>
      </w:r>
      <w:r>
        <w:rPr>
          <w:rFonts w:ascii="Arial" w:hAnsi="Arial" w:eastAsia="等线" w:cs="Arial"/>
          <w:sz w:val="22"/>
        </w:rPr>
        <w:t>.</w:t>
      </w:r>
      <w:r>
        <w:rPr>
          <w:rFonts w:hint="eastAsia" w:ascii="Arial" w:hAnsi="Arial" w:eastAsia="等线" w:cs="Arial"/>
          <w:sz w:val="22"/>
          <w:lang w:val="en-US" w:eastAsia="zh-CN"/>
        </w:rPr>
        <w:t>3</w:t>
      </w:r>
      <w:r>
        <w:rPr>
          <w:rFonts w:ascii="Arial" w:hAnsi="Arial" w:eastAsia="等线" w:cs="Arial"/>
          <w:sz w:val="22"/>
        </w:rPr>
        <w:t>.3 检查O型圈安装位置，确保配件表面无划伤、无附着物，严禁扭曲安装O型圈；安装前用纯水、蒸馏水或甘油沾湿O型圈及集水管表面，保证安装贴合紧密、密封完好，避免因密封失效导致产水水质下降。</w:t>
      </w:r>
    </w:p>
    <w:p w14:paraId="33B19CBE">
      <w:pPr>
        <w:spacing w:before="120" w:after="120" w:line="288" w:lineRule="auto"/>
        <w:ind w:left="0"/>
        <w:jc w:val="left"/>
      </w:pPr>
      <w:r>
        <w:rPr>
          <w:rFonts w:hint="eastAsia" w:ascii="Arial" w:hAnsi="Arial" w:eastAsia="等线" w:cs="Arial"/>
          <w:sz w:val="22"/>
          <w:lang w:val="en-US" w:eastAsia="zh-CN"/>
        </w:rPr>
        <w:t>3.3</w:t>
      </w:r>
      <w:r>
        <w:rPr>
          <w:rFonts w:ascii="Arial" w:hAnsi="Arial" w:eastAsia="等线" w:cs="Arial"/>
          <w:sz w:val="22"/>
        </w:rPr>
        <w:t>.4 拆卸压力容器两侧端板，将适配器安装至首支膜元件集水管浓水侧（下游），严格按照原水水流方向，将膜元件平稳推入压力容器内。多支膜元件连续安装时，前一支膜元件完全入壳前，提前对接下一支膜元件连接件，全程避免膜元件与压力容器边缘磕碰、擦伤，保持平行推入状态。</w:t>
      </w:r>
    </w:p>
    <w:p w14:paraId="356ABF98">
      <w:pPr>
        <w:spacing w:before="120" w:after="120" w:line="288" w:lineRule="auto"/>
        <w:ind w:left="0"/>
        <w:jc w:val="left"/>
      </w:pPr>
      <w:r>
        <w:rPr>
          <w:rFonts w:hint="eastAsia" w:ascii="Arial" w:hAnsi="Arial" w:eastAsia="等线" w:cs="Arial"/>
          <w:sz w:val="22"/>
          <w:lang w:val="en-US" w:eastAsia="zh-CN"/>
        </w:rPr>
        <w:t>3</w:t>
      </w:r>
      <w:r>
        <w:rPr>
          <w:rFonts w:ascii="Arial" w:hAnsi="Arial" w:eastAsia="等线" w:cs="Arial"/>
          <w:sz w:val="22"/>
        </w:rPr>
        <w:t>.</w:t>
      </w:r>
      <w:r>
        <w:rPr>
          <w:rFonts w:hint="eastAsia" w:ascii="Arial" w:hAnsi="Arial" w:eastAsia="等线" w:cs="Arial"/>
          <w:sz w:val="22"/>
          <w:lang w:val="en-US" w:eastAsia="zh-CN"/>
        </w:rPr>
        <w:t>3</w:t>
      </w:r>
      <w:r>
        <w:rPr>
          <w:rFonts w:ascii="Arial" w:hAnsi="Arial" w:eastAsia="等线" w:cs="Arial"/>
          <w:sz w:val="22"/>
        </w:rPr>
        <w:t>.5 全部膜元件及适配器对接完成后，紧固连接压力容器浓水侧端板。</w:t>
      </w:r>
    </w:p>
    <w:p w14:paraId="08827EF9">
      <w:pPr>
        <w:spacing w:before="120" w:after="120" w:line="288" w:lineRule="auto"/>
        <w:ind w:left="0"/>
        <w:jc w:val="left"/>
      </w:pPr>
      <w:r>
        <w:rPr>
          <w:rFonts w:hint="eastAsia" w:ascii="Arial" w:hAnsi="Arial" w:eastAsia="等线" w:cs="Arial"/>
          <w:sz w:val="22"/>
          <w:lang w:val="en-US" w:eastAsia="zh-CN"/>
        </w:rPr>
        <w:t>3</w:t>
      </w:r>
      <w:r>
        <w:rPr>
          <w:rFonts w:ascii="Arial" w:hAnsi="Arial" w:eastAsia="等线" w:cs="Arial"/>
          <w:sz w:val="22"/>
        </w:rPr>
        <w:t>.</w:t>
      </w:r>
      <w:r>
        <w:rPr>
          <w:rFonts w:hint="eastAsia" w:ascii="Arial" w:hAnsi="Arial" w:eastAsia="等线" w:cs="Arial"/>
          <w:sz w:val="22"/>
          <w:lang w:val="en-US" w:eastAsia="zh-CN"/>
        </w:rPr>
        <w:t>3</w:t>
      </w:r>
      <w:r>
        <w:rPr>
          <w:rFonts w:ascii="Arial" w:hAnsi="Arial" w:eastAsia="等线" w:cs="Arial"/>
          <w:sz w:val="22"/>
        </w:rPr>
        <w:t>.6 浓水侧端板安装完毕后，再次从进水侧向浓水侧轻推膜元件，确保所有膜元件、连接件紧密贴合、无间隙；随后安装进水侧端板，精准测量端板与适配器间隙。若存在间隙，加装1/4”-1/8”厚度的塑料或适配材质垫片微调，调试至最佳贴合状态后固定端板，保障整体安装精度。</w:t>
      </w:r>
    </w:p>
    <w:p w14:paraId="3A9B27B5">
      <w:pPr>
        <w:spacing w:before="320" w:after="120" w:line="288" w:lineRule="auto"/>
        <w:ind w:left="0"/>
        <w:jc w:val="left"/>
        <w:outlineLvl w:val="1"/>
      </w:pPr>
      <w:bookmarkStart w:id="5" w:name="heading_11"/>
      <w:r>
        <w:rPr>
          <w:rFonts w:ascii="Arial" w:hAnsi="Arial" w:eastAsia="等线" w:cs="Arial"/>
          <w:b/>
          <w:sz w:val="32"/>
        </w:rPr>
        <w:t>四、质量保证体系</w:t>
      </w:r>
      <w:bookmarkEnd w:id="5"/>
    </w:p>
    <w:p w14:paraId="0276D4AF">
      <w:pPr>
        <w:spacing w:before="300" w:after="120" w:line="288" w:lineRule="auto"/>
        <w:ind w:left="0"/>
        <w:jc w:val="left"/>
        <w:outlineLvl w:val="2"/>
        <w:rPr>
          <w:rFonts w:hint="default" w:eastAsia="等线"/>
          <w:lang w:val="en-US" w:eastAsia="zh-CN"/>
        </w:rPr>
      </w:pPr>
      <w:bookmarkStart w:id="6" w:name="heading_12"/>
      <w:r>
        <w:rPr>
          <w:rFonts w:hint="eastAsia" w:ascii="Arial" w:hAnsi="Arial" w:eastAsia="等线" w:cs="Arial"/>
          <w:b/>
          <w:sz w:val="30"/>
          <w:lang w:val="en-US" w:eastAsia="zh-CN"/>
        </w:rPr>
        <w:t>4.</w:t>
      </w:r>
      <w:r>
        <w:rPr>
          <w:rFonts w:ascii="Arial" w:hAnsi="Arial" w:eastAsia="等线" w:cs="Arial"/>
          <w:b/>
          <w:sz w:val="30"/>
        </w:rPr>
        <w:t>1</w:t>
      </w:r>
      <w:r>
        <w:rPr>
          <w:rFonts w:hint="eastAsia" w:ascii="Arial" w:hAnsi="Arial" w:eastAsia="等线" w:cs="Arial"/>
          <w:b/>
          <w:sz w:val="30"/>
          <w:lang w:eastAsia="zh-CN"/>
        </w:rPr>
        <w:t>、</w:t>
      </w:r>
      <w:r>
        <w:rPr>
          <w:rFonts w:ascii="Arial" w:hAnsi="Arial" w:eastAsia="等线" w:cs="Arial"/>
          <w:b/>
          <w:sz w:val="30"/>
        </w:rPr>
        <w:t xml:space="preserve"> 质量保证</w:t>
      </w:r>
      <w:bookmarkEnd w:id="6"/>
      <w:r>
        <w:rPr>
          <w:rFonts w:hint="eastAsia" w:ascii="Arial" w:hAnsi="Arial" w:eastAsia="等线" w:cs="Arial"/>
          <w:b/>
          <w:sz w:val="30"/>
          <w:lang w:val="en-US" w:eastAsia="zh-CN"/>
        </w:rPr>
        <w:t>及售后服务</w:t>
      </w:r>
    </w:p>
    <w:p w14:paraId="4A6272BA">
      <w:pPr>
        <w:spacing w:before="120" w:after="120" w:line="288" w:lineRule="auto"/>
        <w:ind w:left="0"/>
        <w:jc w:val="left"/>
      </w:pPr>
      <w:r>
        <w:rPr>
          <w:rFonts w:hint="eastAsia" w:ascii="Arial" w:hAnsi="Arial" w:eastAsia="等线" w:cs="Arial"/>
          <w:sz w:val="22"/>
          <w:lang w:val="en-US" w:eastAsia="zh-CN"/>
        </w:rPr>
        <w:t>4.1.1</w:t>
      </w:r>
      <w:r>
        <w:rPr>
          <w:rFonts w:ascii="Arial" w:hAnsi="Arial" w:eastAsia="等线" w:cs="Arial"/>
          <w:sz w:val="22"/>
        </w:rPr>
        <w:t>质保期：</w:t>
      </w:r>
      <w:r>
        <w:rPr>
          <w:rFonts w:hint="eastAsia" w:ascii="Arial" w:hAnsi="Arial" w:eastAsia="等线" w:cs="Arial"/>
          <w:sz w:val="22"/>
          <w:lang w:val="en-US" w:eastAsia="zh-CN"/>
        </w:rPr>
        <w:t>自单批次配件供货、安装完毕并经采购人验收合格之日起，供应商须为该批次</w:t>
      </w:r>
      <w:r>
        <w:rPr>
          <w:rFonts w:ascii="Arial" w:hAnsi="Arial" w:eastAsia="等线" w:cs="Arial"/>
          <w:sz w:val="22"/>
        </w:rPr>
        <w:t>膜元件提供</w:t>
      </w:r>
      <w:r>
        <w:rPr>
          <w:rFonts w:hint="eastAsia" w:ascii="Arial" w:hAnsi="Arial" w:eastAsia="等线" w:cs="Arial"/>
          <w:sz w:val="22"/>
          <w:lang w:val="en-US" w:eastAsia="zh-CN"/>
        </w:rPr>
        <w:t>12个月</w:t>
      </w:r>
      <w:r>
        <w:rPr>
          <w:rFonts w:ascii="Arial" w:hAnsi="Arial" w:eastAsia="等线" w:cs="Arial"/>
          <w:sz w:val="22"/>
        </w:rPr>
        <w:t>的免费更换质保服务。</w:t>
      </w:r>
    </w:p>
    <w:p w14:paraId="6BF3BFE2">
      <w:pPr>
        <w:spacing w:before="120" w:after="120" w:line="288" w:lineRule="auto"/>
        <w:ind w:left="0"/>
        <w:jc w:val="left"/>
      </w:pPr>
      <w:r>
        <w:rPr>
          <w:rFonts w:hint="eastAsia" w:ascii="Arial" w:hAnsi="Arial" w:eastAsia="等线" w:cs="Arial"/>
          <w:sz w:val="22"/>
          <w:lang w:val="en-US" w:eastAsia="zh-CN"/>
        </w:rPr>
        <w:t>4.</w:t>
      </w:r>
      <w:r>
        <w:rPr>
          <w:rFonts w:ascii="Arial" w:hAnsi="Arial" w:eastAsia="等线" w:cs="Arial"/>
          <w:sz w:val="22"/>
        </w:rPr>
        <w:t>1.2 供应商需全面保障</w:t>
      </w:r>
      <w:r>
        <w:rPr>
          <w:rFonts w:hint="eastAsia" w:ascii="Arial" w:hAnsi="Arial" w:eastAsia="等线" w:cs="Arial"/>
          <w:sz w:val="22"/>
          <w:lang w:val="en-US" w:eastAsia="zh-CN"/>
        </w:rPr>
        <w:t>配件</w:t>
      </w:r>
      <w:r>
        <w:rPr>
          <w:rFonts w:ascii="Arial" w:hAnsi="Arial" w:eastAsia="等线" w:cs="Arial"/>
          <w:sz w:val="22"/>
        </w:rPr>
        <w:t>产品质量，</w:t>
      </w:r>
      <w:r>
        <w:rPr>
          <w:rFonts w:hint="eastAsia" w:ascii="Arial" w:hAnsi="Arial" w:eastAsia="等线" w:cs="Arial"/>
          <w:sz w:val="22"/>
          <w:lang w:val="en-US" w:eastAsia="zh-CN"/>
        </w:rPr>
        <w:t>配件</w:t>
      </w:r>
      <w:r>
        <w:rPr>
          <w:rFonts w:ascii="Arial" w:hAnsi="Arial" w:eastAsia="等线" w:cs="Arial"/>
          <w:sz w:val="22"/>
        </w:rPr>
        <w:t>交货前，须完成所有部件的出厂检查、性能试验，确保设备设计、制造、性能完全符合国家行业规范及本技术需求标准。</w:t>
      </w:r>
    </w:p>
    <w:p w14:paraId="19A54640">
      <w:pPr>
        <w:spacing w:before="120" w:after="120" w:line="288" w:lineRule="auto"/>
        <w:ind w:left="0"/>
        <w:jc w:val="left"/>
      </w:pPr>
      <w:r>
        <w:rPr>
          <w:rFonts w:hint="eastAsia" w:ascii="Arial" w:hAnsi="Arial" w:eastAsia="等线" w:cs="Arial"/>
          <w:sz w:val="22"/>
          <w:lang w:val="en-US" w:eastAsia="zh-CN"/>
        </w:rPr>
        <w:t>4.</w:t>
      </w:r>
      <w:r>
        <w:rPr>
          <w:rFonts w:ascii="Arial" w:hAnsi="Arial" w:eastAsia="等线" w:cs="Arial"/>
          <w:sz w:val="22"/>
        </w:rPr>
        <w:t>1.3 供应商需完整、及时向甲方提交所有设备检查报告、试验数据、资质资料，确保资料齐全、真实、有效。</w:t>
      </w:r>
    </w:p>
    <w:p w14:paraId="360AAF66">
      <w:pPr>
        <w:spacing w:before="120" w:after="120" w:line="288" w:lineRule="auto"/>
        <w:ind w:left="0"/>
        <w:jc w:val="left"/>
      </w:pPr>
      <w:r>
        <w:rPr>
          <w:rFonts w:hint="eastAsia" w:ascii="Arial" w:hAnsi="Arial" w:eastAsia="等线" w:cs="Arial"/>
          <w:sz w:val="22"/>
          <w:lang w:val="en-US" w:eastAsia="zh-CN"/>
        </w:rPr>
        <w:t>4.</w:t>
      </w:r>
      <w:r>
        <w:rPr>
          <w:rFonts w:ascii="Arial" w:hAnsi="Arial" w:eastAsia="等线" w:cs="Arial"/>
          <w:sz w:val="22"/>
        </w:rPr>
        <w:t>1.4 若供货产品质量、运行性能不符合技术标准及合同要求，甲方有权拒绝验收、拒收货物，供应商需无条件负责更换产品或承担相应赔偿责任。</w:t>
      </w:r>
    </w:p>
    <w:p w14:paraId="7BBCFC38">
      <w:pPr>
        <w:spacing w:before="120" w:after="120" w:line="288" w:lineRule="auto"/>
        <w:ind w:left="0"/>
        <w:jc w:val="left"/>
      </w:pPr>
      <w:r>
        <w:rPr>
          <w:rFonts w:hint="eastAsia" w:ascii="Arial" w:hAnsi="Arial" w:eastAsia="等线" w:cs="Arial"/>
          <w:sz w:val="22"/>
          <w:lang w:val="en-US" w:eastAsia="zh-CN"/>
        </w:rPr>
        <w:t>4.</w:t>
      </w:r>
      <w:r>
        <w:rPr>
          <w:rFonts w:ascii="Arial" w:hAnsi="Arial" w:eastAsia="等线" w:cs="Arial"/>
          <w:sz w:val="22"/>
        </w:rPr>
        <w:t>1.5 质保期内，非甲方人为非正常操作导致的</w:t>
      </w:r>
      <w:r>
        <w:rPr>
          <w:rFonts w:hint="eastAsia" w:ascii="Arial" w:hAnsi="Arial" w:eastAsia="等线" w:cs="Arial"/>
          <w:sz w:val="22"/>
          <w:lang w:val="en-US" w:eastAsia="zh-CN"/>
        </w:rPr>
        <w:t>配件</w:t>
      </w:r>
      <w:r>
        <w:rPr>
          <w:rFonts w:ascii="Arial" w:hAnsi="Arial" w:eastAsia="等线" w:cs="Arial"/>
          <w:sz w:val="22"/>
        </w:rPr>
        <w:t>损坏、性能故障，供应商</w:t>
      </w:r>
      <w:r>
        <w:rPr>
          <w:rFonts w:hint="eastAsia" w:ascii="Arial" w:hAnsi="Arial" w:eastAsia="等线" w:cs="Arial"/>
          <w:sz w:val="22"/>
          <w:lang w:val="en-US" w:eastAsia="zh-CN"/>
        </w:rPr>
        <w:t>须在48小时内</w:t>
      </w:r>
      <w:r>
        <w:rPr>
          <w:rFonts w:ascii="Arial" w:hAnsi="Arial" w:eastAsia="等线" w:cs="Arial"/>
          <w:sz w:val="22"/>
        </w:rPr>
        <w:t>抵达现场，免费完成</w:t>
      </w:r>
      <w:r>
        <w:rPr>
          <w:rFonts w:hint="eastAsia" w:ascii="Arial" w:hAnsi="Arial" w:eastAsia="等线" w:cs="Arial"/>
          <w:sz w:val="22"/>
          <w:lang w:val="en-US" w:eastAsia="zh-CN"/>
        </w:rPr>
        <w:t>更换全新配件</w:t>
      </w:r>
      <w:r>
        <w:rPr>
          <w:rFonts w:ascii="Arial" w:hAnsi="Arial" w:eastAsia="等线" w:cs="Arial"/>
          <w:sz w:val="22"/>
        </w:rPr>
        <w:t>。</w:t>
      </w:r>
    </w:p>
    <w:p w14:paraId="0CB77D09">
      <w:pPr>
        <w:spacing w:before="120" w:after="120" w:line="288" w:lineRule="auto"/>
        <w:ind w:left="0"/>
        <w:jc w:val="left"/>
        <w:rPr>
          <w:rFonts w:hint="eastAsia" w:ascii="Arial" w:hAnsi="Arial" w:eastAsia="等线" w:cs="Arial"/>
          <w:sz w:val="22"/>
          <w:lang w:eastAsia="zh-CN"/>
        </w:rPr>
      </w:pPr>
      <w:r>
        <w:rPr>
          <w:rFonts w:hint="eastAsia" w:ascii="Arial" w:hAnsi="Arial" w:eastAsia="等线" w:cs="Arial"/>
          <w:sz w:val="22"/>
          <w:lang w:val="en-US" w:eastAsia="zh-CN"/>
        </w:rPr>
        <w:t>4.</w:t>
      </w:r>
      <w:r>
        <w:rPr>
          <w:rFonts w:ascii="Arial" w:hAnsi="Arial" w:eastAsia="等线" w:cs="Arial"/>
          <w:sz w:val="22"/>
        </w:rPr>
        <w:t>1.6 质保期满后，若甲方需现场技术服务，供应商需积极配合，提供专业技术支持与现场服务</w:t>
      </w:r>
      <w:r>
        <w:rPr>
          <w:rFonts w:hint="eastAsia" w:ascii="Arial" w:hAnsi="Arial" w:eastAsia="等线" w:cs="Arial"/>
          <w:sz w:val="22"/>
          <w:lang w:eastAsia="zh-CN"/>
        </w:rPr>
        <w:t>。</w:t>
      </w:r>
    </w:p>
    <w:p w14:paraId="5800023F">
      <w:pPr>
        <w:spacing w:before="120" w:after="120" w:line="288" w:lineRule="auto"/>
        <w:ind w:left="0"/>
        <w:jc w:val="left"/>
      </w:pPr>
      <w:r>
        <w:rPr>
          <w:rFonts w:hint="eastAsia" w:ascii="Arial" w:hAnsi="Arial" w:eastAsia="等线" w:cs="Arial"/>
          <w:sz w:val="22"/>
          <w:lang w:val="en-US" w:eastAsia="zh-CN"/>
        </w:rPr>
        <w:t>4.1.7 供应商所供膜元件全生命周期内，如设备发生运行异常情况，供应商须免费提供上门技术服务</w:t>
      </w:r>
      <w:r>
        <w:rPr>
          <w:rFonts w:ascii="Arial" w:hAnsi="Arial" w:eastAsia="等线" w:cs="Arial"/>
          <w:sz w:val="22"/>
        </w:rPr>
        <w:t>。</w:t>
      </w:r>
    </w:p>
    <w:p w14:paraId="3D70811D">
      <w:pPr>
        <w:spacing w:before="300" w:after="120" w:line="288" w:lineRule="auto"/>
        <w:ind w:left="0"/>
        <w:jc w:val="left"/>
        <w:outlineLvl w:val="2"/>
        <w:rPr>
          <w:rFonts w:hint="eastAsia" w:eastAsia="等线"/>
          <w:lang w:eastAsia="zh-CN"/>
        </w:rPr>
      </w:pPr>
      <w:bookmarkStart w:id="7" w:name="heading_13"/>
      <w:r>
        <w:rPr>
          <w:rFonts w:hint="eastAsia" w:ascii="Arial" w:hAnsi="Arial" w:eastAsia="等线" w:cs="Arial"/>
          <w:b/>
          <w:sz w:val="30"/>
          <w:lang w:val="en-US" w:eastAsia="zh-CN"/>
        </w:rPr>
        <w:t>4.</w:t>
      </w:r>
      <w:r>
        <w:rPr>
          <w:rFonts w:ascii="Arial" w:hAnsi="Arial" w:eastAsia="等线" w:cs="Arial"/>
          <w:b/>
          <w:sz w:val="30"/>
        </w:rPr>
        <w:t>2</w:t>
      </w:r>
      <w:r>
        <w:rPr>
          <w:rFonts w:hint="eastAsia" w:ascii="Arial" w:hAnsi="Arial" w:eastAsia="等线" w:cs="Arial"/>
          <w:b/>
          <w:sz w:val="30"/>
          <w:lang w:eastAsia="zh-CN"/>
        </w:rPr>
        <w:t>、</w:t>
      </w:r>
      <w:r>
        <w:rPr>
          <w:rFonts w:ascii="Arial" w:hAnsi="Arial" w:eastAsia="等线" w:cs="Arial"/>
          <w:b/>
          <w:sz w:val="30"/>
        </w:rPr>
        <w:t xml:space="preserve"> </w:t>
      </w:r>
      <w:r>
        <w:rPr>
          <w:rFonts w:hint="eastAsia" w:ascii="Arial" w:hAnsi="Arial" w:eastAsia="等线" w:cs="Arial"/>
          <w:b/>
          <w:sz w:val="30"/>
          <w:lang w:val="en-US" w:eastAsia="zh-CN"/>
        </w:rPr>
        <w:t>配件</w:t>
      </w:r>
      <w:r>
        <w:rPr>
          <w:rFonts w:ascii="Arial" w:hAnsi="Arial" w:eastAsia="等线" w:cs="Arial"/>
          <w:b/>
          <w:sz w:val="30"/>
        </w:rPr>
        <w:t>性能</w:t>
      </w:r>
      <w:bookmarkEnd w:id="7"/>
      <w:r>
        <w:rPr>
          <w:rFonts w:hint="eastAsia" w:ascii="Arial" w:hAnsi="Arial" w:eastAsia="等线" w:cs="Arial"/>
          <w:b/>
          <w:sz w:val="30"/>
          <w:lang w:val="en-US" w:eastAsia="zh-CN"/>
        </w:rPr>
        <w:t>验收</w:t>
      </w:r>
    </w:p>
    <w:p w14:paraId="30D36620">
      <w:pPr>
        <w:spacing w:before="120" w:after="120" w:line="288" w:lineRule="auto"/>
        <w:ind w:left="0" w:leftChars="0" w:firstLine="418" w:firstLineChars="190"/>
        <w:jc w:val="left"/>
        <w:rPr>
          <w:rFonts w:hint="default" w:ascii="Arial" w:hAnsi="Arial" w:eastAsia="等线" w:cs="Arial"/>
          <w:sz w:val="22"/>
          <w:lang w:val="en-US" w:eastAsia="zh-CN"/>
        </w:rPr>
      </w:pPr>
      <w:r>
        <w:rPr>
          <w:rFonts w:hint="eastAsia" w:ascii="Arial" w:hAnsi="Arial" w:eastAsia="等线" w:cs="Arial"/>
          <w:sz w:val="22"/>
          <w:lang w:val="en-US" w:eastAsia="zh-CN"/>
        </w:rPr>
        <w:t>膜配件更换完成后，开展全工况投运检测，通过实测进出水水质、产水量、脱盐率等核心参数，考核膜配件运行性能是否满足本次技术需求及行业标准，验收合格后方可正式交付使用。若任意一方对验收结果存疑，可经双方协商，申请第三方相关检测机构进行检测并出具报告，因此产生的全部费用由供货方负责。</w:t>
      </w:r>
    </w:p>
    <w:p w14:paraId="20CB5EB9">
      <w:pPr>
        <w:spacing w:before="300" w:after="120" w:line="288" w:lineRule="auto"/>
        <w:ind w:left="0"/>
        <w:jc w:val="left"/>
        <w:outlineLvl w:val="2"/>
      </w:pPr>
      <w:bookmarkStart w:id="8" w:name="heading_14"/>
      <w:r>
        <w:rPr>
          <w:rFonts w:hint="eastAsia" w:ascii="Arial" w:hAnsi="Arial" w:eastAsia="等线" w:cs="Arial"/>
          <w:b/>
          <w:sz w:val="30"/>
          <w:lang w:val="en-US" w:eastAsia="zh-CN"/>
        </w:rPr>
        <w:t>4.</w:t>
      </w:r>
      <w:r>
        <w:rPr>
          <w:rFonts w:ascii="Arial" w:hAnsi="Arial" w:eastAsia="等线" w:cs="Arial"/>
          <w:b/>
          <w:sz w:val="30"/>
        </w:rPr>
        <w:t>3</w:t>
      </w:r>
      <w:r>
        <w:rPr>
          <w:rFonts w:hint="eastAsia" w:ascii="Arial" w:hAnsi="Arial" w:eastAsia="等线" w:cs="Arial"/>
          <w:b/>
          <w:sz w:val="30"/>
          <w:lang w:eastAsia="zh-CN"/>
        </w:rPr>
        <w:t>、</w:t>
      </w:r>
      <w:r>
        <w:rPr>
          <w:rFonts w:ascii="Arial" w:hAnsi="Arial" w:eastAsia="等线" w:cs="Arial"/>
          <w:b/>
          <w:sz w:val="30"/>
        </w:rPr>
        <w:t xml:space="preserve"> 技术服务</w:t>
      </w:r>
      <w:bookmarkEnd w:id="8"/>
    </w:p>
    <w:p w14:paraId="6172BCCE">
      <w:pPr>
        <w:spacing w:before="120" w:after="120" w:line="288" w:lineRule="auto"/>
        <w:ind w:left="0" w:leftChars="0" w:firstLine="418" w:firstLineChars="190"/>
        <w:jc w:val="left"/>
        <w:rPr>
          <w:rFonts w:hint="eastAsia" w:ascii="Arial" w:hAnsi="Arial" w:eastAsia="等线" w:cs="Arial"/>
          <w:sz w:val="22"/>
          <w:lang w:val="en-US" w:eastAsia="zh-CN"/>
        </w:rPr>
      </w:pPr>
      <w:r>
        <w:rPr>
          <w:rFonts w:hint="eastAsia" w:ascii="Arial" w:hAnsi="Arial" w:eastAsia="等线" w:cs="Arial"/>
          <w:sz w:val="22"/>
          <w:lang w:val="en-US" w:eastAsia="zh-CN"/>
        </w:rPr>
        <w:t>膜配件更换前，供应商需派遣专业技术人员抵达项目现场，并负责全程更换作业，甲方配合，供应商技术人员需完成以下工作内容：</w:t>
      </w:r>
    </w:p>
    <w:p w14:paraId="4AAE901F">
      <w:pPr>
        <w:spacing w:before="120" w:after="120" w:line="288" w:lineRule="auto"/>
        <w:ind w:left="0"/>
        <w:jc w:val="left"/>
      </w:pPr>
      <w:r>
        <w:rPr>
          <w:rFonts w:hint="eastAsia" w:ascii="Arial" w:hAnsi="Arial" w:eastAsia="等线" w:cs="Arial"/>
          <w:sz w:val="22"/>
          <w:lang w:val="en-US" w:eastAsia="zh-CN"/>
        </w:rPr>
        <w:t>4.</w:t>
      </w:r>
      <w:r>
        <w:rPr>
          <w:rFonts w:ascii="Arial" w:hAnsi="Arial" w:eastAsia="等线" w:cs="Arial"/>
          <w:sz w:val="22"/>
        </w:rPr>
        <w:t>3.1 负责现场货物开箱清点、核对型号、查验资质资料，做好物料验收登记。</w:t>
      </w:r>
    </w:p>
    <w:p w14:paraId="491FABCF">
      <w:pPr>
        <w:spacing w:before="120" w:after="120" w:line="288" w:lineRule="auto"/>
        <w:ind w:left="0"/>
        <w:jc w:val="left"/>
      </w:pPr>
      <w:r>
        <w:rPr>
          <w:rFonts w:hint="eastAsia" w:ascii="Arial" w:hAnsi="Arial" w:eastAsia="等线" w:cs="Arial"/>
          <w:sz w:val="22"/>
          <w:lang w:val="en-US" w:eastAsia="zh-CN"/>
        </w:rPr>
        <w:t>4.</w:t>
      </w:r>
      <w:r>
        <w:rPr>
          <w:rFonts w:ascii="Arial" w:hAnsi="Arial" w:eastAsia="等线" w:cs="Arial"/>
          <w:sz w:val="22"/>
        </w:rPr>
        <w:t>3.2 及时排查、处理设备到货、安装、调试过程中出现的质量问题、设备故障。</w:t>
      </w:r>
    </w:p>
    <w:p w14:paraId="04C292EC">
      <w:pPr>
        <w:spacing w:before="120" w:after="120" w:line="288" w:lineRule="auto"/>
        <w:ind w:left="0"/>
        <w:jc w:val="left"/>
      </w:pPr>
      <w:r>
        <w:rPr>
          <w:rFonts w:hint="eastAsia" w:ascii="Arial" w:hAnsi="Arial" w:eastAsia="等线" w:cs="Arial"/>
          <w:sz w:val="22"/>
          <w:lang w:val="en-US" w:eastAsia="zh-CN"/>
        </w:rPr>
        <w:t>4.</w:t>
      </w:r>
      <w:r>
        <w:rPr>
          <w:rFonts w:ascii="Arial" w:hAnsi="Arial" w:eastAsia="等线" w:cs="Arial"/>
          <w:sz w:val="22"/>
        </w:rPr>
        <w:t>3.3 全面负责现场膜元件及配套设备的标准化安装作业，把控施工质量。</w:t>
      </w:r>
    </w:p>
    <w:p w14:paraId="67A428A3">
      <w:pPr>
        <w:spacing w:before="120" w:after="120" w:line="288" w:lineRule="auto"/>
        <w:ind w:left="0"/>
        <w:jc w:val="left"/>
      </w:pPr>
      <w:r>
        <w:rPr>
          <w:rFonts w:hint="eastAsia" w:ascii="Arial" w:hAnsi="Arial" w:eastAsia="等线" w:cs="Arial"/>
          <w:sz w:val="22"/>
          <w:lang w:val="en-US" w:eastAsia="zh-CN"/>
        </w:rPr>
        <w:t>4.</w:t>
      </w:r>
      <w:r>
        <w:rPr>
          <w:rFonts w:ascii="Arial" w:hAnsi="Arial" w:eastAsia="等线" w:cs="Arial"/>
          <w:sz w:val="22"/>
        </w:rPr>
        <w:t>3.4 负责设备调试、系统试运行工作，配合甲方完成设备性能验收，确保各项指标达标。</w:t>
      </w:r>
    </w:p>
    <w:p w14:paraId="19BBA10F">
      <w:pPr>
        <w:spacing w:before="120" w:after="120" w:line="288" w:lineRule="auto"/>
        <w:ind w:left="0"/>
        <w:jc w:val="left"/>
      </w:pPr>
      <w:r>
        <w:rPr>
          <w:rFonts w:hint="eastAsia" w:ascii="Arial" w:hAnsi="Arial" w:eastAsia="等线" w:cs="Arial"/>
          <w:sz w:val="22"/>
          <w:lang w:val="en-US" w:eastAsia="zh-CN"/>
        </w:rPr>
        <w:t>4.</w:t>
      </w:r>
      <w:r>
        <w:rPr>
          <w:rFonts w:ascii="Arial" w:hAnsi="Arial" w:eastAsia="等线" w:cs="Arial"/>
          <w:sz w:val="22"/>
        </w:rPr>
        <w:t>3.5 开展现场技术交底、操作培训工作，指导甲方技术、操作人员熟练掌握设备运行规范、操作流程、注意事项，解答甲方人员各类技术疑问，保障甲方人员可独立规范操作设备。</w:t>
      </w:r>
    </w:p>
    <w:p w14:paraId="495F3414">
      <w:pPr>
        <w:spacing w:before="120" w:after="120" w:line="288" w:lineRule="auto"/>
        <w:ind w:left="0"/>
        <w:jc w:val="left"/>
      </w:pPr>
      <w:r>
        <w:rPr>
          <w:rFonts w:hint="eastAsia" w:ascii="Arial" w:hAnsi="Arial" w:eastAsia="等线" w:cs="Arial"/>
          <w:sz w:val="22"/>
          <w:lang w:val="en-US" w:eastAsia="zh-CN"/>
        </w:rPr>
        <w:t>4.</w:t>
      </w:r>
      <w:r>
        <w:rPr>
          <w:rFonts w:ascii="Arial" w:hAnsi="Arial" w:eastAsia="等线" w:cs="Arial"/>
          <w:sz w:val="22"/>
        </w:rPr>
        <w:t>3.6 调试过程中，供应商需及时排查、处置各类故障问题，因供应商施工、调试操作失误造成的设备损坏、经济损失，由供应商全权承担。</w:t>
      </w:r>
    </w:p>
    <w:p w14:paraId="647EA669">
      <w:pPr>
        <w:spacing w:before="120" w:after="120" w:line="288" w:lineRule="auto"/>
        <w:ind w:left="0"/>
        <w:jc w:val="left"/>
      </w:pPr>
      <w:r>
        <w:rPr>
          <w:rFonts w:hint="eastAsia" w:ascii="Arial" w:hAnsi="Arial" w:eastAsia="等线" w:cs="Arial"/>
          <w:sz w:val="22"/>
          <w:lang w:val="en-US" w:eastAsia="zh-CN"/>
        </w:rPr>
        <w:t>4.</w:t>
      </w:r>
      <w:r>
        <w:rPr>
          <w:rFonts w:ascii="Arial" w:hAnsi="Arial" w:eastAsia="等线" w:cs="Arial"/>
          <w:sz w:val="22"/>
        </w:rPr>
        <w:t xml:space="preserve">3.7 </w:t>
      </w:r>
      <w:r>
        <w:rPr>
          <w:rFonts w:hint="eastAsia" w:ascii="Arial" w:hAnsi="Arial" w:eastAsia="等线" w:cs="Arial"/>
          <w:sz w:val="22"/>
          <w:lang w:val="en-US" w:eastAsia="zh-CN"/>
        </w:rPr>
        <w:t>配件</w:t>
      </w:r>
      <w:r>
        <w:rPr>
          <w:rFonts w:ascii="Arial" w:hAnsi="Arial" w:eastAsia="等线" w:cs="Arial"/>
          <w:sz w:val="22"/>
        </w:rPr>
        <w:t>验收结果需符合国家现行行业标准，供应商对所有设备检测、验收结果承担全部责任。</w:t>
      </w:r>
    </w:p>
    <w:p w14:paraId="42CAAD60">
      <w:pPr>
        <w:spacing w:before="320" w:after="120" w:line="288" w:lineRule="auto"/>
        <w:ind w:left="0"/>
        <w:jc w:val="left"/>
        <w:outlineLvl w:val="1"/>
      </w:pPr>
      <w:bookmarkStart w:id="9" w:name="heading_15"/>
      <w:r>
        <w:rPr>
          <w:rFonts w:ascii="Arial" w:hAnsi="Arial" w:eastAsia="等线" w:cs="Arial"/>
          <w:b/>
          <w:sz w:val="32"/>
        </w:rPr>
        <w:t>五、</w:t>
      </w:r>
      <w:r>
        <w:rPr>
          <w:rFonts w:hint="eastAsia" w:ascii="Arial" w:hAnsi="Arial" w:eastAsia="等线" w:cs="Arial"/>
          <w:b/>
          <w:sz w:val="32"/>
          <w:lang w:val="en-US" w:eastAsia="zh-CN"/>
        </w:rPr>
        <w:t>送货及安装</w:t>
      </w:r>
      <w:r>
        <w:rPr>
          <w:rFonts w:ascii="Arial" w:hAnsi="Arial" w:eastAsia="等线" w:cs="Arial"/>
          <w:b/>
          <w:sz w:val="32"/>
        </w:rPr>
        <w:t>时间安排</w:t>
      </w:r>
      <w:bookmarkEnd w:id="9"/>
    </w:p>
    <w:p w14:paraId="0F8921B7">
      <w:pPr>
        <w:spacing w:before="120" w:after="120" w:line="288" w:lineRule="auto"/>
        <w:ind w:left="0" w:leftChars="0" w:firstLine="418" w:firstLineChars="190"/>
        <w:jc w:val="left"/>
        <w:rPr>
          <w:rFonts w:hint="eastAsia" w:ascii="Arial" w:hAnsi="Arial" w:eastAsia="等线" w:cs="Arial"/>
          <w:sz w:val="22"/>
          <w:lang w:val="en-US" w:eastAsia="zh-CN"/>
        </w:rPr>
      </w:pPr>
      <w:r>
        <w:rPr>
          <w:rFonts w:hint="eastAsia" w:ascii="Arial" w:hAnsi="Arial" w:eastAsia="等线" w:cs="Arial"/>
          <w:sz w:val="22"/>
          <w:lang w:val="en-US" w:eastAsia="zh-CN"/>
        </w:rPr>
        <w:t>5.1、需方可通过电话、微信或者通知书形式通知供方发货，供方必须马上响应，确认需方需求，并于20个日历日内配件到货，并在到货后5个日历日内完成安装。</w:t>
      </w:r>
    </w:p>
    <w:p w14:paraId="77FEAE60">
      <w:pPr>
        <w:spacing w:before="120" w:after="120" w:line="288" w:lineRule="auto"/>
        <w:ind w:left="0" w:leftChars="0" w:firstLine="418" w:firstLineChars="190"/>
        <w:jc w:val="left"/>
        <w:rPr>
          <w:rFonts w:hint="default" w:ascii="Arial" w:hAnsi="Arial" w:eastAsia="等线" w:cs="Arial"/>
          <w:sz w:val="22"/>
          <w:lang w:val="en-US" w:eastAsia="zh-CN"/>
        </w:rPr>
      </w:pPr>
      <w:r>
        <w:rPr>
          <w:rFonts w:hint="eastAsia" w:ascii="Arial" w:hAnsi="Arial" w:eastAsia="等线" w:cs="Arial"/>
          <w:sz w:val="22"/>
          <w:lang w:val="en-US" w:eastAsia="zh-CN"/>
        </w:rPr>
        <w:t>5.2、膜配件需求清单为暂定需求，需方可以根据其实际需求，向供货方分批进行膜设备采购，直至合同内清单全部供货完毕或合同期（一年）满，二者以先到为准。供货方不得以单次需求数量少或者其他任何原因拒绝供货或加收任何费用。</w:t>
      </w:r>
    </w:p>
    <w:p w14:paraId="5B3E0704">
      <w:pPr>
        <w:spacing w:before="320" w:after="120" w:line="288" w:lineRule="auto"/>
        <w:ind w:left="0"/>
        <w:jc w:val="left"/>
        <w:outlineLvl w:val="1"/>
      </w:pPr>
      <w:bookmarkStart w:id="10" w:name="heading_16"/>
      <w:r>
        <w:rPr>
          <w:rFonts w:ascii="Arial" w:hAnsi="Arial" w:eastAsia="等线" w:cs="Arial"/>
          <w:b/>
          <w:sz w:val="32"/>
        </w:rPr>
        <w:t>六、交货要求</w:t>
      </w:r>
      <w:bookmarkEnd w:id="10"/>
    </w:p>
    <w:p w14:paraId="7BC41F3D">
      <w:pPr>
        <w:spacing w:before="120" w:after="120" w:line="288" w:lineRule="auto"/>
        <w:ind w:left="0"/>
        <w:jc w:val="left"/>
      </w:pPr>
      <w:r>
        <w:rPr>
          <w:rFonts w:ascii="Arial" w:hAnsi="Arial" w:eastAsia="等线" w:cs="Arial"/>
          <w:sz w:val="22"/>
        </w:rPr>
        <w:t>交货地点：东莞市新东元环保投资有限公司项目现场。</w:t>
      </w:r>
    </w:p>
    <w:p w14:paraId="007E363B">
      <w:pPr>
        <w:spacing w:before="120" w:after="120" w:line="288" w:lineRule="auto"/>
        <w:ind w:left="0"/>
        <w:jc w:val="left"/>
        <w:rPr>
          <w:rFonts w:hint="eastAsia" w:ascii="Arial" w:hAnsi="Arial" w:eastAsia="等线" w:cs="Arial"/>
          <w:sz w:val="22"/>
          <w:lang w:val="en-US" w:eastAsia="zh-CN"/>
        </w:rPr>
      </w:pPr>
      <w:r>
        <w:rPr>
          <w:rFonts w:ascii="Arial" w:hAnsi="Arial" w:eastAsia="等线" w:cs="Arial"/>
          <w:sz w:val="22"/>
        </w:rPr>
        <w:t>交货方式：</w:t>
      </w:r>
      <w:r>
        <w:rPr>
          <w:rFonts w:hint="eastAsia" w:ascii="Arial" w:hAnsi="Arial" w:eastAsia="等线" w:cs="Arial"/>
          <w:sz w:val="22"/>
          <w:lang w:val="en-US" w:eastAsia="zh-CN"/>
        </w:rPr>
        <w:t>收到需方供货需求后，供货方</w:t>
      </w:r>
      <w:r>
        <w:rPr>
          <w:rFonts w:ascii="Arial" w:hAnsi="Arial" w:eastAsia="等线" w:cs="Arial"/>
          <w:sz w:val="22"/>
        </w:rPr>
        <w:t>负责将</w:t>
      </w:r>
      <w:r>
        <w:rPr>
          <w:rFonts w:hint="eastAsia" w:ascii="Arial" w:hAnsi="Arial" w:eastAsia="等线" w:cs="Arial"/>
          <w:sz w:val="22"/>
          <w:lang w:val="en-US" w:eastAsia="zh-CN"/>
        </w:rPr>
        <w:t>需方单次要求发货的</w:t>
      </w:r>
      <w:r>
        <w:rPr>
          <w:rFonts w:ascii="Arial" w:hAnsi="Arial" w:eastAsia="等线" w:cs="Arial"/>
          <w:sz w:val="22"/>
        </w:rPr>
        <w:t>所有合同</w:t>
      </w:r>
      <w:r>
        <w:rPr>
          <w:rFonts w:hint="eastAsia" w:ascii="Arial" w:hAnsi="Arial" w:eastAsia="等线" w:cs="Arial"/>
          <w:sz w:val="22"/>
          <w:lang w:val="en-US" w:eastAsia="zh-CN"/>
        </w:rPr>
        <w:t>膜配件</w:t>
      </w:r>
      <w:r>
        <w:rPr>
          <w:rFonts w:ascii="Arial" w:hAnsi="Arial" w:eastAsia="等线" w:cs="Arial"/>
          <w:sz w:val="22"/>
        </w:rPr>
        <w:t>运输至项目现场，</w:t>
      </w:r>
      <w:r>
        <w:rPr>
          <w:rFonts w:hint="eastAsia" w:ascii="Arial" w:hAnsi="Arial" w:eastAsia="等线" w:cs="Arial"/>
          <w:sz w:val="22"/>
          <w:lang w:val="en-US" w:eastAsia="zh-CN"/>
        </w:rPr>
        <w:t>需方</w:t>
      </w:r>
      <w:r>
        <w:rPr>
          <w:rFonts w:ascii="Arial" w:hAnsi="Arial" w:eastAsia="等线" w:cs="Arial"/>
          <w:sz w:val="22"/>
        </w:rPr>
        <w:t>承担运输全过程费用及风险。</w:t>
      </w:r>
      <w:r>
        <w:rPr>
          <w:rFonts w:hint="eastAsia" w:ascii="Arial" w:hAnsi="Arial" w:eastAsia="等线" w:cs="Arial"/>
          <w:sz w:val="22"/>
          <w:lang w:val="en-US" w:eastAsia="zh-CN"/>
        </w:rPr>
        <w:t>需方可根据现场实际情况，分多批次向供货方发起需求，直至合同全部膜设备清单送货完毕或者合同到期。</w:t>
      </w:r>
    </w:p>
    <w:p w14:paraId="2EC2DEF9">
      <w:pPr>
        <w:spacing w:before="320" w:after="120" w:line="288" w:lineRule="auto"/>
        <w:ind w:left="0"/>
        <w:jc w:val="left"/>
        <w:outlineLvl w:val="1"/>
      </w:pPr>
      <w:r>
        <w:rPr>
          <w:rFonts w:hint="eastAsia" w:ascii="Arial" w:hAnsi="Arial" w:eastAsia="等线" w:cs="Arial"/>
          <w:b/>
          <w:sz w:val="32"/>
          <w:lang w:val="en-US" w:eastAsia="zh-CN"/>
        </w:rPr>
        <w:t>七</w:t>
      </w:r>
      <w:r>
        <w:rPr>
          <w:rFonts w:ascii="Arial" w:hAnsi="Arial" w:eastAsia="等线" w:cs="Arial"/>
          <w:b/>
          <w:sz w:val="32"/>
        </w:rPr>
        <w:t>、</w:t>
      </w:r>
      <w:r>
        <w:rPr>
          <w:rFonts w:hint="eastAsia" w:ascii="Arial" w:hAnsi="Arial" w:eastAsia="等线" w:cs="Arial"/>
          <w:b/>
          <w:sz w:val="32"/>
          <w:lang w:val="en-US" w:eastAsia="zh-CN"/>
        </w:rPr>
        <w:t>保险</w:t>
      </w:r>
      <w:r>
        <w:rPr>
          <w:rFonts w:ascii="Arial" w:hAnsi="Arial" w:eastAsia="等线" w:cs="Arial"/>
          <w:b/>
          <w:sz w:val="32"/>
        </w:rPr>
        <w:t>要求</w:t>
      </w:r>
    </w:p>
    <w:p w14:paraId="179B606A">
      <w:pPr>
        <w:spacing w:before="120" w:after="120" w:line="288" w:lineRule="auto"/>
        <w:ind w:left="0"/>
        <w:jc w:val="left"/>
        <w:rPr>
          <w:rFonts w:hint="eastAsia" w:ascii="Arial" w:hAnsi="Arial" w:eastAsia="等线" w:cs="Arial"/>
          <w:sz w:val="22"/>
          <w:lang w:val="en-US" w:eastAsia="zh-CN"/>
        </w:rPr>
      </w:pPr>
      <w:r>
        <w:rPr>
          <w:rFonts w:hint="eastAsia" w:ascii="Arial" w:hAnsi="Arial" w:eastAsia="等线" w:cs="Arial"/>
          <w:sz w:val="22"/>
          <w:lang w:val="en-US" w:eastAsia="zh-CN"/>
        </w:rPr>
        <w:t>①供方的配件安装人员须具有相应资质及从业资格，供方须依法为全部进场安装人员</w:t>
      </w:r>
      <w:r>
        <w:rPr>
          <w:rFonts w:hint="eastAsia"/>
          <w:color w:val="auto"/>
          <w:szCs w:val="21"/>
          <w:highlight w:val="none"/>
        </w:rPr>
        <w:t>缴纳工伤保险</w:t>
      </w:r>
      <w:r>
        <w:rPr>
          <w:rFonts w:hint="eastAsia" w:ascii="Arial" w:hAnsi="Arial" w:eastAsia="等线" w:cs="Arial"/>
          <w:sz w:val="22"/>
          <w:lang w:val="en-US" w:eastAsia="zh-CN"/>
        </w:rPr>
        <w:t>，同时投保人身意外伤害商业保险。该商业保险项下，被保险人因意外伤害导致身故的保险赔付金额不得低于人民币100万元/人。</w:t>
      </w:r>
    </w:p>
    <w:p w14:paraId="06ABF580">
      <w:pPr>
        <w:spacing w:before="120" w:after="120" w:line="288" w:lineRule="auto"/>
        <w:ind w:left="0"/>
        <w:jc w:val="left"/>
        <w:rPr>
          <w:rFonts w:hint="eastAsia" w:ascii="Arial" w:hAnsi="Arial" w:eastAsia="等线" w:cs="Arial"/>
          <w:sz w:val="22"/>
          <w:lang w:val="en-US" w:eastAsia="zh-CN"/>
        </w:rPr>
      </w:pPr>
      <w:r>
        <w:rPr>
          <w:rFonts w:hint="eastAsia" w:ascii="Arial" w:hAnsi="Arial" w:eastAsia="等线" w:cs="Arial"/>
          <w:sz w:val="22"/>
          <w:lang w:val="en-US" w:eastAsia="zh-CN"/>
        </w:rPr>
        <w:t>②上述保险的保险期间应完整覆盖本合同进场安装期限，包括但不限于进场准备、现场安装作业等全部阶段。保险费用已计入本合同总价，由供方承担，需方不再另行支付。</w:t>
      </w:r>
    </w:p>
    <w:p w14:paraId="76E1CF52">
      <w:pPr>
        <w:spacing w:before="120" w:after="120" w:line="288" w:lineRule="auto"/>
        <w:ind w:left="0"/>
        <w:jc w:val="left"/>
      </w:pPr>
      <w:r>
        <w:rPr>
          <w:rFonts w:hint="eastAsia" w:ascii="Arial" w:hAnsi="Arial" w:eastAsia="等线" w:cs="Arial"/>
          <w:sz w:val="22"/>
          <w:lang w:val="en-US" w:eastAsia="zh-CN"/>
        </w:rPr>
        <w:t>③供方人员进场安装前，须先行完成本条约定之保险投保手续，并向需方提交合法有效的保险购买凭证（包括但不限于保单、保险发票、被保险人清单等）。进场人员须与保单载明之被保险人员一一对应，未投保人员或投保金额不足人员一律禁止进场作业。</w:t>
      </w: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FT Thymes"/>
    <w:panose1 w:val="02020603050405020304"/>
    <w:charset w:val="28"/>
    <w:family w:val="auto"/>
    <w:pitch w:val="default"/>
    <w:sig w:usb0="00000000" w:usb1="00000000" w:usb2="00000009" w:usb3="00000000" w:csb0="400001FF" w:csb1="FFFF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华文中宋">
    <w:altName w:val="书宋-简"/>
    <w:panose1 w:val="02010600040101010101"/>
    <w:charset w:val="86"/>
    <w:family w:val="auto"/>
    <w:pitch w:val="default"/>
    <w:sig w:usb0="00000000" w:usb1="00000000" w:usb2="00000000" w:usb3="00000000" w:csb0="0004009F" w:csb1="DFD70000"/>
  </w:font>
  <w:font w:name="等线">
    <w:altName w:val="方正等线-简"/>
    <w:panose1 w:val="02010600030101010101"/>
    <w:charset w:val="86"/>
    <w:family w:val="auto"/>
    <w:pitch w:val="default"/>
    <w:sig w:usb0="00000000" w:usb1="00000000" w:usb2="00000016" w:usb3="00000000" w:csb0="0004000F" w:csb1="00000000"/>
  </w:font>
  <w:font w:name="方正等线-简">
    <w:panose1 w:val="02000500000000000000"/>
    <w:charset w:val="86"/>
    <w:family w:val="auto"/>
    <w:pitch w:val="default"/>
    <w:sig w:usb0="A10102FF" w:usb1="38CF7CFB" w:usb2="00010016" w:usb3="00000000" w:csb0="00040001" w:csb1="00000000"/>
  </w:font>
  <w:font w:name="黑体-简">
    <w:panose1 w:val="02010609060101010101"/>
    <w:charset w:val="86"/>
    <w:family w:val="auto"/>
    <w:pitch w:val="default"/>
    <w:sig w:usb0="A00002BF" w:usb1="3ACF7CFA" w:usb2="00000016" w:usb3="00000000" w:csb0="00040001" w:csb1="00000000"/>
  </w:font>
  <w:font w:name="Kingsoft Sign">
    <w:panose1 w:val="05050102010706020507"/>
    <w:charset w:val="00"/>
    <w:family w:val="auto"/>
    <w:pitch w:val="default"/>
    <w:sig w:usb0="00000000" w:usb1="10000000" w:usb2="00000000" w:usb3="00000000" w:csb0="00000001" w:csb1="00000000"/>
  </w:font>
  <w:font w:name="HarmonyOS Sans">
    <w:panose1 w:val="00000500000000000000"/>
    <w:charset w:val="00"/>
    <w:family w:val="auto"/>
    <w:pitch w:val="default"/>
    <w:sig w:usb0="A0000287" w:usb1="00000011" w:usb2="00000000" w:usb3="00000000" w:csb0="00000001" w:csb1="00000000"/>
  </w:font>
  <w:font w:name="FTToken">
    <w:panose1 w:val="05000000000000000000"/>
    <w:charset w:val="00"/>
    <w:family w:val="auto"/>
    <w:pitch w:val="default"/>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83286"/>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28B7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133F65"/>
    <w:multiLevelType w:val="multilevel"/>
    <w:tmpl w:val="57133F65"/>
    <w:lvl w:ilvl="0" w:tentative="0">
      <w:start w:val="1"/>
      <w:numFmt w:val="decimal"/>
      <w:lvlText w:val="第%1章 "/>
      <w:lvlJc w:val="left"/>
      <w:pPr>
        <w:tabs>
          <w:tab w:val="left" w:pos="5671"/>
        </w:tabs>
        <w:ind w:left="5671" w:hanging="425"/>
      </w:pPr>
      <w:rPr>
        <w:rFonts w:hint="eastAsia"/>
      </w:rPr>
    </w:lvl>
    <w:lvl w:ilvl="1" w:tentative="0">
      <w:start w:val="1"/>
      <w:numFmt w:val="decimal"/>
      <w:lvlText w:val="%2 "/>
      <w:lvlJc w:val="left"/>
      <w:pPr>
        <w:tabs>
          <w:tab w:val="left" w:pos="284"/>
        </w:tabs>
        <w:ind w:left="747" w:hanging="567"/>
      </w:pPr>
      <w:rPr>
        <w:rFonts w:hint="eastAsia"/>
        <w:b/>
      </w:rPr>
    </w:lvl>
    <w:lvl w:ilvl="2" w:tentative="0">
      <w:start w:val="1"/>
      <w:numFmt w:val="decimal"/>
      <w:pStyle w:val="4"/>
      <w:lvlText w:val="%2.%3 "/>
      <w:lvlJc w:val="left"/>
      <w:pPr>
        <w:tabs>
          <w:tab w:val="left" w:pos="927"/>
        </w:tabs>
        <w:ind w:left="76" w:firstLine="284"/>
      </w:pPr>
      <w:rPr>
        <w:rFonts w:hint="default" w:ascii="Times New Roman" w:hAnsi="Times New Roman" w:eastAsia="宋体"/>
        <w:b w:val="0"/>
        <w:i w:val="0"/>
        <w:sz w:val="24"/>
      </w:rPr>
    </w:lvl>
    <w:lvl w:ilvl="3" w:tentative="0">
      <w:start w:val="1"/>
      <w:numFmt w:val="decimal"/>
      <w:pStyle w:val="5"/>
      <w:lvlText w:val="%2.%3.%4 "/>
      <w:lvlJc w:val="left"/>
      <w:pPr>
        <w:tabs>
          <w:tab w:val="left" w:pos="1524"/>
        </w:tabs>
        <w:ind w:left="390" w:firstLine="510"/>
      </w:pPr>
      <w:rPr>
        <w:rFonts w:hint="default" w:ascii="Times New Roman" w:hAnsi="Times New Roman" w:eastAsia="华文中宋" w:cs="Times New Roman"/>
        <w:b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isplayHorizontalDrawingGridEvery w:val="1"/>
  <w:displayVerticalDrawingGridEvery w:val="1"/>
  <w:noPunctuationKerning w:val="1"/>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764359"/>
    <w:rsid w:val="089F2B90"/>
    <w:rsid w:val="0DB02216"/>
    <w:rsid w:val="110F0095"/>
    <w:rsid w:val="157D50D3"/>
    <w:rsid w:val="19053D5D"/>
    <w:rsid w:val="19960E59"/>
    <w:rsid w:val="19CA465F"/>
    <w:rsid w:val="1C9A3D4E"/>
    <w:rsid w:val="1E0B5CE6"/>
    <w:rsid w:val="1E9A4F48"/>
    <w:rsid w:val="1EB51D82"/>
    <w:rsid w:val="1FEF4E1F"/>
    <w:rsid w:val="24911DA6"/>
    <w:rsid w:val="25302162"/>
    <w:rsid w:val="26233A75"/>
    <w:rsid w:val="299F78B6"/>
    <w:rsid w:val="2AA809EC"/>
    <w:rsid w:val="2B4F2AC1"/>
    <w:rsid w:val="2E3C1B78"/>
    <w:rsid w:val="2FB971F8"/>
    <w:rsid w:val="30B31E99"/>
    <w:rsid w:val="317F17A1"/>
    <w:rsid w:val="32200849"/>
    <w:rsid w:val="33060D09"/>
    <w:rsid w:val="342015F4"/>
    <w:rsid w:val="342377C6"/>
    <w:rsid w:val="35325A82"/>
    <w:rsid w:val="362F3501"/>
    <w:rsid w:val="367E0853"/>
    <w:rsid w:val="39473ED0"/>
    <w:rsid w:val="3E8135D7"/>
    <w:rsid w:val="42F06635"/>
    <w:rsid w:val="44B8124B"/>
    <w:rsid w:val="44E70397"/>
    <w:rsid w:val="45E338BE"/>
    <w:rsid w:val="463455A7"/>
    <w:rsid w:val="494D658F"/>
    <w:rsid w:val="49F84D57"/>
    <w:rsid w:val="4B476916"/>
    <w:rsid w:val="4B4C2876"/>
    <w:rsid w:val="4C807983"/>
    <w:rsid w:val="512068F3"/>
    <w:rsid w:val="51EE0B2B"/>
    <w:rsid w:val="52741030"/>
    <w:rsid w:val="52C430F4"/>
    <w:rsid w:val="52F65EE9"/>
    <w:rsid w:val="54C142D5"/>
    <w:rsid w:val="56A812A9"/>
    <w:rsid w:val="57392849"/>
    <w:rsid w:val="57783371"/>
    <w:rsid w:val="5A1D0200"/>
    <w:rsid w:val="5A3B2434"/>
    <w:rsid w:val="5C3655A9"/>
    <w:rsid w:val="5C814A76"/>
    <w:rsid w:val="5D1A4582"/>
    <w:rsid w:val="610765C2"/>
    <w:rsid w:val="61CB379F"/>
    <w:rsid w:val="620A72BB"/>
    <w:rsid w:val="630E2DDB"/>
    <w:rsid w:val="643A375C"/>
    <w:rsid w:val="64E607D7"/>
    <w:rsid w:val="66D9725C"/>
    <w:rsid w:val="69A47FF6"/>
    <w:rsid w:val="6A7A48B2"/>
    <w:rsid w:val="6A820A3B"/>
    <w:rsid w:val="6B9C50AA"/>
    <w:rsid w:val="6BA215E2"/>
    <w:rsid w:val="6CCE7137"/>
    <w:rsid w:val="6D4C108C"/>
    <w:rsid w:val="6F5F181F"/>
    <w:rsid w:val="6FCA1E38"/>
    <w:rsid w:val="703025E3"/>
    <w:rsid w:val="718F50E7"/>
    <w:rsid w:val="7258197D"/>
    <w:rsid w:val="754E7067"/>
    <w:rsid w:val="7B3BD910"/>
    <w:rsid w:val="7EA377CE"/>
    <w:rsid w:val="ACFF49B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cucd-3"/>
    <w:next w:val="5"/>
    <w:qFormat/>
    <w:uiPriority w:val="0"/>
    <w:pPr>
      <w:widowControl w:val="0"/>
      <w:numPr>
        <w:ilvl w:val="2"/>
        <w:numId w:val="1"/>
      </w:numPr>
      <w:tabs>
        <w:tab w:val="left" w:pos="720"/>
      </w:tabs>
      <w:spacing w:line="360" w:lineRule="auto"/>
      <w:outlineLvl w:val="2"/>
    </w:pPr>
    <w:rPr>
      <w:rFonts w:ascii="宋体" w:hAnsi="宋体" w:eastAsia="宋体" w:cs="Times New Roman"/>
      <w:color w:val="000000"/>
      <w:kern w:val="2"/>
      <w:sz w:val="24"/>
      <w:szCs w:val="24"/>
      <w:lang w:val="en-US" w:eastAsia="zh-CN" w:bidi="ar-SA"/>
    </w:rPr>
  </w:style>
  <w:style w:type="paragraph" w:customStyle="1" w:styleId="5">
    <w:name w:val="cucd-4"/>
    <w:next w:val="6"/>
    <w:qFormat/>
    <w:uiPriority w:val="0"/>
    <w:pPr>
      <w:numPr>
        <w:ilvl w:val="3"/>
        <w:numId w:val="1"/>
      </w:numPr>
      <w:tabs>
        <w:tab w:val="left" w:pos="1200"/>
      </w:tabs>
      <w:spacing w:line="360" w:lineRule="auto"/>
      <w:outlineLvl w:val="3"/>
    </w:pPr>
    <w:rPr>
      <w:rFonts w:ascii="Times New Roman" w:hAnsi="Times New Roman" w:eastAsia="宋体" w:cs="Times New Roman"/>
      <w:kern w:val="2"/>
      <w:sz w:val="24"/>
      <w:szCs w:val="24"/>
      <w:lang w:val="en-US" w:eastAsia="zh-CN" w:bidi="ar-SA"/>
    </w:rPr>
  </w:style>
  <w:style w:type="paragraph" w:customStyle="1" w:styleId="6">
    <w:name w:val="cucd-0"/>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4078</Words>
  <Characters>5335</Characters>
  <TotalTime>2</TotalTime>
  <ScaleCrop>false</ScaleCrop>
  <LinksUpToDate>false</LinksUpToDate>
  <CharactersWithSpaces>5423</CharactersWithSpaces>
  <Application>WPS Office_12.1.3.27451_F1E327BC-269C-435d-A152-05C5408002CA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2026-06-22T15:38:00Z</dcterms:created>
  <dc:creator>Apache POI</dc:creator>
  <cp:lastModifiedBy>梁金柱</cp:lastModifiedBy>
  <dcterms:modified xsi:type="dcterms:W3CDTF">2026-08-31T16:12:47Z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{"Label":"1","ContentProducer":"001191110102MACQD9K64010000","ProduceID":"7654120843270360009","ReservedCode1":"","ContentPropagator":"","PropagateID":"","ReservedCode2":""}</vt:lpwstr>
  </property>
  <property fmtid="{D5CDD505-2E9C-101B-9397-08002B2CF9AE}" pid="3" name="KSOTemplateDocerSaveRecord">
    <vt:lpwstr>eyJoZGlkIjoiNDUwMTFkMDI3ZjBmZjczM2Q3M2EwOGI5M2VjYzUzMDkiLCJ1c2VySWQiOiIxNTk4MjA3NTk5In0=</vt:lpwstr>
  </property>
  <property fmtid="{D5CDD505-2E9C-101B-9397-08002B2CF9AE}" pid="4" name="KSOProductBuildVer">
    <vt:lpwstr>2052-12.1.3.27451</vt:lpwstr>
  </property>
  <property fmtid="{D5CDD505-2E9C-101B-9397-08002B2CF9AE}" pid="5" name="ICV">
    <vt:lpwstr>F4C043824E9241AB8EA6CB717765956D_13</vt:lpwstr>
  </property>
</Properties>
</file>