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F319E">
      <w:pPr>
        <w:spacing w:line="360" w:lineRule="auto"/>
        <w:jc w:val="center"/>
        <w:rPr>
          <w:rFonts w:hint="eastAsia" w:ascii="宋体" w:hAnsi="宋体" w:cs="宋体"/>
          <w:b/>
          <w:sz w:val="44"/>
          <w:szCs w:val="44"/>
        </w:rPr>
      </w:pPr>
      <w:r>
        <w:rPr>
          <w:rFonts w:hint="eastAsia" w:ascii="宋体" w:hAnsi="宋体" w:cs="宋体"/>
          <w:b/>
          <w:sz w:val="44"/>
          <w:szCs w:val="44"/>
        </w:rPr>
        <w:t>东莞市海心沙环保热电厂</w:t>
      </w:r>
    </w:p>
    <w:p w14:paraId="3C9788E4">
      <w:pPr>
        <w:spacing w:line="360" w:lineRule="auto"/>
        <w:jc w:val="center"/>
        <w:rPr>
          <w:rFonts w:ascii="宋体" w:hAnsi="宋体" w:cs="宋体"/>
          <w:b/>
          <w:sz w:val="48"/>
          <w:szCs w:val="48"/>
        </w:rPr>
      </w:pPr>
      <w:r>
        <w:rPr>
          <w:rFonts w:hint="eastAsia" w:ascii="宋体" w:hAnsi="宋体" w:cs="宋体"/>
          <w:b/>
          <w:sz w:val="44"/>
          <w:szCs w:val="44"/>
          <w:lang w:val="en-US" w:eastAsia="zh-CN"/>
        </w:rPr>
        <w:t>锅炉电动葫芦支架连接工程</w:t>
      </w:r>
      <w:r>
        <w:rPr>
          <w:rFonts w:hint="eastAsia" w:ascii="宋体" w:hAnsi="宋体" w:cs="宋体"/>
          <w:b/>
          <w:sz w:val="44"/>
          <w:szCs w:val="44"/>
        </w:rPr>
        <w:t>项目技术需求书</w:t>
      </w:r>
    </w:p>
    <w:p w14:paraId="3341F9AC">
      <w:pPr>
        <w:pStyle w:val="3"/>
        <w:numPr>
          <w:ilvl w:val="0"/>
          <w:numId w:val="0"/>
        </w:numPr>
        <w:tabs>
          <w:tab w:val="left" w:pos="540"/>
        </w:tabs>
        <w:ind w:leftChars="0" w:right="-240" w:rightChars="0"/>
        <w:rPr>
          <w:b/>
          <w:sz w:val="28"/>
        </w:rPr>
      </w:pPr>
      <w:r>
        <w:rPr>
          <w:rFonts w:hint="eastAsia"/>
          <w:b/>
          <w:sz w:val="28"/>
          <w:lang w:val="en-US" w:eastAsia="zh-CN"/>
        </w:rPr>
        <w:t>一、项目介绍</w:t>
      </w:r>
    </w:p>
    <w:p w14:paraId="3061C471">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default" w:ascii="仿宋_GB2312" w:hAnsi="仿宋_GB2312" w:eastAsia="仿宋_GB2312" w:cs="仿宋_GB2312"/>
          <w:color w:val="auto"/>
          <w:spacing w:val="-2"/>
          <w:kern w:val="2"/>
          <w:sz w:val="24"/>
          <w:szCs w:val="24"/>
          <w:highlight w:val="none"/>
          <w:lang w:val="en-US" w:eastAsia="zh-CN" w:bidi="zh-CN"/>
        </w:rPr>
      </w:pPr>
      <w:bookmarkStart w:id="0" w:name="OLE_LINK1"/>
      <w:r>
        <w:rPr>
          <w:rFonts w:hint="eastAsia" w:ascii="仿宋_GB2312" w:hAnsi="仿宋_GB2312" w:eastAsia="仿宋_GB2312" w:cs="仿宋_GB2312"/>
          <w:color w:val="auto"/>
          <w:spacing w:val="-2"/>
          <w:kern w:val="2"/>
          <w:sz w:val="24"/>
          <w:szCs w:val="24"/>
          <w:highlight w:val="none"/>
          <w:lang w:val="en-US" w:eastAsia="zh-CN" w:bidi="zh-CN"/>
        </w:rPr>
        <w:t>东莞市海心沙环保热电厂</w:t>
      </w:r>
      <w:r>
        <w:rPr>
          <w:rFonts w:hint="eastAsia" w:cs="仿宋_GB2312"/>
          <w:color w:val="auto"/>
          <w:spacing w:val="-2"/>
          <w:kern w:val="2"/>
          <w:sz w:val="24"/>
          <w:szCs w:val="24"/>
          <w:highlight w:val="none"/>
          <w:lang w:val="en-US" w:eastAsia="zh-CN" w:bidi="zh-CN"/>
        </w:rPr>
        <w:t>共有三台锅炉，每台锅炉的炉顶在46.01米平台安装有一台2t的电动葫芦，电动葫芦支架的轨道梁为30a工字钢。现需将#1炉、#2炉和#3炉的电动葫芦轨道梁用钢结构连通并加强，满足三台电动葫芦能在一条连通的轨道梁上行走和起吊。</w:t>
      </w:r>
    </w:p>
    <w:bookmarkEnd w:id="0"/>
    <w:p w14:paraId="4DCB36F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lang w:val="en-US"/>
        </w:rPr>
      </w:pPr>
      <w:r>
        <w:rPr>
          <w:rFonts w:hint="eastAsia"/>
          <w:b/>
          <w:sz w:val="28"/>
          <w:lang w:val="en-US" w:eastAsia="zh-CN"/>
        </w:rPr>
        <w:t>二、工程具体情况</w:t>
      </w:r>
    </w:p>
    <w:p w14:paraId="785C4ED0">
      <w:pPr>
        <w:pStyle w:val="2"/>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drawing>
          <wp:inline distT="0" distB="0" distL="114300" distR="114300">
            <wp:extent cx="5969000" cy="4474845"/>
            <wp:effectExtent l="0" t="0" r="0" b="8255"/>
            <wp:docPr id="1" name="图片 1" descr="c93c39d2e21ed52926610091685d6b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93c39d2e21ed52926610091685d6b6f"/>
                    <pic:cNvPicPr>
                      <a:picLocks noChangeAspect="1"/>
                    </pic:cNvPicPr>
                  </pic:nvPicPr>
                  <pic:blipFill>
                    <a:blip r:embed="rId6"/>
                    <a:stretch>
                      <a:fillRect/>
                    </a:stretch>
                  </pic:blipFill>
                  <pic:spPr>
                    <a:xfrm>
                      <a:off x="0" y="0"/>
                      <a:ext cx="5969000" cy="4474845"/>
                    </a:xfrm>
                    <a:prstGeom prst="rect">
                      <a:avLst/>
                    </a:prstGeom>
                  </pic:spPr>
                </pic:pic>
              </a:graphicData>
            </a:graphic>
          </wp:inline>
        </w:drawing>
      </w:r>
    </w:p>
    <w:p w14:paraId="75C90F22">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现场共有两处支架连接的施工位置，分别是位于#1炉、#2炉之间的悬空位置和位于#2炉、#3炉之间的悬空位置，两处施工位置的标高位置和跨度尺寸基本一致（具体以实际测量为准），原有电动葫芦支架详见附件1。</w:t>
      </w:r>
    </w:p>
    <w:p w14:paraId="6C63394B">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电动葫芦的轨道梁的材料为30a工字钢，轨道梁的位于约48.62米标高，加固钢结构的顶端位于约50.62米标高，加固所用材料为H200*200*8*12的H型钢和F100*100*6的方管，具体施工要求详见附件2：《电动葫芦支架连接示意图》。</w:t>
      </w:r>
    </w:p>
    <w:p w14:paraId="5B7AE3A0">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default"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施工完成后，三台炉的电动葫芦能在一条连通的轨道梁上正常行走和起吊作业。</w:t>
      </w:r>
    </w:p>
    <w:p w14:paraId="6766D69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宋体" w:cs="Times New Roman"/>
          <w:kern w:val="2"/>
          <w:sz w:val="21"/>
          <w:szCs w:val="24"/>
          <w:lang w:val="en-US" w:eastAsia="zh-CN" w:bidi="ar-SA"/>
        </w:rPr>
      </w:pPr>
      <w:r>
        <w:rPr>
          <w:rFonts w:hint="eastAsia"/>
          <w:b/>
          <w:sz w:val="28"/>
          <w:lang w:val="en-US" w:eastAsia="zh-CN"/>
        </w:rPr>
        <w:t>三、施工及验收执行规范及标准</w:t>
      </w:r>
    </w:p>
    <w:p w14:paraId="75056C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auto"/>
          <w:spacing w:val="-2"/>
          <w:kern w:val="2"/>
          <w:sz w:val="24"/>
          <w:szCs w:val="24"/>
          <w:highlight w:val="none"/>
          <w:lang w:val="en-US" w:eastAsia="zh-CN" w:bidi="zh-CN"/>
        </w:rPr>
      </w:pPr>
      <w:r>
        <w:rPr>
          <w:rFonts w:hint="eastAsia" w:ascii="仿宋_GB2312" w:hAnsi="仿宋_GB2312" w:eastAsia="仿宋_GB2312" w:cs="仿宋_GB2312"/>
          <w:color w:val="auto"/>
          <w:spacing w:val="-2"/>
          <w:kern w:val="2"/>
          <w:sz w:val="24"/>
          <w:szCs w:val="24"/>
          <w:highlight w:val="none"/>
          <w:lang w:val="en-US" w:eastAsia="zh-CN" w:bidi="zh-CN"/>
        </w:rPr>
        <w:t>1.《施工脚手架通用规范》（GB 55023-2022）；</w:t>
      </w:r>
    </w:p>
    <w:p w14:paraId="44C8038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_GB2312" w:hAnsi="仿宋_GB2312" w:eastAsia="仿宋_GB2312" w:cs="仿宋_GB2312"/>
          <w:color w:val="auto"/>
          <w:spacing w:val="-2"/>
          <w:kern w:val="2"/>
          <w:sz w:val="24"/>
          <w:szCs w:val="24"/>
          <w:highlight w:val="none"/>
          <w:lang w:val="en-US" w:eastAsia="zh-CN" w:bidi="zh-CN"/>
        </w:rPr>
      </w:pPr>
      <w:r>
        <w:rPr>
          <w:rFonts w:hint="eastAsia" w:ascii="仿宋_GB2312" w:hAnsi="仿宋_GB2312" w:eastAsia="仿宋_GB2312" w:cs="仿宋_GB2312"/>
          <w:color w:val="auto"/>
          <w:spacing w:val="-2"/>
          <w:kern w:val="2"/>
          <w:sz w:val="24"/>
          <w:szCs w:val="24"/>
          <w:highlight w:val="none"/>
          <w:lang w:val="en-US" w:eastAsia="zh-CN" w:bidi="zh-CN"/>
        </w:rPr>
        <w:t>2.《钢结构工程施工质量验收标准》（GB 50205-2020）。</w:t>
      </w:r>
    </w:p>
    <w:p w14:paraId="162B6B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b/>
          <w:sz w:val="28"/>
          <w:lang w:val="en-US" w:eastAsia="zh-CN"/>
        </w:rPr>
      </w:pPr>
      <w:r>
        <w:rPr>
          <w:rFonts w:hint="eastAsia"/>
          <w:b/>
          <w:sz w:val="28"/>
          <w:lang w:val="en-US" w:eastAsia="zh-CN"/>
        </w:rPr>
        <w:t>四、工期要求</w:t>
      </w:r>
    </w:p>
    <w:p w14:paraId="6A6A0E0D">
      <w:pPr>
        <w:pStyle w:val="2"/>
        <w:keepNext w:val="0"/>
        <w:keepLines w:val="0"/>
        <w:pageBreakBefore w:val="0"/>
        <w:widowControl w:val="0"/>
        <w:kinsoku/>
        <w:wordWrap/>
        <w:overflowPunct/>
        <w:topLinePunct w:val="0"/>
        <w:autoSpaceDE/>
        <w:autoSpaceDN/>
        <w:bidi w:val="0"/>
        <w:adjustRightInd/>
        <w:snapToGrid/>
        <w:spacing w:line="360" w:lineRule="auto"/>
        <w:ind w:left="119" w:firstLine="472" w:firstLineChars="200"/>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本工程总工期为24个日历日。当采购人生产检修工作需要成交人暂停现场的工作，成交人须按采购人要求积极配合。因采购人要求暂停工作的，该部分时长不算入总工期。</w:t>
      </w:r>
    </w:p>
    <w:p w14:paraId="5E72396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Chars="0"/>
        <w:textAlignment w:val="auto"/>
        <w:rPr>
          <w:rFonts w:hint="default"/>
          <w:b/>
          <w:sz w:val="28"/>
          <w:lang w:val="en-US" w:eastAsia="zh-CN"/>
        </w:rPr>
      </w:pPr>
      <w:r>
        <w:rPr>
          <w:rFonts w:hint="eastAsia"/>
          <w:b/>
          <w:sz w:val="28"/>
          <w:lang w:val="en-US" w:eastAsia="zh-CN"/>
        </w:rPr>
        <w:t>承包方式</w:t>
      </w:r>
    </w:p>
    <w:p w14:paraId="0A32441C">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成交人负责作业面的脚手架搭设和拆除，本工程所需脚手架材料由成交人提供，作业脚手架不得使用竹跳板。</w:t>
      </w:r>
    </w:p>
    <w:p w14:paraId="37A3CEBB">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default"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成交人负责钢结构的起吊、切割、焊接工作。</w:t>
      </w:r>
    </w:p>
    <w:p w14:paraId="6A31D6BD">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成交人负责钢结构表面防腐施工，需刷1遍底漆、1遍面漆。</w:t>
      </w:r>
    </w:p>
    <w:p w14:paraId="53F4FA8F">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default"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成交人负责电动葫芦的电缆、滑触线等电气动力和控制系统的施工。</w:t>
      </w:r>
    </w:p>
    <w:p w14:paraId="2E8C2D62">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本工程所需工字钢、H型钢、方管、钢板、钢丝绳、电缆、焊条、油漆、水、电、氧气、乙炔由采购人提供。</w:t>
      </w:r>
    </w:p>
    <w:p w14:paraId="08E01B13">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本工程所需所有的工具由成交人提供。</w:t>
      </w:r>
    </w:p>
    <w:p w14:paraId="32C49A73">
      <w:pPr>
        <w:pStyle w:val="2"/>
        <w:keepNext w:val="0"/>
        <w:keepLines w:val="0"/>
        <w:pageBreakBefore w:val="0"/>
        <w:widowControl w:val="0"/>
        <w:kinsoku/>
        <w:wordWrap/>
        <w:overflowPunct/>
        <w:topLinePunct w:val="0"/>
        <w:autoSpaceDE/>
        <w:autoSpaceDN/>
        <w:bidi w:val="0"/>
        <w:adjustRightInd/>
        <w:snapToGrid/>
        <w:spacing w:before="0" w:line="360" w:lineRule="auto"/>
        <w:ind w:left="119" w:firstLine="472" w:firstLineChars="200"/>
        <w:textAlignment w:val="auto"/>
        <w:rPr>
          <w:rFonts w:hint="default"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成交人负责施工现场全过程工完料尽、场地清理，做到施工完毕后材料、垃圾、杂物及时清运出场，场地整洁规范。</w:t>
      </w:r>
    </w:p>
    <w:p w14:paraId="20C4A1D1">
      <w:pPr>
        <w:numPr>
          <w:ilvl w:val="0"/>
          <w:numId w:val="1"/>
        </w:numPr>
        <w:spacing w:line="360" w:lineRule="auto"/>
        <w:ind w:left="0" w:leftChars="0" w:firstLine="0" w:firstLineChars="0"/>
        <w:rPr>
          <w:rFonts w:hint="default"/>
          <w:b/>
          <w:sz w:val="28"/>
          <w:lang w:val="en-US" w:eastAsia="zh-CN"/>
        </w:rPr>
      </w:pPr>
      <w:r>
        <w:rPr>
          <w:rFonts w:hint="eastAsia"/>
          <w:b/>
          <w:sz w:val="28"/>
          <w:lang w:val="en-US" w:eastAsia="zh-CN"/>
        </w:rPr>
        <w:t>其他要求</w:t>
      </w:r>
    </w:p>
    <w:p w14:paraId="5DE4D62D">
      <w:pPr>
        <w:pStyle w:val="2"/>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119"/>
        <w:textAlignment w:val="auto"/>
        <w:rPr>
          <w:rFonts w:hint="eastAsia"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应为委派的工作人员按属地社保部门相关标准全员足额参保工伤保险，人员名单与实际进场人员完全一致；应为委派的工作人员购买保额不低于100万元/人的人身意外伤害保险，且保险有效期在合同履行期以内。</w:t>
      </w:r>
    </w:p>
    <w:p w14:paraId="22D9739A">
      <w:pPr>
        <w:pStyle w:val="2"/>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119"/>
        <w:textAlignment w:val="auto"/>
        <w:rPr>
          <w:rFonts w:hint="default" w:cs="仿宋_GB2312"/>
          <w:color w:val="auto"/>
          <w:spacing w:val="-2"/>
          <w:kern w:val="2"/>
          <w:sz w:val="24"/>
          <w:szCs w:val="24"/>
          <w:highlight w:val="none"/>
          <w:lang w:val="en-US" w:eastAsia="zh-CN" w:bidi="zh-CN"/>
        </w:rPr>
      </w:pPr>
      <w:bookmarkStart w:id="1" w:name="_GoBack"/>
      <w:bookmarkEnd w:id="1"/>
      <w:r>
        <w:rPr>
          <w:rFonts w:hint="default" w:cs="仿宋_GB2312"/>
          <w:color w:val="auto"/>
          <w:spacing w:val="-2"/>
          <w:kern w:val="2"/>
          <w:sz w:val="24"/>
          <w:szCs w:val="24"/>
          <w:highlight w:val="none"/>
          <w:lang w:val="en-US" w:eastAsia="zh-CN" w:bidi="zh-CN"/>
        </w:rPr>
        <w:t>本项目组织统一现场踏勘，</w:t>
      </w:r>
      <w:r>
        <w:rPr>
          <w:rFonts w:hint="eastAsia" w:cs="仿宋_GB2312"/>
          <w:color w:val="auto"/>
          <w:spacing w:val="-2"/>
          <w:kern w:val="2"/>
          <w:sz w:val="24"/>
          <w:szCs w:val="24"/>
          <w:highlight w:val="none"/>
          <w:lang w:val="en-US" w:eastAsia="zh-CN" w:bidi="zh-CN"/>
        </w:rPr>
        <w:t>响应人</w:t>
      </w:r>
      <w:r>
        <w:rPr>
          <w:rFonts w:hint="default" w:cs="仿宋_GB2312"/>
          <w:color w:val="auto"/>
          <w:spacing w:val="-2"/>
          <w:kern w:val="2"/>
          <w:sz w:val="24"/>
          <w:szCs w:val="24"/>
          <w:highlight w:val="none"/>
          <w:lang w:val="en-US" w:eastAsia="zh-CN" w:bidi="zh-CN"/>
        </w:rPr>
        <w:t>必须参与项目现场踏勘，</w:t>
      </w:r>
      <w:r>
        <w:rPr>
          <w:rFonts w:hint="eastAsia" w:cs="仿宋_GB2312"/>
          <w:color w:val="auto"/>
          <w:spacing w:val="-2"/>
          <w:kern w:val="2"/>
          <w:sz w:val="24"/>
          <w:szCs w:val="24"/>
          <w:highlight w:val="none"/>
          <w:lang w:val="en-US" w:eastAsia="zh-CN" w:bidi="zh-CN"/>
        </w:rPr>
        <w:t>充分知晓作业现场风险点，</w:t>
      </w:r>
      <w:r>
        <w:rPr>
          <w:rFonts w:hint="default" w:cs="仿宋_GB2312"/>
          <w:color w:val="auto"/>
          <w:spacing w:val="-2"/>
          <w:kern w:val="2"/>
          <w:sz w:val="24"/>
          <w:szCs w:val="24"/>
          <w:highlight w:val="none"/>
          <w:lang w:val="en-US" w:eastAsia="zh-CN" w:bidi="zh-CN"/>
        </w:rPr>
        <w:t>并取得现场踏勘</w:t>
      </w:r>
      <w:r>
        <w:rPr>
          <w:rFonts w:hint="eastAsia" w:cs="仿宋_GB2312"/>
          <w:color w:val="auto"/>
          <w:spacing w:val="-2"/>
          <w:kern w:val="2"/>
          <w:sz w:val="24"/>
          <w:szCs w:val="24"/>
          <w:highlight w:val="none"/>
          <w:lang w:val="en-US" w:eastAsia="zh-CN" w:bidi="zh-CN"/>
        </w:rPr>
        <w:t>回执</w:t>
      </w:r>
      <w:r>
        <w:rPr>
          <w:rFonts w:hint="default" w:cs="仿宋_GB2312"/>
          <w:color w:val="auto"/>
          <w:spacing w:val="-2"/>
          <w:kern w:val="2"/>
          <w:sz w:val="24"/>
          <w:szCs w:val="24"/>
          <w:highlight w:val="none"/>
          <w:lang w:val="en-US" w:eastAsia="zh-CN" w:bidi="zh-CN"/>
        </w:rPr>
        <w:t>，</w:t>
      </w:r>
      <w:r>
        <w:rPr>
          <w:rFonts w:hint="eastAsia" w:cs="仿宋_GB2312"/>
          <w:color w:val="auto"/>
          <w:spacing w:val="-2"/>
          <w:kern w:val="2"/>
          <w:sz w:val="24"/>
          <w:szCs w:val="24"/>
          <w:highlight w:val="none"/>
          <w:lang w:val="en-US" w:eastAsia="zh-CN" w:bidi="zh-CN"/>
        </w:rPr>
        <w:t>现场踏勘回执需作为附件附于响应文件（可使用回执扫描件/复印件制作响应文件，原件备查），</w:t>
      </w:r>
      <w:r>
        <w:rPr>
          <w:rFonts w:hint="default" w:cs="仿宋_GB2312"/>
          <w:color w:val="auto"/>
          <w:spacing w:val="-2"/>
          <w:kern w:val="2"/>
          <w:sz w:val="24"/>
          <w:szCs w:val="24"/>
          <w:highlight w:val="none"/>
          <w:lang w:val="en-US" w:eastAsia="zh-CN" w:bidi="zh-CN"/>
        </w:rPr>
        <w:t>否则视为</w:t>
      </w:r>
      <w:r>
        <w:rPr>
          <w:rFonts w:hint="eastAsia" w:cs="仿宋_GB2312"/>
          <w:color w:val="auto"/>
          <w:spacing w:val="-2"/>
          <w:kern w:val="2"/>
          <w:sz w:val="24"/>
          <w:szCs w:val="24"/>
          <w:highlight w:val="none"/>
          <w:lang w:val="en-US" w:eastAsia="zh-CN" w:bidi="zh-CN"/>
        </w:rPr>
        <w:t>响应</w:t>
      </w:r>
      <w:r>
        <w:rPr>
          <w:rFonts w:hint="default" w:cs="仿宋_GB2312"/>
          <w:color w:val="auto"/>
          <w:spacing w:val="-2"/>
          <w:kern w:val="2"/>
          <w:sz w:val="24"/>
          <w:szCs w:val="24"/>
          <w:highlight w:val="none"/>
          <w:lang w:val="en-US" w:eastAsia="zh-CN" w:bidi="zh-CN"/>
        </w:rPr>
        <w:t>无效。</w:t>
      </w:r>
    </w:p>
    <w:p w14:paraId="7A3436EE">
      <w:pPr>
        <w:pStyle w:val="2"/>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119"/>
        <w:textAlignment w:val="auto"/>
        <w:rPr>
          <w:rFonts w:hint="default"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成交人必须具备机电设备安装工程专业承包三级（或）以上（含三级）资质。</w:t>
      </w:r>
    </w:p>
    <w:p w14:paraId="75E64ACE">
      <w:pPr>
        <w:pStyle w:val="2"/>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119"/>
        <w:textAlignment w:val="auto"/>
        <w:rPr>
          <w:rFonts w:hint="default" w:cs="仿宋_GB2312"/>
          <w:color w:val="auto"/>
          <w:spacing w:val="-2"/>
          <w:kern w:val="2"/>
          <w:sz w:val="24"/>
          <w:szCs w:val="24"/>
          <w:highlight w:val="none"/>
          <w:lang w:val="en-US" w:eastAsia="zh-CN" w:bidi="zh-CN"/>
        </w:rPr>
      </w:pPr>
      <w:r>
        <w:rPr>
          <w:rFonts w:hint="eastAsia" w:cs="仿宋_GB2312"/>
          <w:color w:val="auto"/>
          <w:spacing w:val="-2"/>
          <w:kern w:val="2"/>
          <w:sz w:val="24"/>
          <w:szCs w:val="24"/>
          <w:highlight w:val="none"/>
          <w:lang w:val="en-US" w:eastAsia="zh-CN" w:bidi="zh-CN"/>
        </w:rPr>
        <w:t>成交人</w:t>
      </w:r>
      <w:r>
        <w:rPr>
          <w:rFonts w:hint="default" w:cs="仿宋_GB2312"/>
          <w:color w:val="auto"/>
          <w:spacing w:val="-2"/>
          <w:kern w:val="2"/>
          <w:sz w:val="24"/>
          <w:szCs w:val="24"/>
          <w:highlight w:val="none"/>
          <w:lang w:val="en-US" w:eastAsia="zh-CN" w:bidi="zh-CN"/>
        </w:rPr>
        <w:t>企业具备安全生产条件，并取得《安全生产许可证》</w:t>
      </w:r>
      <w:r>
        <w:rPr>
          <w:rFonts w:hint="eastAsia" w:cs="仿宋_GB2312"/>
          <w:color w:val="auto"/>
          <w:spacing w:val="-2"/>
          <w:kern w:val="2"/>
          <w:sz w:val="24"/>
          <w:szCs w:val="24"/>
          <w:highlight w:val="none"/>
          <w:lang w:val="en-US" w:eastAsia="zh-CN" w:bidi="zh-CN"/>
        </w:rPr>
        <w:t>。</w:t>
      </w:r>
    </w:p>
    <w:sectPr>
      <w:headerReference r:id="rId3" w:type="default"/>
      <w:footerReference r:id="rId4" w:type="default"/>
      <w:pgSz w:w="11906" w:h="16838"/>
      <w:pgMar w:top="1247" w:right="1247" w:bottom="1247" w:left="124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仿宋_GB2312">
    <w:altName w:val="仿宋-简"/>
    <w:panose1 w:val="02010609030101010101"/>
    <w:charset w:val="86"/>
    <w:family w:val="auto"/>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HarmonyOS Sans">
    <w:panose1 w:val="00000500000000000000"/>
    <w:charset w:val="00"/>
    <w:family w:val="auto"/>
    <w:pitch w:val="default"/>
    <w:sig w:usb0="A0000287" w:usb1="00000011" w:usb2="00000000" w:usb3="00000000" w:csb0="00000001" w:csb1="00000000"/>
  </w:font>
  <w:font w:name="黑体-简">
    <w:panose1 w:val="02010609060101010101"/>
    <w:charset w:val="86"/>
    <w:family w:val="auto"/>
    <w:pitch w:val="default"/>
    <w:sig w:usb0="A00002BF" w:usb1="3A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13FB">
    <w:pPr>
      <w:pStyle w:val="5"/>
      <w:ind w:firstLine="2520" w:firstLineChars="1200"/>
      <w:rPr>
        <w:rFonts w:hint="eastAsia"/>
        <w:kern w:val="0"/>
        <w:position w:val="14"/>
        <w:sz w:val="21"/>
        <w:szCs w:val="21"/>
      </w:rPr>
    </w:pPr>
  </w:p>
  <w:tbl>
    <w:tblPr>
      <w:tblStyle w:val="7"/>
      <w:tblW w:w="9385" w:type="dxa"/>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85"/>
    </w:tblGrid>
    <w:tr w14:paraId="6F58D64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rPr>
        <w:trHeight w:val="82" w:hRule="atLeast"/>
      </w:trPr>
      <w:tc>
        <w:tcPr>
          <w:tcW w:w="9385" w:type="dxa"/>
        </w:tcPr>
        <w:p w14:paraId="4AA50F0C">
          <w:pPr>
            <w:pStyle w:val="5"/>
            <w:ind w:firstLine="2520" w:firstLineChars="1200"/>
          </w:pPr>
          <w:r>
            <w:rPr>
              <w:rFonts w:hint="eastAsia"/>
              <w:kern w:val="0"/>
              <w:position w:val="14"/>
              <w:sz w:val="21"/>
              <w:szCs w:val="21"/>
            </w:rPr>
            <w:t xml:space="preserve">                                                            </w:t>
          </w:r>
          <w:r>
            <w:rPr>
              <w:kern w:val="0"/>
              <w:position w:val="14"/>
              <w:sz w:val="21"/>
              <w:szCs w:val="21"/>
            </w:rPr>
            <w:t xml:space="preserve">                                           </w:t>
          </w:r>
        </w:p>
      </w:tc>
    </w:tr>
  </w:tbl>
  <w:p w14:paraId="41F1C570">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520A0">
    <w:pPr>
      <w:pStyle w:val="6"/>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D0FF8"/>
    <w:multiLevelType w:val="singleLevel"/>
    <w:tmpl w:val="031D0FF8"/>
    <w:lvl w:ilvl="0" w:tentative="0">
      <w:start w:val="1"/>
      <w:numFmt w:val="decimal"/>
      <w:lvlText w:val="%1."/>
      <w:lvlJc w:val="left"/>
      <w:pPr>
        <w:tabs>
          <w:tab w:val="left" w:pos="312"/>
        </w:tabs>
      </w:pPr>
    </w:lvl>
  </w:abstractNum>
  <w:abstractNum w:abstractNumId="1">
    <w:nsid w:val="3F852C84"/>
    <w:multiLevelType w:val="singleLevel"/>
    <w:tmpl w:val="3F852C84"/>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0MGJmODdjYjg3MmVlZmJiNGU1ZTI1ZGQwMDYwZjkifQ=="/>
  </w:docVars>
  <w:rsids>
    <w:rsidRoot w:val="00372601"/>
    <w:rsid w:val="00002E66"/>
    <w:rsid w:val="000207D8"/>
    <w:rsid w:val="00045557"/>
    <w:rsid w:val="00054DA4"/>
    <w:rsid w:val="000606ED"/>
    <w:rsid w:val="000F3A0D"/>
    <w:rsid w:val="001063B0"/>
    <w:rsid w:val="00107637"/>
    <w:rsid w:val="001315D9"/>
    <w:rsid w:val="001A6E97"/>
    <w:rsid w:val="001C14D2"/>
    <w:rsid w:val="001C7724"/>
    <w:rsid w:val="001F2E9B"/>
    <w:rsid w:val="001F63DE"/>
    <w:rsid w:val="00210390"/>
    <w:rsid w:val="0022389E"/>
    <w:rsid w:val="00233BC0"/>
    <w:rsid w:val="00250576"/>
    <w:rsid w:val="00305C86"/>
    <w:rsid w:val="00336050"/>
    <w:rsid w:val="00372601"/>
    <w:rsid w:val="003974DB"/>
    <w:rsid w:val="003B5B25"/>
    <w:rsid w:val="003B5B85"/>
    <w:rsid w:val="003F23CE"/>
    <w:rsid w:val="004450B1"/>
    <w:rsid w:val="0044541B"/>
    <w:rsid w:val="00523136"/>
    <w:rsid w:val="00544645"/>
    <w:rsid w:val="00571C8F"/>
    <w:rsid w:val="005875B9"/>
    <w:rsid w:val="005C6398"/>
    <w:rsid w:val="005D5184"/>
    <w:rsid w:val="005F133C"/>
    <w:rsid w:val="00607877"/>
    <w:rsid w:val="00615F34"/>
    <w:rsid w:val="00624227"/>
    <w:rsid w:val="006245BB"/>
    <w:rsid w:val="006F4893"/>
    <w:rsid w:val="0070727F"/>
    <w:rsid w:val="00760075"/>
    <w:rsid w:val="0076738F"/>
    <w:rsid w:val="008526BB"/>
    <w:rsid w:val="00945350"/>
    <w:rsid w:val="009A7614"/>
    <w:rsid w:val="009C141A"/>
    <w:rsid w:val="00A03A48"/>
    <w:rsid w:val="00A13454"/>
    <w:rsid w:val="00A3090A"/>
    <w:rsid w:val="00A4026E"/>
    <w:rsid w:val="00A45D3F"/>
    <w:rsid w:val="00A90052"/>
    <w:rsid w:val="00A978DD"/>
    <w:rsid w:val="00AA7252"/>
    <w:rsid w:val="00B42EC8"/>
    <w:rsid w:val="00B46EFC"/>
    <w:rsid w:val="00B76529"/>
    <w:rsid w:val="00B80420"/>
    <w:rsid w:val="00BA70F8"/>
    <w:rsid w:val="00BC3EC9"/>
    <w:rsid w:val="00BD4E68"/>
    <w:rsid w:val="00C04074"/>
    <w:rsid w:val="00C918FE"/>
    <w:rsid w:val="00C93145"/>
    <w:rsid w:val="00CB4A08"/>
    <w:rsid w:val="00CD0A20"/>
    <w:rsid w:val="00CF1CD3"/>
    <w:rsid w:val="00D56C38"/>
    <w:rsid w:val="00D63E46"/>
    <w:rsid w:val="00E34F4D"/>
    <w:rsid w:val="00E55EA3"/>
    <w:rsid w:val="00E82723"/>
    <w:rsid w:val="00EB287E"/>
    <w:rsid w:val="00FD3A01"/>
    <w:rsid w:val="038D4CA1"/>
    <w:rsid w:val="03942BD9"/>
    <w:rsid w:val="12794983"/>
    <w:rsid w:val="14731430"/>
    <w:rsid w:val="14895ED5"/>
    <w:rsid w:val="1630260A"/>
    <w:rsid w:val="16BC60CF"/>
    <w:rsid w:val="1B2B3823"/>
    <w:rsid w:val="1BD1278D"/>
    <w:rsid w:val="274E68CF"/>
    <w:rsid w:val="34747CEC"/>
    <w:rsid w:val="35225E68"/>
    <w:rsid w:val="3C362F39"/>
    <w:rsid w:val="3FFE39BD"/>
    <w:rsid w:val="4128276E"/>
    <w:rsid w:val="452C1139"/>
    <w:rsid w:val="4D7F7C52"/>
    <w:rsid w:val="4E8D5388"/>
    <w:rsid w:val="4F627F5F"/>
    <w:rsid w:val="5C1B6571"/>
    <w:rsid w:val="6019759F"/>
    <w:rsid w:val="60DD6C4A"/>
    <w:rsid w:val="647B37AB"/>
    <w:rsid w:val="66B942AC"/>
    <w:rsid w:val="66D03402"/>
    <w:rsid w:val="6FDF00F5"/>
    <w:rsid w:val="760D5E1C"/>
    <w:rsid w:val="7D9A5540"/>
    <w:rsid w:val="7FE12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spacing w:before="2"/>
      <w:ind w:left="120"/>
    </w:pPr>
    <w:rPr>
      <w:rFonts w:ascii="仿宋_GB2312" w:hAnsi="仿宋_GB2312" w:eastAsia="仿宋_GB2312" w:cs="仿宋_GB2312"/>
      <w:szCs w:val="32"/>
      <w:lang w:val="zh-CN" w:bidi="zh-CN"/>
    </w:rPr>
  </w:style>
  <w:style w:type="paragraph" w:styleId="3">
    <w:name w:val="Plain Text"/>
    <w:basedOn w:val="1"/>
    <w:autoRedefine/>
    <w:qFormat/>
    <w:uiPriority w:val="0"/>
    <w:rPr>
      <w:rFonts w:ascii="宋体" w:hAnsi="Courier New"/>
      <w:szCs w:val="20"/>
    </w:rPr>
  </w:style>
  <w:style w:type="paragraph" w:styleId="4">
    <w:name w:val="Balloon Text"/>
    <w:basedOn w:val="1"/>
    <w:autoRedefine/>
    <w:semiHidden/>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table" w:styleId="8">
    <w:name w:val="Table Grid"/>
    <w:basedOn w:val="7"/>
    <w:autoRedefine/>
    <w:unhideWhenUsed/>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标准正文"/>
    <w:basedOn w:val="1"/>
    <w:autoRedefine/>
    <w:qFormat/>
    <w:uiPriority w:val="0"/>
    <w:pPr>
      <w:tabs>
        <w:tab w:val="left" w:pos="-735"/>
        <w:tab w:val="left" w:pos="-315"/>
      </w:tabs>
      <w:spacing w:line="360" w:lineRule="auto"/>
    </w:pPr>
    <w:rPr>
      <w:rFonts w:ascii="Arial" w:hAnsi="Arial" w:cs="Arial"/>
      <w:color w:val="000000"/>
      <w:kern w:val="1"/>
      <w:sz w:val="24"/>
    </w:rPr>
  </w:style>
  <w:style w:type="character" w:customStyle="1" w:styleId="11">
    <w:name w:val="short_text1"/>
    <w:autoRedefine/>
    <w:qFormat/>
    <w:uiPriority w:val="0"/>
    <w:rPr>
      <w:sz w:val="25"/>
      <w:szCs w:val="25"/>
    </w:rPr>
  </w:style>
  <w:style w:type="paragraph" w:styleId="12">
    <w:name w:val="List Paragraph"/>
    <w:basedOn w:val="1"/>
    <w:autoRedefine/>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909AB629-7991-4013-B35C-726AF9EE764D}">
  <ds:schemaRefs/>
</ds:datastoreItem>
</file>

<file path=docProps/app.xml><?xml version="1.0" encoding="utf-8"?>
<Properties xmlns="http://schemas.openxmlformats.org/officeDocument/2006/extended-properties" xmlns:vt="http://schemas.openxmlformats.org/officeDocument/2006/docPropsVTypes">
  <Template>Normal</Template>
  <Pages>2</Pages>
  <Words>986</Words>
  <Characters>1056</Characters>
  <Lines>46</Lines>
  <Paragraphs>13</Paragraphs>
  <TotalTime>0</TotalTime>
  <ScaleCrop>false</ScaleCrop>
  <LinksUpToDate>false</LinksUpToDate>
  <CharactersWithSpaces>1058</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2021-10-26T21:54:00Z</dcterms:created>
  <dc:creator>hezb</dc:creator>
  <cp:lastModifiedBy>梁金柱</cp:lastModifiedBy>
  <cp:lastPrinted>2010-10-09T23:19:00Z</cp:lastPrinted>
  <dcterms:modified xsi:type="dcterms:W3CDTF">2026-07-29T09:04:24Z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20D8306E759D4A5B84F18D214854785B_12</vt:lpwstr>
  </property>
  <property fmtid="{D5CDD505-2E9C-101B-9397-08002B2CF9AE}" pid="4" name="KSOTemplateDocerSaveRecord">
    <vt:lpwstr>eyJoZGlkIjoiNDUwMTFkMDI3ZjBmZjczM2Q3M2EwOGI5M2VjYzUzMDkiLCJ1c2VySWQiOiIxNTk4MjA3NTk5In0=</vt:lpwstr>
  </property>
</Properties>
</file>