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345A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东莞市海心沙资源综合利用中心环保热电厂</w:t>
      </w:r>
      <w:r>
        <w:rPr>
          <w:rFonts w:hint="eastAsia" w:ascii="方正小标宋简体" w:hAnsi="方正小标宋简体" w:eastAsia="方正小标宋简体" w:cs="方正小标宋简体"/>
          <w:b w:val="0"/>
          <w:bCs w:val="0"/>
          <w:sz w:val="44"/>
          <w:szCs w:val="44"/>
        </w:rPr>
        <w:t>参观通道</w:t>
      </w:r>
      <w:r>
        <w:rPr>
          <w:rFonts w:hint="eastAsia" w:ascii="方正小标宋简体" w:hAnsi="方正小标宋简体" w:eastAsia="方正小标宋简体" w:cs="方正小标宋简体"/>
          <w:b w:val="0"/>
          <w:bCs w:val="0"/>
          <w:sz w:val="44"/>
          <w:szCs w:val="44"/>
          <w:lang w:val="en-US" w:eastAsia="zh-CN"/>
        </w:rPr>
        <w:t>汽机房区域</w:t>
      </w:r>
      <w:r>
        <w:rPr>
          <w:rFonts w:hint="eastAsia" w:ascii="方正小标宋简体" w:hAnsi="方正小标宋简体" w:eastAsia="方正小标宋简体" w:cs="方正小标宋简体"/>
          <w:b w:val="0"/>
          <w:bCs w:val="0"/>
          <w:sz w:val="44"/>
          <w:szCs w:val="44"/>
        </w:rPr>
        <w:t>防火窗隔断改造项目需求书</w:t>
      </w:r>
    </w:p>
    <w:p w14:paraId="1FE738F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rPr>
      </w:pPr>
    </w:p>
    <w:p w14:paraId="084EEB5A">
      <w:pPr>
        <w:keepNext w:val="0"/>
        <w:keepLines w:val="0"/>
        <w:pageBreakBefore w:val="0"/>
        <w:numPr>
          <w:ilvl w:val="0"/>
          <w:numId w:val="1"/>
        </w:numPr>
        <w:kinsoku/>
        <w:wordWrap/>
        <w:overflowPunct/>
        <w:topLinePunct w:val="0"/>
        <w:autoSpaceDE/>
        <w:autoSpaceDN/>
        <w:bidi w:val="0"/>
        <w:adjustRightInd/>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需求概况</w:t>
      </w:r>
    </w:p>
    <w:p w14:paraId="471CBA6B">
      <w:pPr>
        <w:keepNext w:val="0"/>
        <w:keepLines w:val="0"/>
        <w:pageBreakBefore w:val="0"/>
        <w:numPr>
          <w:ilvl w:val="0"/>
          <w:numId w:val="2"/>
        </w:numPr>
        <w:tabs>
          <w:tab w:val="left" w:pos="320"/>
        </w:tabs>
        <w:kinsoku/>
        <w:wordWrap/>
        <w:overflowPunct/>
        <w:topLinePunct w:val="0"/>
        <w:autoSpaceDE/>
        <w:autoSpaceDN/>
        <w:bidi w:val="0"/>
        <w:adjustRightInd/>
        <w:ind w:firstLine="643" w:firstLineChars="200"/>
        <w:jc w:val="left"/>
        <w:rPr>
          <w:rFonts w:hint="eastAsia" w:ascii="方正楷体_GB2312" w:hAnsi="方正楷体_GB2312" w:eastAsia="方正楷体_GB2312" w:cs="方正楷体_GB2312"/>
          <w:b w:val="0"/>
          <w:bCs w:val="0"/>
          <w:sz w:val="32"/>
          <w:szCs w:val="32"/>
        </w:rPr>
      </w:pPr>
      <w:r>
        <w:rPr>
          <w:rFonts w:hint="eastAsia" w:ascii="方正楷体_GB2312" w:hAnsi="方正楷体_GB2312" w:eastAsia="方正楷体_GB2312" w:cs="方正楷体_GB2312"/>
          <w:b/>
          <w:bCs/>
          <w:sz w:val="32"/>
          <w:szCs w:val="32"/>
        </w:rPr>
        <w:t>需求背景</w:t>
      </w:r>
      <w:r>
        <w:rPr>
          <w:rFonts w:hint="eastAsia" w:ascii="方正楷体_GB2312" w:hAnsi="方正楷体_GB2312" w:eastAsia="方正楷体_GB2312" w:cs="方正楷体_GB2312"/>
          <w:b w:val="0"/>
          <w:bCs w:val="0"/>
          <w:sz w:val="32"/>
          <w:szCs w:val="32"/>
        </w:rPr>
        <w:t>：</w:t>
      </w:r>
    </w:p>
    <w:p w14:paraId="71400BF8">
      <w:pPr>
        <w:keepNext w:val="0"/>
        <w:keepLines w:val="0"/>
        <w:pageBreakBefore w:val="0"/>
        <w:widowControl w:val="0"/>
        <w:numPr>
          <w:ilvl w:val="0"/>
          <w:numId w:val="0"/>
        </w:numPr>
        <w:tabs>
          <w:tab w:val="left" w:pos="320"/>
        </w:tabs>
        <w:kinsoku/>
        <w:wordWrap/>
        <w:overflowPunct/>
        <w:topLinePunct w:val="0"/>
        <w:autoSpaceDE/>
        <w:autoSpaceDN/>
        <w:bidi w:val="0"/>
        <w:adjustRightInd/>
        <w:snapToGrid/>
        <w:ind w:firstLine="640" w:firstLineChars="200"/>
        <w:jc w:val="both"/>
        <w:textAlignment w:val="auto"/>
        <w:rPr>
          <w:rFonts w:hint="eastAsia" w:ascii="Times New Roman" w:hAnsi="Times New Roman" w:eastAsia="仿宋_GB2312" w:cs="Times New Roman"/>
          <w:b w:val="0"/>
          <w:bCs w:val="0"/>
          <w:sz w:val="32"/>
          <w:szCs w:val="32"/>
          <w:lang w:val="en-US" w:eastAsia="zh-CN"/>
        </w:rPr>
      </w:pPr>
      <w:r>
        <w:rPr>
          <w:rFonts w:hint="eastAsia" w:ascii="Times New Roman" w:hAnsi="Times New Roman" w:eastAsia="仿宋_GB2312" w:cs="Times New Roman"/>
          <w:b w:val="0"/>
          <w:bCs w:val="0"/>
          <w:sz w:val="32"/>
          <w:szCs w:val="32"/>
          <w:lang w:val="en-US" w:eastAsia="zh-CN"/>
        </w:rPr>
        <w:t>东莞市海心沙资源综合利用中心环保热电厂汽机房8.5米层参观通道玻璃隔断长期受机组高温热辐射，原有防火玻璃出现发黄、视野偏色、透光差等现象，且原有玻璃隔热、隔音、防紫外线性能不足，容易加速室内设备设施老化，同时严重影响外来客户参观观感与现场可视化展示效果。为实现高通透无色差视野，提升隔热、隔音、防紫外线综合性能，保护室内设备设施，同时为统一建筑外立面视觉风格，需对该区域整条原有玻璃及配套框架全部拆除更换，按照外观统一、耐用长效、成本可控、无视觉干扰原则实施全包施工采购。</w:t>
      </w:r>
    </w:p>
    <w:p w14:paraId="006CBCFE">
      <w:pPr>
        <w:keepNext w:val="0"/>
        <w:keepLines w:val="0"/>
        <w:pageBreakBefore w:val="0"/>
        <w:numPr>
          <w:ilvl w:val="0"/>
          <w:numId w:val="2"/>
        </w:numPr>
        <w:tabs>
          <w:tab w:val="left" w:pos="320"/>
        </w:tabs>
        <w:kinsoku/>
        <w:wordWrap/>
        <w:overflowPunct/>
        <w:topLinePunct w:val="0"/>
        <w:autoSpaceDE/>
        <w:autoSpaceDN/>
        <w:bidi w:val="0"/>
        <w:adjustRightInd/>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sz w:val="32"/>
          <w:szCs w:val="32"/>
        </w:rPr>
        <w:t>采购施工范围</w:t>
      </w:r>
      <w:r>
        <w:rPr>
          <w:rFonts w:hint="eastAsia" w:ascii="方正楷体_GB2312" w:hAnsi="方正楷体_GB2312" w:eastAsia="方正楷体_GB2312" w:cs="方正楷体_GB2312"/>
          <w:b/>
          <w:bCs/>
          <w:sz w:val="32"/>
          <w:szCs w:val="32"/>
          <w:lang w:eastAsia="zh-CN"/>
        </w:rPr>
        <w:t>：</w:t>
      </w:r>
    </w:p>
    <w:p w14:paraId="1E451BA9">
      <w:pPr>
        <w:keepNext w:val="0"/>
        <w:keepLines w:val="0"/>
        <w:pageBreakBefore w:val="0"/>
        <w:numPr>
          <w:ilvl w:val="0"/>
          <w:numId w:val="0"/>
        </w:numPr>
        <w:tabs>
          <w:tab w:val="left" w:pos="320"/>
        </w:tabs>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lang w:val="en-US" w:eastAsia="zh-CN"/>
        </w:rPr>
        <w:t>东莞市海心沙资源综合利用中心环保热电厂汽机房8.5米层参观通道</w:t>
      </w:r>
      <w:r>
        <w:rPr>
          <w:rFonts w:hint="eastAsia" w:ascii="Times New Roman" w:hAnsi="Times New Roman" w:eastAsia="仿宋_GB2312" w:cs="Times New Roman"/>
          <w:b w:val="0"/>
          <w:bCs w:val="0"/>
          <w:sz w:val="32"/>
          <w:szCs w:val="32"/>
        </w:rPr>
        <w:t>原有玻璃、旧框架整体拆除清运；全新不锈钢拉丝框架（匹配原有现场立面风格）制作安装；定制纳米水</w:t>
      </w:r>
      <w:r>
        <w:rPr>
          <w:rFonts w:hint="eastAsia" w:ascii="Times New Roman" w:hAnsi="Times New Roman" w:eastAsia="仿宋_GB2312" w:cs="Times New Roman"/>
          <w:b w:val="0"/>
          <w:bCs w:val="0"/>
          <w:sz w:val="32"/>
          <w:szCs w:val="32"/>
          <w:lang w:eastAsia="zh-CN"/>
        </w:rPr>
        <w:t>晶</w:t>
      </w:r>
      <w:r>
        <w:rPr>
          <w:rFonts w:hint="eastAsia" w:ascii="Times New Roman" w:hAnsi="Times New Roman" w:eastAsia="仿宋_GB2312" w:cs="Times New Roman"/>
          <w:b w:val="0"/>
          <w:bCs w:val="0"/>
          <w:sz w:val="32"/>
          <w:szCs w:val="32"/>
        </w:rPr>
        <w:t>硅胶隔热</w:t>
      </w:r>
      <w:r>
        <w:rPr>
          <w:rFonts w:hint="eastAsia"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隔音</w:t>
      </w:r>
      <w:r>
        <w:rPr>
          <w:rFonts w:hint="eastAsia" w:ascii="Times New Roman" w:hAnsi="Times New Roman" w:eastAsia="仿宋_GB2312" w:cs="Times New Roman"/>
          <w:b w:val="0"/>
          <w:bCs w:val="0"/>
          <w:sz w:val="32"/>
          <w:szCs w:val="32"/>
        </w:rPr>
        <w:t>型防火玻璃供货、运输、现场打胶安装；含整体质保、售后维修服务。</w:t>
      </w:r>
    </w:p>
    <w:p w14:paraId="4B0724EC">
      <w:pPr>
        <w:keepNext w:val="0"/>
        <w:keepLines w:val="0"/>
        <w:pageBreakBefore w:val="0"/>
        <w:numPr>
          <w:ilvl w:val="0"/>
          <w:numId w:val="2"/>
        </w:numPr>
        <w:tabs>
          <w:tab w:val="left" w:pos="320"/>
        </w:tabs>
        <w:kinsoku/>
        <w:wordWrap/>
        <w:overflowPunct/>
        <w:topLinePunct w:val="0"/>
        <w:autoSpaceDE/>
        <w:autoSpaceDN/>
        <w:bidi w:val="0"/>
        <w:adjustRightInd/>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sz w:val="32"/>
          <w:szCs w:val="32"/>
        </w:rPr>
        <w:t>采购材料清单：</w:t>
      </w:r>
    </w:p>
    <w:p w14:paraId="7D2DC728">
      <w:pPr>
        <w:keepNext w:val="0"/>
        <w:keepLines w:val="0"/>
        <w:pageBreakBefore w:val="0"/>
        <w:widowControl w:val="0"/>
        <w:numPr>
          <w:ilvl w:val="0"/>
          <w:numId w:val="0"/>
        </w:numPr>
        <w:tabs>
          <w:tab w:val="left" w:pos="320"/>
        </w:tabs>
        <w:kinsoku/>
        <w:wordWrap/>
        <w:overflowPunct/>
        <w:topLinePunct w:val="0"/>
        <w:autoSpaceDE/>
        <w:autoSpaceDN/>
        <w:bidi w:val="0"/>
        <w:adjustRightInd/>
        <w:jc w:val="left"/>
        <w:rPr>
          <w:rFonts w:hint="eastAsia" w:ascii="Times New Roman" w:hAnsi="Times New Roman" w:eastAsia="仿宋_GB2312" w:cs="Times New Roman"/>
          <w:b w:val="0"/>
          <w:bCs w:val="0"/>
          <w:sz w:val="32"/>
          <w:szCs w:val="32"/>
        </w:rPr>
      </w:pPr>
    </w:p>
    <w:tbl>
      <w:tblPr>
        <w:tblStyle w:val="6"/>
        <w:tblW w:w="7932" w:type="dxa"/>
        <w:jc w:val="center"/>
        <w:tblLayout w:type="fixed"/>
        <w:tblCellMar>
          <w:top w:w="0" w:type="dxa"/>
          <w:left w:w="0" w:type="dxa"/>
          <w:bottom w:w="0" w:type="dxa"/>
          <w:right w:w="0" w:type="dxa"/>
        </w:tblCellMar>
      </w:tblPr>
      <w:tblGrid>
        <w:gridCol w:w="613"/>
        <w:gridCol w:w="1612"/>
        <w:gridCol w:w="2931"/>
        <w:gridCol w:w="662"/>
        <w:gridCol w:w="873"/>
        <w:gridCol w:w="1241"/>
      </w:tblGrid>
      <w:tr w14:paraId="0DCE8B50">
        <w:trPr>
          <w:trHeight w:val="0" w:hRule="atLeast"/>
          <w:tblHeader/>
          <w:jc w:val="center"/>
        </w:trPr>
        <w:tc>
          <w:tcPr>
            <w:tcW w:w="6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AAF99C">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ascii="Times New Roman" w:hAnsi="Times New Roman" w:eastAsia="仿宋_GB2312" w:cs="Times New Roman"/>
                <w:b/>
                <w:bCs w:val="0"/>
                <w:sz w:val="22"/>
                <w:szCs w:val="22"/>
              </w:rPr>
            </w:pPr>
            <w:r>
              <w:rPr>
                <w:rFonts w:hint="eastAsia" w:ascii="Times New Roman" w:hAnsi="Times New Roman" w:eastAsia="仿宋_GB2312" w:cs="Times New Roman"/>
                <w:b/>
                <w:bCs w:val="0"/>
                <w:kern w:val="0"/>
                <w:sz w:val="22"/>
                <w:szCs w:val="22"/>
                <w:lang w:bidi="ar"/>
              </w:rPr>
              <w:t>编号</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61BA5">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ascii="Times New Roman" w:hAnsi="Times New Roman" w:eastAsia="仿宋_GB2312" w:cs="Times New Roman"/>
                <w:b/>
                <w:bCs w:val="0"/>
                <w:kern w:val="0"/>
                <w:sz w:val="22"/>
                <w:szCs w:val="22"/>
                <w:lang w:bidi="ar"/>
              </w:rPr>
            </w:pPr>
            <w:r>
              <w:rPr>
                <w:rFonts w:hint="eastAsia" w:ascii="Times New Roman" w:hAnsi="Times New Roman" w:eastAsia="仿宋_GB2312" w:cs="Times New Roman"/>
                <w:b/>
                <w:bCs w:val="0"/>
                <w:kern w:val="0"/>
                <w:sz w:val="22"/>
                <w:szCs w:val="22"/>
                <w:lang w:val="en-US" w:eastAsia="zh-CN" w:bidi="ar"/>
              </w:rPr>
              <w:t>项目</w:t>
            </w:r>
            <w:r>
              <w:rPr>
                <w:rFonts w:hint="eastAsia" w:ascii="Times New Roman" w:hAnsi="Times New Roman" w:eastAsia="仿宋_GB2312" w:cs="Times New Roman"/>
                <w:b/>
                <w:bCs w:val="0"/>
                <w:kern w:val="0"/>
                <w:sz w:val="22"/>
                <w:szCs w:val="22"/>
                <w:lang w:bidi="ar"/>
              </w:rPr>
              <w:t>名称</w:t>
            </w:r>
          </w:p>
        </w:tc>
        <w:tc>
          <w:tcPr>
            <w:tcW w:w="2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2E743">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ascii="Times New Roman" w:hAnsi="Times New Roman" w:eastAsia="仿宋_GB2312" w:cs="Times New Roman"/>
                <w:b/>
                <w:bCs w:val="0"/>
                <w:sz w:val="22"/>
                <w:szCs w:val="22"/>
              </w:rPr>
            </w:pPr>
            <w:r>
              <w:rPr>
                <w:rFonts w:hint="eastAsia" w:ascii="Times New Roman" w:hAnsi="Times New Roman" w:eastAsia="仿宋_GB2312" w:cs="Times New Roman"/>
                <w:b/>
                <w:bCs w:val="0"/>
                <w:kern w:val="0"/>
                <w:sz w:val="22"/>
                <w:szCs w:val="22"/>
                <w:lang w:bidi="ar"/>
              </w:rPr>
              <w:t>项目循求/规格/技术参数</w:t>
            </w: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E355E">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ascii="Times New Roman" w:hAnsi="Times New Roman" w:eastAsia="仿宋_GB2312" w:cs="Times New Roman"/>
                <w:b/>
                <w:bCs w:val="0"/>
                <w:color w:val="000000"/>
                <w:sz w:val="22"/>
                <w:szCs w:val="22"/>
              </w:rPr>
            </w:pPr>
            <w:r>
              <w:rPr>
                <w:rFonts w:hint="eastAsia" w:ascii="Times New Roman" w:hAnsi="Times New Roman" w:eastAsia="仿宋_GB2312" w:cs="Times New Roman"/>
                <w:b/>
                <w:bCs w:val="0"/>
                <w:color w:val="000000"/>
                <w:kern w:val="0"/>
                <w:sz w:val="22"/>
                <w:szCs w:val="22"/>
                <w:lang w:bidi="ar"/>
              </w:rPr>
              <w:t>单位</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E7F59">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eastAsia" w:ascii="Times New Roman" w:hAnsi="Times New Roman" w:eastAsia="仿宋_GB2312" w:cs="Times New Roman"/>
                <w:b/>
                <w:bCs w:val="0"/>
                <w:color w:val="000000"/>
                <w:kern w:val="0"/>
                <w:sz w:val="22"/>
                <w:szCs w:val="22"/>
                <w:lang w:val="en-US" w:eastAsia="zh-CN" w:bidi="ar"/>
              </w:rPr>
            </w:pPr>
            <w:r>
              <w:rPr>
                <w:rFonts w:hint="eastAsia" w:ascii="Times New Roman" w:hAnsi="Times New Roman" w:eastAsia="仿宋_GB2312" w:cs="Times New Roman"/>
                <w:b/>
                <w:bCs w:val="0"/>
                <w:color w:val="000000"/>
                <w:kern w:val="0"/>
                <w:sz w:val="22"/>
                <w:szCs w:val="22"/>
                <w:lang w:val="en-US" w:eastAsia="zh-CN" w:bidi="ar"/>
              </w:rPr>
              <w:t>数量</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8ACF8C">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ascii="Times New Roman" w:hAnsi="Times New Roman" w:eastAsia="仿宋_GB2312" w:cs="Times New Roman"/>
                <w:b/>
                <w:bCs w:val="0"/>
                <w:color w:val="000000"/>
                <w:kern w:val="0"/>
                <w:sz w:val="22"/>
                <w:szCs w:val="22"/>
                <w:lang w:bidi="ar"/>
              </w:rPr>
            </w:pPr>
            <w:r>
              <w:rPr>
                <w:rFonts w:hint="eastAsia" w:ascii="Times New Roman" w:hAnsi="Times New Roman" w:eastAsia="仿宋_GB2312" w:cs="Times New Roman"/>
                <w:b/>
                <w:bCs w:val="0"/>
                <w:color w:val="000000"/>
                <w:kern w:val="0"/>
                <w:sz w:val="22"/>
                <w:szCs w:val="22"/>
                <w:lang w:bidi="ar"/>
              </w:rPr>
              <w:t>备注</w:t>
            </w:r>
          </w:p>
        </w:tc>
      </w:tr>
      <w:tr w14:paraId="1FCDD109">
        <w:trPr>
          <w:trHeight w:val="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3DC690">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ascii="Times New Roman" w:hAnsi="Times New Roman" w:eastAsia="仿宋_GB2312" w:cs="Times New Roman"/>
                <w:b w:val="0"/>
                <w:bCs w:val="0"/>
                <w:sz w:val="22"/>
                <w:szCs w:val="22"/>
              </w:rPr>
            </w:pPr>
            <w:r>
              <w:rPr>
                <w:rFonts w:hint="eastAsia" w:ascii="Times New Roman" w:hAnsi="Times New Roman" w:eastAsia="仿宋_GB2312" w:cs="Times New Roman"/>
                <w:b w:val="0"/>
                <w:bCs w:val="0"/>
                <w:kern w:val="0"/>
                <w:sz w:val="22"/>
                <w:szCs w:val="22"/>
                <w:lang w:bidi="ar"/>
              </w:rPr>
              <w:t>1</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E68BE">
            <w:pPr>
              <w:keepNext w:val="0"/>
              <w:keepLines w:val="0"/>
              <w:widowControl/>
              <w:suppressLineNumbers w:val="0"/>
              <w:jc w:val="left"/>
              <w:rPr>
                <w:rFonts w:hint="eastAsia" w:ascii="Times New Roman" w:hAnsi="Times New Roman" w:eastAsia="仿宋_GB2312" w:cs="Times New Roman"/>
                <w:b w:val="0"/>
                <w:bCs w:val="0"/>
                <w:kern w:val="0"/>
                <w:sz w:val="22"/>
                <w:szCs w:val="22"/>
                <w:lang w:val="en-US" w:eastAsia="zh-CN" w:bidi="ar"/>
              </w:rPr>
            </w:pPr>
            <w:r>
              <w:rPr>
                <w:rFonts w:hint="eastAsia" w:ascii="宋体" w:hAnsi="宋体" w:eastAsia="宋体" w:cs="宋体"/>
                <w:color w:val="000000"/>
                <w:kern w:val="0"/>
                <w:sz w:val="20"/>
                <w:szCs w:val="20"/>
                <w:lang w:val="en-US" w:eastAsia="zh-CN" w:bidi="ar"/>
              </w:rPr>
              <w:t>原有防火玻璃窗拆除</w:t>
            </w:r>
          </w:p>
        </w:tc>
        <w:tc>
          <w:tcPr>
            <w:tcW w:w="2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82D068">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1、不锈钢外框厚1.2mm </w:t>
            </w:r>
          </w:p>
          <w:p w14:paraId="619FF8E6">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2、防火玻璃窗尺寸：6000 *2700</w:t>
            </w:r>
          </w:p>
          <w:p w14:paraId="4917B1B7">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3、原防火玻璃厚度：25mm </w:t>
            </w:r>
          </w:p>
          <w:p w14:paraId="7AA7C1DA">
            <w:pPr>
              <w:keepNext w:val="0"/>
              <w:keepLines w:val="0"/>
              <w:widowControl/>
              <w:suppressLineNumbers w:val="0"/>
              <w:jc w:val="left"/>
            </w:pPr>
            <w:r>
              <w:rPr>
                <w:rFonts w:hint="eastAsia" w:ascii="宋体" w:hAnsi="宋体" w:eastAsia="宋体" w:cs="宋体"/>
                <w:color w:val="000000"/>
                <w:kern w:val="0"/>
                <w:sz w:val="20"/>
                <w:szCs w:val="20"/>
                <w:lang w:val="en-US" w:eastAsia="zh-CN" w:bidi="ar"/>
              </w:rPr>
              <w:t>4、废料外运综合考虑</w:t>
            </w:r>
          </w:p>
          <w:p w14:paraId="6B409EA3">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eastAsia" w:ascii="Times New Roman" w:hAnsi="Times New Roman" w:eastAsia="仿宋_GB2312" w:cs="Times New Roman"/>
                <w:b w:val="0"/>
                <w:bCs w:val="0"/>
                <w:sz w:val="22"/>
                <w:szCs w:val="22"/>
                <w:lang w:val="en-US" w:eastAsia="zh-CN"/>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8F916">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default" w:ascii="Times New Roman" w:hAnsi="Times New Roman" w:eastAsia="仿宋_GB2312" w:cs="Times New Roman"/>
                <w:b w:val="0"/>
                <w:bCs w:val="0"/>
                <w:color w:val="000000"/>
                <w:sz w:val="22"/>
                <w:szCs w:val="22"/>
                <w:lang w:val="en-US" w:eastAsia="zh-CN"/>
              </w:rPr>
            </w:pPr>
            <w:r>
              <w:rPr>
                <w:rFonts w:hint="eastAsia" w:ascii="Times New Roman" w:hAnsi="Times New Roman" w:eastAsia="仿宋_GB2312" w:cs="Times New Roman"/>
                <w:b w:val="0"/>
                <w:bCs w:val="0"/>
                <w:color w:val="000000"/>
                <w:sz w:val="22"/>
                <w:szCs w:val="22"/>
                <w:lang w:val="en-US" w:eastAsia="zh-CN"/>
              </w:rPr>
              <w:t>平方</w:t>
            </w: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00D9E">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default" w:ascii="Times New Roman" w:hAnsi="Times New Roman" w:eastAsia="仿宋_GB2312" w:cs="Times New Roman"/>
                <w:b w:val="0"/>
                <w:bCs w:val="0"/>
                <w:color w:val="000000"/>
                <w:kern w:val="0"/>
                <w:sz w:val="22"/>
                <w:szCs w:val="22"/>
                <w:lang w:val="en-US" w:eastAsia="zh-CN" w:bidi="ar"/>
              </w:rPr>
            </w:pPr>
            <w:r>
              <w:rPr>
                <w:rFonts w:hint="eastAsia" w:ascii="Times New Roman" w:hAnsi="Times New Roman" w:eastAsia="仿宋_GB2312" w:cs="Times New Roman"/>
                <w:b w:val="0"/>
                <w:bCs w:val="0"/>
                <w:color w:val="000000"/>
                <w:kern w:val="0"/>
                <w:sz w:val="22"/>
                <w:szCs w:val="22"/>
                <w:lang w:val="en-US" w:eastAsia="zh-CN" w:bidi="ar"/>
              </w:rPr>
              <w:t>97.2</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2ABF85">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default" w:ascii="Times New Roman" w:hAnsi="Times New Roman" w:eastAsia="仿宋_GB2312" w:cs="Times New Roman"/>
                <w:b w:val="0"/>
                <w:bCs w:val="0"/>
                <w:color w:val="000000"/>
                <w:kern w:val="0"/>
                <w:sz w:val="22"/>
                <w:szCs w:val="22"/>
                <w:lang w:val="en-US" w:eastAsia="zh-CN" w:bidi="ar"/>
              </w:rPr>
            </w:pPr>
            <w:r>
              <w:rPr>
                <w:rFonts w:hint="eastAsia" w:ascii="宋体" w:hAnsi="宋体" w:eastAsia="宋体" w:cs="宋体"/>
                <w:color w:val="000000"/>
                <w:kern w:val="0"/>
                <w:sz w:val="20"/>
                <w:szCs w:val="20"/>
                <w:lang w:val="en-US" w:eastAsia="zh-CN" w:bidi="ar"/>
              </w:rPr>
              <w:t>废料外运需人工搬运</w:t>
            </w:r>
          </w:p>
        </w:tc>
      </w:tr>
      <w:tr w14:paraId="0DAB3464">
        <w:trPr>
          <w:trHeight w:val="0" w:hRule="atLeast"/>
          <w:jc w:val="center"/>
        </w:trPr>
        <w:tc>
          <w:tcPr>
            <w:tcW w:w="6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21204">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eastAsia" w:ascii="Times New Roman" w:hAnsi="Times New Roman" w:eastAsia="仿宋_GB2312" w:cs="Times New Roman"/>
                <w:b w:val="0"/>
                <w:bCs w:val="0"/>
                <w:kern w:val="0"/>
                <w:sz w:val="22"/>
                <w:szCs w:val="22"/>
                <w:lang w:val="en-US" w:eastAsia="zh-CN" w:bidi="ar"/>
              </w:rPr>
            </w:pPr>
            <w:r>
              <w:rPr>
                <w:rFonts w:hint="eastAsia" w:ascii="Times New Roman" w:hAnsi="Times New Roman" w:eastAsia="仿宋_GB2312" w:cs="Times New Roman"/>
                <w:b w:val="0"/>
                <w:bCs w:val="0"/>
                <w:kern w:val="0"/>
                <w:sz w:val="22"/>
                <w:szCs w:val="22"/>
                <w:lang w:val="en-US" w:eastAsia="zh-CN" w:bidi="ar"/>
              </w:rPr>
              <w:t>2</w:t>
            </w:r>
          </w:p>
        </w:tc>
        <w:tc>
          <w:tcPr>
            <w:tcW w:w="16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A1824">
            <w:pPr>
              <w:keepNext w:val="0"/>
              <w:keepLines w:val="0"/>
              <w:widowControl/>
              <w:suppressLineNumbers w:val="0"/>
              <w:jc w:val="left"/>
              <w:rPr>
                <w:rFonts w:hint="default" w:ascii="Times New Roman" w:hAnsi="Times New Roman" w:eastAsia="仿宋_GB2312" w:cs="Times New Roman"/>
                <w:b w:val="0"/>
                <w:bCs w:val="0"/>
                <w:kern w:val="2"/>
                <w:sz w:val="22"/>
                <w:szCs w:val="22"/>
                <w:lang w:val="en-US" w:eastAsia="zh-CN" w:bidi="ar-SA"/>
              </w:rPr>
            </w:pPr>
            <w:r>
              <w:rPr>
                <w:rFonts w:hint="eastAsia" w:ascii="宋体" w:hAnsi="宋体" w:eastAsia="宋体" w:cs="宋体"/>
                <w:color w:val="000000"/>
                <w:kern w:val="0"/>
                <w:sz w:val="20"/>
                <w:szCs w:val="20"/>
                <w:lang w:val="en-US" w:eastAsia="zh-CN" w:bidi="ar"/>
              </w:rPr>
              <w:t>成品钢质双扇甲级防火窗安装</w:t>
            </w:r>
          </w:p>
        </w:tc>
        <w:tc>
          <w:tcPr>
            <w:tcW w:w="29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7D62E">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1、玻璃材质：纳米水晶硅 </w:t>
            </w:r>
          </w:p>
          <w:p w14:paraId="6D3E1B45">
            <w:pPr>
              <w:keepNext w:val="0"/>
              <w:keepLines w:val="0"/>
              <w:widowControl/>
              <w:suppressLineNumbers w:val="0"/>
              <w:jc w:val="left"/>
              <w:rPr>
                <w:rFonts w:hint="default"/>
                <w:lang w:val="en-US"/>
              </w:rPr>
            </w:pPr>
            <w:r>
              <w:rPr>
                <w:rFonts w:hint="eastAsia" w:ascii="宋体" w:hAnsi="宋体" w:eastAsia="宋体" w:cs="宋体"/>
                <w:color w:val="000000"/>
                <w:kern w:val="0"/>
                <w:sz w:val="20"/>
                <w:szCs w:val="20"/>
                <w:lang w:val="en-US" w:eastAsia="zh-CN" w:bidi="ar"/>
              </w:rPr>
              <w:t>胶隔热型防火玻璃A1.00 ，厚25mm</w:t>
            </w:r>
          </w:p>
          <w:p w14:paraId="773AE44E">
            <w:pPr>
              <w:keepNext w:val="0"/>
              <w:keepLines w:val="0"/>
              <w:widowControl/>
              <w:suppressLineNumbers w:val="0"/>
              <w:jc w:val="left"/>
              <w:rPr>
                <w:rFonts w:hint="eastAsia" w:ascii="宋体" w:hAnsi="宋体" w:eastAsia="宋体" w:cs="宋体"/>
                <w:color w:val="000000"/>
                <w:kern w:val="0"/>
                <w:sz w:val="20"/>
                <w:szCs w:val="20"/>
                <w:lang w:val="en-US" w:eastAsia="zh-CN" w:bidi="ar"/>
              </w:rPr>
            </w:pPr>
            <w:r>
              <w:rPr>
                <w:rFonts w:hint="eastAsia" w:ascii="宋体" w:hAnsi="宋体" w:eastAsia="宋体" w:cs="宋体"/>
                <w:color w:val="000000"/>
                <w:kern w:val="0"/>
                <w:sz w:val="20"/>
                <w:szCs w:val="20"/>
                <w:lang w:val="en-US" w:eastAsia="zh-CN" w:bidi="ar"/>
              </w:rPr>
              <w:t>2、单块玻璃尺寸2528*1128</w:t>
            </w:r>
          </w:p>
          <w:p w14:paraId="2C1EF188">
            <w:pPr>
              <w:keepNext w:val="0"/>
              <w:keepLines w:val="0"/>
              <w:widowControl/>
              <w:suppressLineNumbers w:val="0"/>
              <w:jc w:val="left"/>
            </w:pPr>
            <w:r>
              <w:rPr>
                <w:rFonts w:hint="eastAsia" w:ascii="宋体" w:hAnsi="宋体" w:eastAsia="宋体" w:cs="宋体"/>
                <w:color w:val="000000"/>
                <w:kern w:val="0"/>
                <w:sz w:val="20"/>
                <w:szCs w:val="20"/>
                <w:lang w:val="en-US" w:eastAsia="zh-CN" w:bidi="ar"/>
              </w:rPr>
              <w:t>3、拉丝哑光不锈钢外框厚1.2mm，</w:t>
            </w:r>
            <w:r>
              <w:rPr>
                <w:rFonts w:hint="eastAsia" w:ascii="Times New Roman" w:hAnsi="Times New Roman" w:eastAsia="仿宋_GB2312" w:cs="Times New Roman"/>
                <w:b w:val="0"/>
                <w:bCs w:val="0"/>
                <w:sz w:val="22"/>
                <w:szCs w:val="22"/>
              </w:rPr>
              <w:t>匹配原有现场立面风格</w:t>
            </w:r>
            <w:r>
              <w:rPr>
                <w:rFonts w:hint="eastAsia" w:ascii="宋体" w:hAnsi="宋体" w:eastAsia="宋体" w:cs="宋体"/>
                <w:color w:val="000000"/>
                <w:kern w:val="0"/>
                <w:sz w:val="20"/>
                <w:szCs w:val="20"/>
                <w:lang w:val="en-US" w:eastAsia="zh-CN" w:bidi="ar"/>
              </w:rPr>
              <w:t xml:space="preserve"> </w:t>
            </w:r>
          </w:p>
          <w:p w14:paraId="4921557B">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4、防火玻璃窗尺寸：6000 </w:t>
            </w:r>
          </w:p>
          <w:p w14:paraId="68D70364">
            <w:pPr>
              <w:keepNext w:val="0"/>
              <w:keepLines w:val="0"/>
              <w:widowControl/>
              <w:suppressLineNumbers w:val="0"/>
              <w:jc w:val="left"/>
            </w:pPr>
            <w:r>
              <w:rPr>
                <w:rFonts w:hint="eastAsia" w:ascii="宋体" w:hAnsi="宋体" w:eastAsia="宋体" w:cs="宋体"/>
                <w:color w:val="000000"/>
                <w:kern w:val="0"/>
                <w:sz w:val="20"/>
                <w:szCs w:val="20"/>
                <w:lang w:val="en-US" w:eastAsia="zh-CN" w:bidi="ar"/>
              </w:rPr>
              <w:t xml:space="preserve">*2700 </w:t>
            </w:r>
          </w:p>
          <w:p w14:paraId="5FD8C91C">
            <w:pPr>
              <w:keepNext w:val="0"/>
              <w:keepLines w:val="0"/>
              <w:widowControl/>
              <w:suppressLineNumbers w:val="0"/>
              <w:jc w:val="left"/>
            </w:pPr>
            <w:r>
              <w:rPr>
                <w:rFonts w:hint="eastAsia" w:ascii="宋体" w:hAnsi="宋体" w:eastAsia="宋体" w:cs="宋体"/>
                <w:color w:val="000000"/>
                <w:kern w:val="0"/>
                <w:sz w:val="20"/>
                <w:szCs w:val="20"/>
                <w:lang w:val="en-US" w:eastAsia="zh-CN" w:bidi="ar"/>
              </w:rPr>
              <w:t>5、人工运输</w:t>
            </w:r>
          </w:p>
          <w:p w14:paraId="2BD45665">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eastAsia" w:ascii="Times New Roman" w:hAnsi="Times New Roman" w:eastAsia="仿宋_GB2312" w:cs="Times New Roman"/>
                <w:b w:val="0"/>
                <w:bCs w:val="0"/>
                <w:kern w:val="2"/>
                <w:sz w:val="22"/>
                <w:szCs w:val="22"/>
                <w:lang w:val="en-US" w:eastAsia="zh-CN" w:bidi="ar-SA"/>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6AB6D">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eastAsia" w:ascii="Times New Roman" w:hAnsi="Times New Roman" w:eastAsia="仿宋_GB2312" w:cs="Times New Roman"/>
                <w:b w:val="0"/>
                <w:bCs w:val="0"/>
                <w:color w:val="000000"/>
                <w:kern w:val="2"/>
                <w:sz w:val="22"/>
                <w:szCs w:val="22"/>
                <w:lang w:val="en-US" w:eastAsia="zh-CN" w:bidi="ar-SA"/>
              </w:rPr>
            </w:pPr>
            <w:r>
              <w:rPr>
                <w:rFonts w:hint="eastAsia" w:ascii="Times New Roman" w:hAnsi="Times New Roman" w:eastAsia="仿宋_GB2312" w:cs="Times New Roman"/>
                <w:b w:val="0"/>
                <w:bCs w:val="0"/>
                <w:color w:val="000000"/>
                <w:kern w:val="2"/>
                <w:sz w:val="22"/>
                <w:szCs w:val="22"/>
                <w:lang w:val="en-US" w:eastAsia="zh-CN" w:bidi="ar-SA"/>
              </w:rPr>
              <w:t>平方</w:t>
            </w:r>
          </w:p>
          <w:p w14:paraId="43B85240">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eastAsia" w:ascii="Times New Roman" w:hAnsi="Times New Roman" w:eastAsia="仿宋_GB2312" w:cs="Times New Roman"/>
                <w:b w:val="0"/>
                <w:bCs w:val="0"/>
                <w:color w:val="000000"/>
                <w:kern w:val="2"/>
                <w:sz w:val="22"/>
                <w:szCs w:val="22"/>
                <w:lang w:val="en-US" w:eastAsia="zh-CN" w:bidi="ar-SA"/>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EF266">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default" w:ascii="Times New Roman" w:hAnsi="Times New Roman" w:eastAsia="仿宋_GB2312" w:cs="Times New Roman"/>
                <w:b w:val="0"/>
                <w:bCs w:val="0"/>
                <w:color w:val="000000"/>
                <w:kern w:val="0"/>
                <w:sz w:val="22"/>
                <w:szCs w:val="22"/>
                <w:lang w:val="en-US" w:eastAsia="zh-CN" w:bidi="ar"/>
              </w:rPr>
            </w:pPr>
            <w:r>
              <w:rPr>
                <w:rFonts w:hint="eastAsia" w:ascii="Times New Roman" w:hAnsi="Times New Roman" w:eastAsia="仿宋_GB2312" w:cs="Times New Roman"/>
                <w:b w:val="0"/>
                <w:bCs w:val="0"/>
                <w:color w:val="000000"/>
                <w:kern w:val="0"/>
                <w:sz w:val="22"/>
                <w:szCs w:val="22"/>
                <w:lang w:val="en-US" w:eastAsia="zh-CN" w:bidi="ar"/>
              </w:rPr>
              <w:t>97.2</w:t>
            </w:r>
          </w:p>
        </w:tc>
        <w:tc>
          <w:tcPr>
            <w:tcW w:w="124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96901">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ascii="Times New Roman" w:hAnsi="Times New Roman" w:eastAsia="仿宋_GB2312" w:cs="Times New Roman"/>
                <w:b w:val="0"/>
                <w:bCs w:val="0"/>
                <w:color w:val="000000"/>
                <w:kern w:val="0"/>
                <w:sz w:val="22"/>
                <w:szCs w:val="22"/>
                <w:lang w:bidi="ar"/>
              </w:rPr>
            </w:pPr>
            <w:r>
              <w:rPr>
                <w:rFonts w:hint="eastAsia" w:ascii="Times New Roman" w:hAnsi="Times New Roman" w:eastAsia="仿宋_GB2312" w:cs="Times New Roman"/>
                <w:b w:val="0"/>
                <w:bCs w:val="0"/>
                <w:sz w:val="22"/>
                <w:szCs w:val="22"/>
              </w:rPr>
              <w:t>含运费，玻璃质保3年，质保范围：</w:t>
            </w:r>
            <w:r>
              <w:rPr>
                <w:rFonts w:hint="eastAsia" w:ascii="Times New Roman" w:hAnsi="Times New Roman" w:eastAsia="仿宋_GB2312" w:cs="Times New Roman"/>
                <w:b w:val="0"/>
                <w:bCs w:val="0"/>
                <w:sz w:val="22"/>
                <w:szCs w:val="22"/>
                <w:lang w:val="en-US" w:eastAsia="zh-CN"/>
              </w:rPr>
              <w:t>自爆、</w:t>
            </w:r>
            <w:r>
              <w:rPr>
                <w:rFonts w:hint="eastAsia" w:ascii="Times New Roman" w:hAnsi="Times New Roman" w:eastAsia="仿宋_GB2312" w:cs="Times New Roman"/>
                <w:b w:val="0"/>
                <w:bCs w:val="0"/>
                <w:sz w:val="22"/>
                <w:szCs w:val="22"/>
              </w:rPr>
              <w:t>发黄、起泡、溺液。玻璃</w:t>
            </w:r>
            <w:r>
              <w:rPr>
                <w:rFonts w:hint="eastAsia" w:ascii="Times New Roman" w:hAnsi="Times New Roman" w:eastAsia="仿宋_GB2312" w:cs="Times New Roman"/>
                <w:b w:val="0"/>
                <w:bCs w:val="0"/>
                <w:sz w:val="22"/>
                <w:szCs w:val="22"/>
                <w:lang w:val="en-US" w:eastAsia="zh-CN"/>
              </w:rPr>
              <w:t>需人工</w:t>
            </w:r>
            <w:r>
              <w:rPr>
                <w:rFonts w:hint="eastAsia" w:ascii="Times New Roman" w:hAnsi="Times New Roman" w:eastAsia="仿宋_GB2312" w:cs="Times New Roman"/>
                <w:b w:val="0"/>
                <w:bCs w:val="0"/>
                <w:sz w:val="22"/>
                <w:szCs w:val="22"/>
              </w:rPr>
              <w:t>搬运上楼</w:t>
            </w:r>
          </w:p>
        </w:tc>
      </w:tr>
      <w:tr w14:paraId="29DE475A">
        <w:trPr>
          <w:trHeight w:val="508" w:hRule="atLeast"/>
          <w:jc w:val="center"/>
        </w:trPr>
        <w:tc>
          <w:tcPr>
            <w:tcW w:w="7932"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D98A0">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textAlignment w:val="center"/>
              <w:rPr>
                <w:rFonts w:hint="eastAsia" w:ascii="Times New Roman" w:hAnsi="Times New Roman" w:eastAsia="仿宋_GB2312" w:cs="Times New Roman"/>
                <w:b w:val="0"/>
                <w:bCs w:val="0"/>
                <w:sz w:val="22"/>
                <w:szCs w:val="22"/>
              </w:rPr>
            </w:pPr>
            <w:r>
              <w:rPr>
                <w:rFonts w:hint="eastAsia" w:ascii="Times New Roman" w:hAnsi="Times New Roman" w:eastAsia="仿宋_GB2312" w:cs="Times New Roman"/>
                <w:b w:val="0"/>
                <w:bCs w:val="0"/>
                <w:sz w:val="22"/>
                <w:szCs w:val="22"/>
                <w:lang w:val="en-US" w:eastAsia="zh-CN"/>
              </w:rPr>
              <w:t>说明：以上规格为初步测量数据，响应人应到场实测确认准确数据后制作安装。</w:t>
            </w:r>
          </w:p>
        </w:tc>
      </w:tr>
    </w:tbl>
    <w:p w14:paraId="33B6C848">
      <w:pPr>
        <w:keepNext w:val="0"/>
        <w:keepLines w:val="0"/>
        <w:pageBreakBefore w:val="0"/>
        <w:numPr>
          <w:ilvl w:val="0"/>
          <w:numId w:val="1"/>
        </w:numPr>
        <w:kinsoku/>
        <w:wordWrap/>
        <w:overflowPunct/>
        <w:topLinePunct w:val="0"/>
        <w:autoSpaceDE/>
        <w:autoSpaceDN/>
        <w:bidi w:val="0"/>
        <w:adjustRightInd/>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相关要求</w:t>
      </w:r>
    </w:p>
    <w:p w14:paraId="1C5D74CD">
      <w:pPr>
        <w:keepNext w:val="0"/>
        <w:keepLines w:val="0"/>
        <w:pageBreakBefore w:val="0"/>
        <w:numPr>
          <w:ilvl w:val="0"/>
          <w:numId w:val="0"/>
        </w:numPr>
        <w:tabs>
          <w:tab w:val="left" w:pos="320"/>
        </w:tabs>
        <w:kinsoku/>
        <w:wordWrap/>
        <w:overflowPunct/>
        <w:topLinePunct w:val="0"/>
        <w:autoSpaceDE/>
        <w:autoSpaceDN/>
        <w:bidi w:val="0"/>
        <w:adjustRightInd/>
        <w:ind w:firstLine="643" w:firstLineChars="200"/>
        <w:jc w:val="left"/>
        <w:rPr>
          <w:rFonts w:hint="eastAsia" w:ascii="方正楷体_GB2312" w:hAnsi="方正楷体_GB2312" w:eastAsia="方正楷体_GB2312" w:cs="方正楷体_GB2312"/>
          <w:b/>
          <w:bCs/>
          <w:sz w:val="32"/>
          <w:szCs w:val="32"/>
          <w:lang w:eastAsia="zh-CN"/>
        </w:rPr>
      </w:pPr>
      <w:r>
        <w:rPr>
          <w:rFonts w:hint="eastAsia" w:ascii="方正楷体_GB2312" w:hAnsi="方正楷体_GB2312" w:eastAsia="方正楷体_GB2312" w:cs="方正楷体_GB2312"/>
          <w:b/>
          <w:bCs/>
          <w:sz w:val="32"/>
          <w:szCs w:val="32"/>
        </w:rPr>
        <w:t>（一）资格条件</w:t>
      </w:r>
      <w:r>
        <w:rPr>
          <w:rFonts w:hint="eastAsia" w:ascii="方正楷体_GB2312" w:hAnsi="方正楷体_GB2312" w:eastAsia="方正楷体_GB2312" w:cs="方正楷体_GB2312"/>
          <w:b/>
          <w:bCs/>
          <w:sz w:val="32"/>
          <w:szCs w:val="32"/>
          <w:lang w:eastAsia="zh-CN"/>
        </w:rPr>
        <w:t>：</w:t>
      </w:r>
    </w:p>
    <w:p w14:paraId="4B3FCF62">
      <w:pPr>
        <w:pStyle w:val="2"/>
        <w:keepNext w:val="0"/>
        <w:keepLines w:val="0"/>
        <w:pageBreakBefore w:val="0"/>
        <w:kinsoku/>
        <w:wordWrap/>
        <w:overflowPunct/>
        <w:topLinePunct w:val="0"/>
        <w:autoSpaceDE/>
        <w:autoSpaceDN/>
        <w:bidi w:val="0"/>
        <w:adjustRightInd/>
        <w:spacing w:after="0"/>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1.响应人为国内独立法人企业，持有有效营业执照；</w:t>
      </w:r>
    </w:p>
    <w:p w14:paraId="0B86B295">
      <w:pPr>
        <w:pStyle w:val="2"/>
        <w:keepNext w:val="0"/>
        <w:keepLines w:val="0"/>
        <w:pageBreakBefore w:val="0"/>
        <w:kinsoku/>
        <w:wordWrap/>
        <w:overflowPunct/>
        <w:topLinePunct w:val="0"/>
        <w:autoSpaceDE/>
        <w:autoSpaceDN/>
        <w:bidi w:val="0"/>
        <w:adjustRightInd/>
        <w:spacing w:after="0"/>
        <w:ind w:firstLine="640" w:firstLineChars="200"/>
        <w:jc w:val="left"/>
        <w:rPr>
          <w:rFonts w:hint="default"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2.响应人应具备建筑装修装饰工程专业承包或房屋建筑工程施工总承包资质，且具有安全生产许可证；</w:t>
      </w:r>
    </w:p>
    <w:p w14:paraId="2D809399">
      <w:pPr>
        <w:keepNext w:val="0"/>
        <w:keepLines w:val="0"/>
        <w:widowControl/>
        <w:suppressLineNumbers w:val="0"/>
        <w:ind w:firstLine="640" w:firstLineChars="200"/>
        <w:jc w:val="left"/>
        <w:rPr>
          <w:rFonts w:hint="default"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3.响应人应具有2个或以上同类项目业绩；</w:t>
      </w:r>
    </w:p>
    <w:p w14:paraId="0C2994B9">
      <w:pPr>
        <w:pStyle w:val="2"/>
        <w:keepNext w:val="0"/>
        <w:keepLines w:val="0"/>
        <w:pageBreakBefore w:val="0"/>
        <w:kinsoku/>
        <w:wordWrap/>
        <w:overflowPunct/>
        <w:topLinePunct w:val="0"/>
        <w:autoSpaceDE/>
        <w:autoSpaceDN/>
        <w:bidi w:val="0"/>
        <w:adjustRightInd/>
        <w:spacing w:after="0"/>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4.本项目不允许合同分包、转包，不接受联合体报价。</w:t>
      </w:r>
    </w:p>
    <w:p w14:paraId="4424AA76">
      <w:pPr>
        <w:keepNext w:val="0"/>
        <w:keepLines w:val="0"/>
        <w:pageBreakBefore w:val="0"/>
        <w:numPr>
          <w:ilvl w:val="0"/>
          <w:numId w:val="0"/>
        </w:numPr>
        <w:tabs>
          <w:tab w:val="left" w:pos="320"/>
        </w:tabs>
        <w:kinsoku/>
        <w:wordWrap/>
        <w:overflowPunct/>
        <w:topLinePunct w:val="0"/>
        <w:autoSpaceDE/>
        <w:autoSpaceDN/>
        <w:bidi w:val="0"/>
        <w:adjustRightInd/>
        <w:ind w:firstLine="643" w:firstLineChars="200"/>
        <w:jc w:val="left"/>
        <w:rPr>
          <w:rFonts w:hint="eastAsia" w:ascii="方正楷体_GB2312" w:hAnsi="方正楷体_GB2312" w:eastAsia="方正楷体_GB2312" w:cs="方正楷体_GB2312"/>
          <w:b/>
          <w:bCs/>
          <w:sz w:val="32"/>
          <w:szCs w:val="32"/>
          <w:lang w:eastAsia="zh-CN"/>
        </w:rPr>
      </w:pPr>
      <w:r>
        <w:rPr>
          <w:rFonts w:hint="eastAsia" w:ascii="方正楷体_GB2312" w:hAnsi="方正楷体_GB2312" w:eastAsia="方正楷体_GB2312" w:cs="方正楷体_GB2312"/>
          <w:b/>
          <w:bCs/>
          <w:sz w:val="32"/>
          <w:szCs w:val="32"/>
        </w:rPr>
        <w:t>（二）安全要求</w:t>
      </w:r>
      <w:r>
        <w:rPr>
          <w:rFonts w:hint="eastAsia" w:ascii="方正楷体_GB2312" w:hAnsi="方正楷体_GB2312" w:eastAsia="方正楷体_GB2312" w:cs="方正楷体_GB2312"/>
          <w:b/>
          <w:bCs/>
          <w:sz w:val="32"/>
          <w:szCs w:val="32"/>
          <w:lang w:eastAsia="zh-CN"/>
        </w:rPr>
        <w:t>：</w:t>
      </w:r>
    </w:p>
    <w:p w14:paraId="4C27F3BF">
      <w:pPr>
        <w:keepNext w:val="0"/>
        <w:keepLines w:val="0"/>
        <w:pageBreakBefore w:val="0"/>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1.玻璃、框架进场时采购人现场抽检，材料不符合技术参数要求，采购人有权全部拒收，响应人48小时内无条件重新加工更换并承担全部损失；</w:t>
      </w:r>
    </w:p>
    <w:p w14:paraId="319579F2">
      <w:pPr>
        <w:keepNext w:val="0"/>
        <w:keepLines w:val="0"/>
        <w:pageBreakBefore w:val="0"/>
        <w:numPr>
          <w:ilvl w:val="0"/>
          <w:numId w:val="0"/>
        </w:numPr>
        <w:tabs>
          <w:tab w:val="left" w:pos="320"/>
        </w:tabs>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2.施工全过程做好现场安全防护，成品保护，施工造成厂区地面、墙面、设备损坏由响应人全额赔偿，自行承担垃圾处置费，场内不留建筑垃圾；</w:t>
      </w:r>
    </w:p>
    <w:p w14:paraId="4BB7849D">
      <w:pPr>
        <w:keepNext w:val="0"/>
        <w:keepLines w:val="0"/>
        <w:pageBreakBefore w:val="0"/>
        <w:kinsoku/>
        <w:wordWrap/>
        <w:overflowPunct/>
        <w:topLinePunct w:val="0"/>
        <w:autoSpaceDE/>
        <w:autoSpaceDN/>
        <w:bidi w:val="0"/>
        <w:adjustRightInd/>
        <w:ind w:firstLine="640" w:firstLineChars="200"/>
        <w:jc w:val="left"/>
        <w:rPr>
          <w:rFonts w:hint="default"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3.本项目质保不少于3年，质保期内出现起雾、脱胶、型材变形、玻璃自爆等任何质量问题，响应人免费上门更换维修。</w:t>
      </w:r>
    </w:p>
    <w:p w14:paraId="6D64F41A">
      <w:pPr>
        <w:keepNext w:val="0"/>
        <w:keepLines w:val="0"/>
        <w:pageBreakBefore w:val="0"/>
        <w:numPr>
          <w:ilvl w:val="0"/>
          <w:numId w:val="1"/>
        </w:numPr>
        <w:kinsoku/>
        <w:wordWrap/>
        <w:overflowPunct/>
        <w:topLinePunct w:val="0"/>
        <w:autoSpaceDE/>
        <w:autoSpaceDN/>
        <w:bidi w:val="0"/>
        <w:adjustRightInd/>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商品</w:t>
      </w:r>
      <w:r>
        <w:rPr>
          <w:rFonts w:hint="eastAsia" w:ascii="黑体" w:hAnsi="黑体" w:eastAsia="黑体" w:cs="黑体"/>
          <w:b w:val="0"/>
          <w:bCs w:val="0"/>
          <w:sz w:val="32"/>
          <w:szCs w:val="32"/>
          <w:lang w:val="en-US" w:eastAsia="zh-CN"/>
        </w:rPr>
        <w:t>及</w:t>
      </w:r>
      <w:r>
        <w:rPr>
          <w:rFonts w:hint="eastAsia" w:ascii="黑体" w:hAnsi="黑体" w:eastAsia="黑体" w:cs="黑体"/>
          <w:b w:val="0"/>
          <w:bCs w:val="0"/>
          <w:sz w:val="32"/>
          <w:szCs w:val="32"/>
        </w:rPr>
        <w:t>服务要求</w:t>
      </w:r>
    </w:p>
    <w:p w14:paraId="1A462FC0">
      <w:pPr>
        <w:keepNext w:val="0"/>
        <w:keepLines w:val="0"/>
        <w:pageBreakBefore w:val="0"/>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1.服务工期：合同签订、现场勘测完成后30个工作日内完成玻璃生产、拆除、整体安装并经采购人验收合格；</w:t>
      </w:r>
    </w:p>
    <w:p w14:paraId="58CE358D">
      <w:pPr>
        <w:keepNext w:val="0"/>
        <w:keepLines w:val="0"/>
        <w:pageBreakBefore w:val="0"/>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2.售后响应：采购人反馈玻璃破损、密封失效、框架松动等问题，响应人1小时内响应，48小时内到场处理完毕；</w:t>
      </w:r>
    </w:p>
    <w:p w14:paraId="60515233">
      <w:pPr>
        <w:keepNext w:val="0"/>
        <w:keepLines w:val="0"/>
        <w:pageBreakBefore w:val="0"/>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3.验收标准：</w:t>
      </w:r>
    </w:p>
    <w:p w14:paraId="0D41B691">
      <w:pPr>
        <w:keepNext w:val="0"/>
        <w:keepLines w:val="0"/>
        <w:pageBreakBefore w:val="0"/>
        <w:numPr>
          <w:ilvl w:val="0"/>
          <w:numId w:val="3"/>
        </w:numPr>
        <w:kinsoku/>
        <w:wordWrap/>
        <w:overflowPunct/>
        <w:topLinePunct w:val="0"/>
        <w:autoSpaceDE/>
        <w:autoSpaceDN/>
        <w:bidi w:val="0"/>
        <w:adjustRightInd/>
        <w:ind w:left="0" w:leftChars="0" w:firstLine="640" w:firstLineChars="200"/>
        <w:jc w:val="both"/>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工程质量验收:GB50210-2018《建筑装饰装修工程质量验收标准》；</w:t>
      </w:r>
    </w:p>
    <w:p w14:paraId="7C154C1E">
      <w:pPr>
        <w:keepNext w:val="0"/>
        <w:keepLines w:val="0"/>
        <w:pageBreakBefore w:val="0"/>
        <w:numPr>
          <w:ilvl w:val="0"/>
          <w:numId w:val="3"/>
        </w:numPr>
        <w:kinsoku/>
        <w:wordWrap/>
        <w:overflowPunct/>
        <w:topLinePunct w:val="0"/>
        <w:autoSpaceDE/>
        <w:autoSpaceDN/>
        <w:bidi w:val="0"/>
        <w:adjustRightInd/>
        <w:ind w:left="0" w:leftChars="0" w:firstLine="640" w:firstLineChars="200"/>
        <w:jc w:val="both"/>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安全玻璃强制底线:GB46030-2025《建筑用安全玻璃安全技术要求》；</w:t>
      </w:r>
    </w:p>
    <w:p w14:paraId="68CDCC04">
      <w:pPr>
        <w:keepNext w:val="0"/>
        <w:keepLines w:val="0"/>
        <w:pageBreakBefore w:val="0"/>
        <w:numPr>
          <w:ilvl w:val="0"/>
          <w:numId w:val="3"/>
        </w:numPr>
        <w:kinsoku/>
        <w:wordWrap/>
        <w:overflowPunct/>
        <w:topLinePunct w:val="0"/>
        <w:autoSpaceDE/>
        <w:autoSpaceDN/>
        <w:bidi w:val="0"/>
        <w:adjustRightInd/>
        <w:ind w:left="0" w:leftChars="0" w:firstLine="640" w:firstLineChars="200"/>
        <w:jc w:val="both"/>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产品分项标准:GB/T15763.1~4-2025《建筑用安全玻璃》系列、GB/T11944-2025《中空玻璃》；</w:t>
      </w:r>
    </w:p>
    <w:p w14:paraId="77CB5E86">
      <w:pPr>
        <w:keepNext w:val="0"/>
        <w:keepLines w:val="0"/>
        <w:pageBreakBefore w:val="0"/>
        <w:numPr>
          <w:ilvl w:val="0"/>
          <w:numId w:val="3"/>
        </w:numPr>
        <w:kinsoku/>
        <w:wordWrap/>
        <w:overflowPunct/>
        <w:topLinePunct w:val="0"/>
        <w:autoSpaceDE/>
        <w:autoSpaceDN/>
        <w:bidi w:val="0"/>
        <w:adjustRightInd/>
        <w:ind w:left="0" w:leftChars="0" w:firstLine="640" w:firstLineChars="200"/>
        <w:jc w:val="both"/>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应用技术规程:JGJ113《建筑玻璃应用技术规程》；</w:t>
      </w:r>
    </w:p>
    <w:p w14:paraId="46D1312F">
      <w:pPr>
        <w:keepNext w:val="0"/>
        <w:keepLines w:val="0"/>
        <w:pageBreakBefore w:val="0"/>
        <w:numPr>
          <w:ilvl w:val="0"/>
          <w:numId w:val="3"/>
        </w:numPr>
        <w:kinsoku/>
        <w:wordWrap/>
        <w:overflowPunct/>
        <w:topLinePunct w:val="0"/>
        <w:autoSpaceDE/>
        <w:autoSpaceDN/>
        <w:bidi w:val="0"/>
        <w:adjustRightInd/>
        <w:ind w:left="0" w:leftChars="0" w:firstLine="640" w:firstLineChars="200"/>
        <w:jc w:val="both"/>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密封胶材料:GB16776《建筑用硅酮结构密封胶》。</w:t>
      </w:r>
    </w:p>
    <w:p w14:paraId="03BBF0C5">
      <w:pPr>
        <w:keepNext w:val="0"/>
        <w:keepLines w:val="0"/>
        <w:pageBreakBefore w:val="0"/>
        <w:kinsoku/>
        <w:wordWrap/>
        <w:overflowPunct/>
        <w:topLinePunct w:val="0"/>
        <w:autoSpaceDE/>
        <w:autoSpaceDN/>
        <w:bidi w:val="0"/>
        <w:adjustRightInd/>
        <w:ind w:firstLine="640" w:firstLineChars="200"/>
        <w:jc w:val="both"/>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整体立面平整、无色差、密封无渗漏，玻璃通透无杂色，隔音隔热性能达标，清理全部施工垃圾；</w:t>
      </w:r>
    </w:p>
    <w:p w14:paraId="61590EF6">
      <w:pPr>
        <w:keepNext w:val="0"/>
        <w:keepLines w:val="0"/>
        <w:pageBreakBefore w:val="0"/>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4.响应人须承诺：在汽机房设备正常运行工况下，于参观通道内距玻璃幕墙1.0米处、离地1.5米高的位置，进行现场噪声测试。测试结果为A计权声压级，其值不得超过65dB(A)。若测试结果未达到上述标准，响应人须在7日内完成免费整改，并重新测试，直至达标为止；</w:t>
      </w:r>
    </w:p>
    <w:p w14:paraId="11E6B552">
      <w:pPr>
        <w:keepNext w:val="0"/>
        <w:keepLines w:val="0"/>
        <w:pageBreakBefore w:val="0"/>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5.付款方式：项目整体完工，双方验收合格后，按批次银行转账结算，响应人提供正规增值税全额发票；</w:t>
      </w:r>
    </w:p>
    <w:p w14:paraId="4D91EDFB">
      <w:pPr>
        <w:keepNext w:val="0"/>
        <w:keepLines w:val="0"/>
        <w:pageBreakBefore w:val="0"/>
        <w:kinsoku/>
        <w:wordWrap/>
        <w:overflowPunct/>
        <w:topLinePunct w:val="0"/>
        <w:autoSpaceDE/>
        <w:autoSpaceDN/>
        <w:bidi w:val="0"/>
        <w:adjustRightInd/>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6.其他：施工人员及搬运货物、所需工具禁止使用客用电梯，只能通过楼梯搬运上楼。施工所需脚手架、切割工具、运输车辆全部由响应人自行提供，采购人不承担任何配套费用；</w:t>
      </w:r>
    </w:p>
    <w:p w14:paraId="336B753B">
      <w:pPr>
        <w:keepNext w:val="0"/>
        <w:keepLines w:val="0"/>
        <w:widowControl/>
        <w:suppressLineNumbers w:val="0"/>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7.响应人进场前须为所有现场施工人员足额投保单人保额不低于100万元的人身意外伤害保险</w:t>
      </w:r>
      <w:bookmarkStart w:id="0" w:name="_GoBack"/>
      <w:bookmarkEnd w:id="0"/>
      <w:r>
        <w:rPr>
          <w:rFonts w:hint="eastAsia" w:ascii="Times New Roman" w:hAnsi="Times New Roman" w:eastAsia="仿宋_GB2312" w:cs="Times New Roman"/>
          <w:b w:val="0"/>
          <w:bCs w:val="0"/>
          <w:color w:val="333333"/>
          <w:kern w:val="2"/>
          <w:sz w:val="32"/>
          <w:szCs w:val="32"/>
          <w:shd w:val="clear" w:color="auto" w:fill="FFFFFF"/>
          <w:lang w:val="en-US" w:eastAsia="zh-CN" w:bidi="ar-SA"/>
        </w:rPr>
        <w:t>并购买工伤保险，同时提供完整有效的保险单复印件加盖公章交采购人留存；保险有效期需覆盖本项目全施工周期，施工期间保险失效、保额不足的，采购人有权暂停施工直至补齐保险；</w:t>
      </w:r>
    </w:p>
    <w:p w14:paraId="24430501">
      <w:pPr>
        <w:keepNext w:val="0"/>
        <w:keepLines w:val="0"/>
        <w:widowControl/>
        <w:suppressLineNumbers w:val="0"/>
        <w:ind w:firstLine="640" w:firstLineChars="200"/>
        <w:jc w:val="left"/>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8.响应人应提供防火玻璃消防检测报告；</w:t>
      </w:r>
    </w:p>
    <w:p w14:paraId="703CEB7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9.响应人报价需包含：主材、辅材费、运输费、搬运费、人工费、安装费、安全措施费、保险费、税费等一切费用。</w:t>
      </w:r>
    </w:p>
    <w:p w14:paraId="1C89A7B7">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Times New Roman" w:hAnsi="Times New Roman" w:eastAsia="仿宋_GB2312" w:cs="Times New Roman"/>
          <w:b w:val="0"/>
          <w:bCs w:val="0"/>
          <w:color w:val="333333"/>
          <w:kern w:val="2"/>
          <w:sz w:val="32"/>
          <w:szCs w:val="32"/>
          <w:shd w:val="clear" w:color="auto" w:fill="FFFFFF"/>
          <w:lang w:val="en-US" w:eastAsia="zh-CN" w:bidi="ar-SA"/>
        </w:rPr>
      </w:pPr>
      <w:r>
        <w:rPr>
          <w:rFonts w:hint="eastAsia" w:ascii="Times New Roman" w:hAnsi="Times New Roman" w:eastAsia="仿宋_GB2312" w:cs="Times New Roman"/>
          <w:b w:val="0"/>
          <w:bCs w:val="0"/>
          <w:color w:val="333333"/>
          <w:kern w:val="2"/>
          <w:sz w:val="32"/>
          <w:szCs w:val="32"/>
          <w:shd w:val="clear" w:color="auto" w:fill="FFFFFF"/>
          <w:lang w:val="en-US" w:eastAsia="zh-CN" w:bidi="ar-SA"/>
        </w:rPr>
        <w:t>10.响应人须响应本项目质保期不少于3年，质保范围包括但不限于：玻璃自爆、发黄、变色、起泡、起雾、溺液、外观变形、开裂、脱胶、锈蚀、密封失效、框架松动、玻璃破损等。</w:t>
      </w:r>
    </w:p>
    <w:p w14:paraId="4244CEBC">
      <w:pPr>
        <w:pStyle w:val="2"/>
        <w:rPr>
          <w:rFonts w:ascii="宋体" w:hAnsi="宋体" w:eastAsia="宋体" w:cs="宋体"/>
          <w:sz w:val="24"/>
          <w:szCs w:val="24"/>
        </w:rPr>
      </w:pPr>
    </w:p>
    <w:p w14:paraId="639F49ED">
      <w:pPr>
        <w:pStyle w:val="2"/>
        <w:rPr>
          <w:rFonts w:ascii="宋体" w:hAnsi="宋体" w:eastAsia="宋体" w:cs="宋体"/>
          <w:color w:val="333333"/>
          <w:sz w:val="27"/>
          <w:szCs w:val="27"/>
          <w:shd w:val="clear" w:color="auto" w:fill="FFFFFF"/>
        </w:rPr>
      </w:pPr>
    </w:p>
    <w:p w14:paraId="4F6AF128">
      <w:pPr>
        <w:pStyle w:val="2"/>
        <w:rPr>
          <w:rFonts w:ascii="宋体" w:hAnsi="宋体" w:eastAsia="宋体" w:cs="宋体"/>
          <w:color w:val="333333"/>
          <w:sz w:val="27"/>
          <w:szCs w:val="27"/>
          <w:shd w:val="clear" w:color="auto" w:fill="FFFFFF"/>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86"/>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FT Thymes"/>
    <w:panose1 w:val="020B0604020202020204"/>
    <w:charset w:val="01"/>
    <w:family w:val="swiss"/>
    <w:pitch w:val="default"/>
    <w:sig w:usb0="E0002AFF" w:usb1="C0007843" w:usb2="00000009" w:usb3="00000000" w:csb0="400001FF" w:csb1="FFFF0000"/>
  </w:font>
  <w:font w:name="黑体">
    <w:altName w:val="黑体-简"/>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FT Thymes">
    <w:panose1 w:val="02020603050405020304"/>
    <w:charset w:val="00"/>
    <w:family w:val="auto"/>
    <w:pitch w:val="default"/>
    <w:sig w:usb0="E0002EFF" w:usb1="C000785B" w:usb2="00000009" w:usb3="00000000" w:csb0="00000001" w:csb1="00000000"/>
  </w:font>
  <w:font w:name="Calibri">
    <w:altName w:val="FT Thymes"/>
    <w:panose1 w:val="020F0502020204030204"/>
    <w:charset w:val="00"/>
    <w:family w:val="swiss"/>
    <w:pitch w:val="default"/>
    <w:sig w:usb0="00000000" w:usb1="00000000" w:usb2="00000001" w:usb3="00000000" w:csb0="0000019F" w:csb1="00000000"/>
  </w:font>
  <w:font w:name="书宋-简">
    <w:panose1 w:val="02010600030101010101"/>
    <w:charset w:val="86"/>
    <w:family w:val="auto"/>
    <w:pitch w:val="default"/>
    <w:sig w:usb0="A00002BF" w:usb1="3ACF7CFA" w:usb2="00000016" w:usb3="00000000" w:csb0="00040001" w:csb1="00000000"/>
  </w:font>
  <w:font w:name="SimSun">
    <w:altName w:val="书宋-简"/>
    <w:panose1 w:val="00000000000000000000"/>
    <w:charset w:val="00"/>
    <w:family w:val="auto"/>
    <w:pitch w:val="default"/>
    <w:sig w:usb0="00000000" w:usb1="00000000" w:usb2="00000000" w:usb3="00000000" w:csb0="00000000" w:csb1="00000000"/>
  </w:font>
  <w:font w:name="方正小标宋简体">
    <w:altName w:val="方正中等线-简"/>
    <w:panose1 w:val="02000000000000000000"/>
    <w:charset w:val="86"/>
    <w:family w:val="auto"/>
    <w:pitch w:val="default"/>
    <w:sig w:usb0="00000000" w:usb1="00000000" w:usb2="00000000" w:usb3="00000000" w:csb0="00040000" w:csb1="00000000"/>
  </w:font>
  <w:font w:name="方正中等线-简">
    <w:panose1 w:val="02000500000000000000"/>
    <w:charset w:val="86"/>
    <w:family w:val="auto"/>
    <w:pitch w:val="default"/>
    <w:sig w:usb0="A00002BF" w:usb1="78CF7CFB" w:usb2="00000016" w:usb3="00000000" w:csb0="00040001" w:csb1="00000000"/>
  </w:font>
  <w:font w:name="黑体-简">
    <w:panose1 w:val="02010609060101010101"/>
    <w:charset w:val="86"/>
    <w:family w:val="auto"/>
    <w:pitch w:val="default"/>
    <w:sig w:usb0="A00002BF" w:usb1="3ACF7CFA" w:usb2="00000016" w:usb3="00000000" w:csb0="00040001" w:csb1="00000000"/>
  </w:font>
  <w:font w:name="方正楷体_GB2312">
    <w:altName w:val="楷体-简"/>
    <w:panose1 w:val="02000000000000000000"/>
    <w:charset w:val="86"/>
    <w:family w:val="auto"/>
    <w:pitch w:val="default"/>
    <w:sig w:usb0="00000000" w:usb1="00000000" w:usb2="00000012" w:usb3="00000000" w:csb0="00040001" w:csb1="00000000"/>
  </w:font>
  <w:font w:name="楷体-简">
    <w:panose1 w:val="02010609060101010101"/>
    <w:charset w:val="86"/>
    <w:family w:val="auto"/>
    <w:pitch w:val="default"/>
    <w:sig w:usb0="A00002BF" w:usb1="3ACF7CFA" w:usb2="00000016" w:usb3="00000000" w:csb0="00040001" w:csb1="00000000"/>
  </w:font>
  <w:font w:name="仿宋_GB2312">
    <w:altName w:val="仿宋-简"/>
    <w:panose1 w:val="02010609030101010101"/>
    <w:charset w:val="86"/>
    <w:family w:val="auto"/>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EC3B7"/>
    <w:multiLevelType w:val="singleLevel"/>
    <w:tmpl w:val="D72EC3B7"/>
    <w:lvl w:ilvl="0" w:tentative="0">
      <w:start w:val="1"/>
      <w:numFmt w:val="decimal"/>
      <w:lvlText w:val="(%1)"/>
      <w:lvlJc w:val="left"/>
      <w:pPr>
        <w:ind w:left="1265" w:hanging="425"/>
      </w:pPr>
      <w:rPr>
        <w:rFonts w:hint="default"/>
      </w:rPr>
    </w:lvl>
  </w:abstractNum>
  <w:abstractNum w:abstractNumId="1">
    <w:nsid w:val="D7B2368A"/>
    <w:multiLevelType w:val="singleLevel"/>
    <w:tmpl w:val="D7B2368A"/>
    <w:lvl w:ilvl="0" w:tentative="0">
      <w:start w:val="1"/>
      <w:numFmt w:val="chineseCounting"/>
      <w:suff w:val="nothing"/>
      <w:lvlText w:val="%1、"/>
      <w:lvlJc w:val="left"/>
      <w:rPr>
        <w:rFonts w:hint="eastAsia"/>
      </w:rPr>
    </w:lvl>
  </w:abstractNum>
  <w:abstractNum w:abstractNumId="2">
    <w:nsid w:val="F797EE66"/>
    <w:multiLevelType w:val="singleLevel"/>
    <w:tmpl w:val="F797EE66"/>
    <w:lvl w:ilvl="0" w:tentative="0">
      <w:start w:val="1"/>
      <w:numFmt w:val="chineseCounting"/>
      <w:suff w:val="nothing"/>
      <w:lvlText w:val="（%1）"/>
      <w:lvlJc w:val="left"/>
      <w:rPr>
        <w:rFonts w:hint="eastAsia"/>
        <w:b/>
        <w:bC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YjU1YTg2MGNhZTYzNTRiOTUyMzg3NGVkMTUyNzUifQ=="/>
  </w:docVars>
  <w:rsids>
    <w:rsidRoot w:val="00172A27"/>
    <w:rsid w:val="00172A27"/>
    <w:rsid w:val="004C46D3"/>
    <w:rsid w:val="007D1EB0"/>
    <w:rsid w:val="00B7344D"/>
    <w:rsid w:val="00E77CEA"/>
    <w:rsid w:val="00F70810"/>
    <w:rsid w:val="02101265"/>
    <w:rsid w:val="069868B8"/>
    <w:rsid w:val="0A441B91"/>
    <w:rsid w:val="0B7821E0"/>
    <w:rsid w:val="0BF84E49"/>
    <w:rsid w:val="0E046AB9"/>
    <w:rsid w:val="0E9724AF"/>
    <w:rsid w:val="121565F6"/>
    <w:rsid w:val="123F4AF3"/>
    <w:rsid w:val="128B3088"/>
    <w:rsid w:val="14FB646C"/>
    <w:rsid w:val="15B93F1E"/>
    <w:rsid w:val="173B5543"/>
    <w:rsid w:val="18323402"/>
    <w:rsid w:val="18BE663C"/>
    <w:rsid w:val="19871E08"/>
    <w:rsid w:val="1AAC5CC7"/>
    <w:rsid w:val="1BC62025"/>
    <w:rsid w:val="1D3669A3"/>
    <w:rsid w:val="1E0D5462"/>
    <w:rsid w:val="21231724"/>
    <w:rsid w:val="227E6D5A"/>
    <w:rsid w:val="238A654A"/>
    <w:rsid w:val="269719BC"/>
    <w:rsid w:val="2C4548B3"/>
    <w:rsid w:val="2D9F4965"/>
    <w:rsid w:val="2E252BC6"/>
    <w:rsid w:val="2E266113"/>
    <w:rsid w:val="2EC4687A"/>
    <w:rsid w:val="2EC6714E"/>
    <w:rsid w:val="300518AA"/>
    <w:rsid w:val="31097600"/>
    <w:rsid w:val="32424773"/>
    <w:rsid w:val="32437B43"/>
    <w:rsid w:val="364A7390"/>
    <w:rsid w:val="3BE20842"/>
    <w:rsid w:val="3CC53023"/>
    <w:rsid w:val="3CF7306E"/>
    <w:rsid w:val="3D044ABF"/>
    <w:rsid w:val="3D150068"/>
    <w:rsid w:val="3DB64275"/>
    <w:rsid w:val="3F4D71AB"/>
    <w:rsid w:val="401632E1"/>
    <w:rsid w:val="41712DA6"/>
    <w:rsid w:val="41EF0857"/>
    <w:rsid w:val="42204EB5"/>
    <w:rsid w:val="435A7F52"/>
    <w:rsid w:val="448E538F"/>
    <w:rsid w:val="458470C9"/>
    <w:rsid w:val="46DA32F8"/>
    <w:rsid w:val="481868D6"/>
    <w:rsid w:val="48796E68"/>
    <w:rsid w:val="48A21A0D"/>
    <w:rsid w:val="48D5394D"/>
    <w:rsid w:val="4AFB42F1"/>
    <w:rsid w:val="4B892C71"/>
    <w:rsid w:val="4E8E197C"/>
    <w:rsid w:val="4FFD0EF1"/>
    <w:rsid w:val="52791EB3"/>
    <w:rsid w:val="53374AE9"/>
    <w:rsid w:val="534004E6"/>
    <w:rsid w:val="536F4B8A"/>
    <w:rsid w:val="53D44606"/>
    <w:rsid w:val="54AB3A77"/>
    <w:rsid w:val="55446134"/>
    <w:rsid w:val="56565E41"/>
    <w:rsid w:val="5B6D2DF3"/>
    <w:rsid w:val="5B933CF7"/>
    <w:rsid w:val="5CA17566"/>
    <w:rsid w:val="5D167CD7"/>
    <w:rsid w:val="5D3970FE"/>
    <w:rsid w:val="5D421537"/>
    <w:rsid w:val="5D6E51E1"/>
    <w:rsid w:val="5E863099"/>
    <w:rsid w:val="5FE33787"/>
    <w:rsid w:val="63616D1F"/>
    <w:rsid w:val="6588282D"/>
    <w:rsid w:val="66636C9C"/>
    <w:rsid w:val="66DE706A"/>
    <w:rsid w:val="66E23BE7"/>
    <w:rsid w:val="679F4002"/>
    <w:rsid w:val="67CC1DD0"/>
    <w:rsid w:val="68941DB7"/>
    <w:rsid w:val="69AA6768"/>
    <w:rsid w:val="6CA904A5"/>
    <w:rsid w:val="6D983C49"/>
    <w:rsid w:val="6FEF5D43"/>
    <w:rsid w:val="70C27F5F"/>
    <w:rsid w:val="71CD3E62"/>
    <w:rsid w:val="73165FD7"/>
    <w:rsid w:val="73A80D52"/>
    <w:rsid w:val="74CE2E49"/>
    <w:rsid w:val="758C7F08"/>
    <w:rsid w:val="77256F26"/>
    <w:rsid w:val="79093397"/>
    <w:rsid w:val="7A0704A0"/>
    <w:rsid w:val="7A2B757D"/>
    <w:rsid w:val="7A543839"/>
    <w:rsid w:val="7A7F6222"/>
    <w:rsid w:val="7C763145"/>
    <w:rsid w:val="7D423B47"/>
    <w:rsid w:val="7FB96AFD"/>
    <w:rsid w:val="7FFA7E4B"/>
    <w:rsid w:val="7FFDF973"/>
    <w:rsid w:val="FBF49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1854</Words>
  <Characters>2008</Characters>
  <Lines>9</Lines>
  <Paragraphs>2</Paragraphs>
  <TotalTime>9</TotalTime>
  <ScaleCrop>false</ScaleCrop>
  <LinksUpToDate>false</LinksUpToDate>
  <CharactersWithSpaces>2016</CharactersWithSpaces>
  <Application>WPS Office_12.1.3.27451_F1E327BC-269C-435d-A152-05C5408002CA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2022-04-18T04:03:00Z</dcterms:created>
  <dc:creator>532932199804011749</dc:creator>
  <cp:lastModifiedBy>梁金柱</cp:lastModifiedBy>
  <dcterms:modified xsi:type="dcterms:W3CDTF">2026-08-20T11:09:15Z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2052-12.1.3.27451</vt:lpwstr>
  </property>
  <property fmtid="{D5CDD505-2E9C-101B-9397-08002B2CF9AE}" pid="3" name="ICV">
    <vt:lpwstr>43497545563045999E811AF045C54B17_13</vt:lpwstr>
  </property>
  <property fmtid="{D5CDD505-2E9C-101B-9397-08002B2CF9AE}" pid="4" name="KSOTemplateDocerSaveRecord">
    <vt:lpwstr>eyJoZGlkIjoiM2JjZTNlMGMyMTU1NmExOGU1YWExYTMxN2U1YTZhZGQiLCJ1c2VySWQiOiIxNjkzMDA0NDk3In0=</vt:lpwstr>
  </property>
</Properties>
</file>