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p>
    <w:p w14:paraId="0040C226">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本公司（东莞市新东元环保投资有限公司）</w:t>
      </w:r>
      <w:r>
        <w:rPr>
          <w:rFonts w:hint="eastAsia" w:eastAsia="仿宋_GB2312"/>
          <w:sz w:val="32"/>
          <w:szCs w:val="32"/>
          <w:highlight w:val="none"/>
          <w:lang w:val="en-US" w:eastAsia="zh-CN"/>
        </w:rPr>
        <w:t>因生产运营需要，</w:t>
      </w:r>
      <w:r>
        <w:rPr>
          <w:rFonts w:hint="eastAsia" w:eastAsia="仿宋_GB2312"/>
          <w:sz w:val="32"/>
          <w:szCs w:val="32"/>
          <w:highlight w:val="none"/>
          <w:lang w:eastAsia="zh-CN"/>
        </w:rPr>
        <w:t>拟采购一批生产物资，现将相关情况介绍如下：</w:t>
      </w:r>
    </w:p>
    <w:p w14:paraId="2B87B8C3">
      <w:pPr>
        <w:spacing w:line="600" w:lineRule="exact"/>
        <w:ind w:firstLine="640" w:firstLineChars="200"/>
        <w:rPr>
          <w:rFonts w:hint="eastAsia" w:eastAsia="仿宋_GB2312"/>
          <w:sz w:val="32"/>
          <w:szCs w:val="32"/>
          <w:highlight w:val="none"/>
          <w:lang w:eastAsia="zh-CN"/>
        </w:rPr>
      </w:pPr>
      <w:bookmarkStart w:id="0" w:name="_Toc18594_WPSOffice_Level1"/>
      <w:r>
        <w:rPr>
          <w:rFonts w:hint="eastAsia" w:eastAsia="仿宋_GB2312"/>
          <w:sz w:val="32"/>
          <w:szCs w:val="32"/>
          <w:highlight w:val="none"/>
          <w:lang w:eastAsia="zh-CN"/>
        </w:rPr>
        <w:t>一、项目名称及内容</w:t>
      </w:r>
      <w:bookmarkEnd w:id="0"/>
    </w:p>
    <w:p w14:paraId="1D741EEA">
      <w:pPr>
        <w:spacing w:line="600" w:lineRule="exact"/>
        <w:ind w:firstLine="640" w:firstLineChars="200"/>
        <w:rPr>
          <w:rFonts w:hint="default" w:eastAsia="仿宋_GB2312"/>
          <w:sz w:val="32"/>
          <w:szCs w:val="32"/>
          <w:highlight w:val="none"/>
          <w:lang w:val="en-US" w:eastAsia="zh-CN"/>
        </w:rPr>
      </w:pPr>
      <w:bookmarkStart w:id="1" w:name="_Toc12547_WPSOffice_Level1"/>
      <w:r>
        <w:rPr>
          <w:rFonts w:hint="eastAsia" w:eastAsia="仿宋_GB2312"/>
          <w:sz w:val="32"/>
          <w:szCs w:val="32"/>
          <w:highlight w:val="none"/>
          <w:lang w:eastAsia="zh-CN"/>
        </w:rPr>
        <w:t>项目名称：东莞市海心沙资源综合利用中心环保热电厂202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6</w:t>
      </w:r>
      <w:r>
        <w:rPr>
          <w:rFonts w:hint="eastAsia" w:eastAsia="仿宋_GB2312"/>
          <w:sz w:val="32"/>
          <w:szCs w:val="32"/>
          <w:highlight w:val="none"/>
          <w:lang w:eastAsia="zh-CN"/>
        </w:rPr>
        <w:t>批）</w:t>
      </w:r>
    </w:p>
    <w:p w14:paraId="39358250">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项目内容：成交人负责提供</w:t>
      </w:r>
      <w:r>
        <w:rPr>
          <w:rFonts w:hint="eastAsia" w:eastAsia="仿宋_GB2312"/>
          <w:sz w:val="32"/>
          <w:szCs w:val="32"/>
          <w:highlight w:val="none"/>
          <w:lang w:val="en-US" w:eastAsia="zh-CN"/>
        </w:rPr>
        <w:t>本项目</w:t>
      </w:r>
      <w:r>
        <w:rPr>
          <w:rFonts w:hint="eastAsia" w:eastAsia="仿宋_GB2312"/>
          <w:sz w:val="32"/>
          <w:szCs w:val="32"/>
          <w:highlight w:val="none"/>
          <w:lang w:eastAsia="zh-CN"/>
        </w:rPr>
        <w:t>生产物资采购、包装、保管、供货、运输、提供技术资料、质量保证及售后服务等内容。</w:t>
      </w:r>
    </w:p>
    <w:p w14:paraId="230124C9">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二、项目概况</w:t>
      </w:r>
      <w:bookmarkEnd w:id="1"/>
    </w:p>
    <w:p w14:paraId="6C6556B2">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本项目采购信息在东莞实业投资控股集团有限公司网站发布（http://www.dgsy.com.cn/）、</w:t>
      </w:r>
      <w:bookmarkStart w:id="2" w:name="_Hlk73112413"/>
      <w:r>
        <w:rPr>
          <w:rFonts w:hint="eastAsia" w:eastAsia="仿宋_GB2312"/>
          <w:sz w:val="32"/>
          <w:szCs w:val="32"/>
          <w:highlight w:val="none"/>
          <w:lang w:eastAsia="zh-CN"/>
        </w:rPr>
        <w:t>广东东实环境股份有限公司网站（www.dsenvironment.cn）发布</w:t>
      </w:r>
      <w:bookmarkEnd w:id="2"/>
      <w:r>
        <w:rPr>
          <w:rFonts w:hint="eastAsia" w:eastAsia="仿宋_GB2312"/>
          <w:sz w:val="32"/>
          <w:szCs w:val="32"/>
          <w:highlight w:val="none"/>
          <w:lang w:eastAsia="zh-CN"/>
        </w:rPr>
        <w:t>。</w:t>
      </w:r>
    </w:p>
    <w:p w14:paraId="2CF421F6">
      <w:pPr>
        <w:spacing w:line="600" w:lineRule="exact"/>
        <w:ind w:firstLine="640" w:firstLineChars="200"/>
        <w:rPr>
          <w:rFonts w:hint="eastAsia" w:eastAsia="仿宋_GB2312"/>
          <w:sz w:val="32"/>
          <w:szCs w:val="32"/>
          <w:highlight w:val="none"/>
          <w:lang w:eastAsia="zh-CN"/>
        </w:rPr>
      </w:pPr>
      <w:bookmarkStart w:id="3" w:name="_Toc22880_WPSOffice_Level1"/>
      <w:r>
        <w:rPr>
          <w:rFonts w:hint="eastAsia" w:eastAsia="仿宋_GB2312"/>
          <w:sz w:val="32"/>
          <w:szCs w:val="32"/>
          <w:highlight w:val="none"/>
          <w:lang w:eastAsia="zh-CN"/>
        </w:rPr>
        <w:t>三、响应人资格要求</w:t>
      </w:r>
      <w:bookmarkEnd w:id="3"/>
    </w:p>
    <w:p w14:paraId="36BC1440">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1、响应人必须是具有独立承担民事责任能力的企业或事业单位法人或其它组织。【提供《营业执照》复印件（加盖公章）或《事业单位法人证书》复印件（加盖公章）或其他主体证书复印件（加盖公章）】</w:t>
      </w:r>
    </w:p>
    <w:p w14:paraId="14FE0FB8">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2、响应人必须具有20</w:t>
      </w:r>
      <w:r>
        <w:rPr>
          <w:rFonts w:hint="eastAsia" w:eastAsia="仿宋_GB2312"/>
          <w:sz w:val="32"/>
          <w:szCs w:val="32"/>
          <w:highlight w:val="none"/>
          <w:lang w:val="en-US" w:eastAsia="zh-CN"/>
        </w:rPr>
        <w:t>23年1月1日</w:t>
      </w:r>
      <w:r>
        <w:rPr>
          <w:rFonts w:hint="eastAsia" w:eastAsia="仿宋_GB2312"/>
          <w:sz w:val="32"/>
          <w:szCs w:val="32"/>
          <w:highlight w:val="none"/>
          <w:lang w:eastAsia="zh-CN"/>
        </w:rPr>
        <w:t>起至今同类货物供货的经验。【按合同签订时间为准，须提供合同关键页复印件（包含但不限于合同首页、合同金额页、合同签字页等）、对应业绩项目合同期内任意一期已开具的发票</w:t>
      </w:r>
      <w:r>
        <w:rPr>
          <w:rFonts w:hint="eastAsia" w:eastAsia="仿宋_GB2312"/>
          <w:sz w:val="32"/>
          <w:szCs w:val="32"/>
          <w:highlight w:val="none"/>
          <w:lang w:val="en-US" w:eastAsia="zh-CN"/>
        </w:rPr>
        <w:t>证明材料</w:t>
      </w:r>
      <w:r>
        <w:rPr>
          <w:rFonts w:hint="eastAsia" w:eastAsia="仿宋_GB2312"/>
          <w:sz w:val="32"/>
          <w:szCs w:val="32"/>
          <w:highlight w:val="none"/>
          <w:lang w:eastAsia="zh-CN"/>
        </w:rPr>
        <w:t>加盖公章】</w:t>
      </w:r>
    </w:p>
    <w:p w14:paraId="148D0DC6">
      <w:pPr>
        <w:spacing w:line="600" w:lineRule="exact"/>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3、响应人须提供报价截止日前6个月内任意1个月依法缴纳税收及无欠税的证明材料。如依法免税的，须提供相</w:t>
      </w:r>
    </w:p>
    <w:p w14:paraId="30EF0DD3">
      <w:pPr>
        <w:spacing w:line="600" w:lineRule="exact"/>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应证明材料。</w:t>
      </w:r>
      <w:r>
        <w:rPr>
          <w:rFonts w:hint="eastAsia" w:eastAsia="仿宋_GB2312"/>
          <w:sz w:val="32"/>
          <w:szCs w:val="32"/>
          <w:highlight w:val="none"/>
          <w:lang w:eastAsia="zh-CN"/>
        </w:rPr>
        <w:t>【</w:t>
      </w:r>
      <w:r>
        <w:rPr>
          <w:rFonts w:hint="eastAsia" w:eastAsia="仿宋_GB2312"/>
          <w:sz w:val="32"/>
          <w:szCs w:val="32"/>
          <w:highlight w:val="none"/>
          <w:lang w:val="en-US" w:eastAsia="zh-CN"/>
        </w:rPr>
        <w:t>证明材料须加盖公章</w:t>
      </w:r>
      <w:r>
        <w:rPr>
          <w:rFonts w:hint="eastAsia" w:eastAsia="仿宋_GB2312"/>
          <w:sz w:val="32"/>
          <w:szCs w:val="32"/>
          <w:highlight w:val="none"/>
          <w:lang w:eastAsia="zh-CN"/>
        </w:rPr>
        <w:t>】</w:t>
      </w:r>
    </w:p>
    <w:p w14:paraId="6A9998DF">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val="en-US" w:eastAsia="zh-CN"/>
        </w:rPr>
        <w:t>4</w:t>
      </w:r>
      <w:r>
        <w:rPr>
          <w:rFonts w:hint="eastAsia" w:eastAsia="仿宋_GB2312"/>
          <w:sz w:val="32"/>
          <w:szCs w:val="32"/>
          <w:highlight w:val="none"/>
          <w:lang w:eastAsia="zh-CN"/>
        </w:rPr>
        <w:t>、未被列入东实环境及下属企业相关领域黑名单。</w:t>
      </w:r>
    </w:p>
    <w:p w14:paraId="4A1F3EC3">
      <w:pPr>
        <w:pStyle w:val="6"/>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600" w:lineRule="exact"/>
        <w:ind w:firstLine="640" w:firstLineChars="200"/>
        <w:rPr>
          <w:rFonts w:hint="default" w:eastAsia="仿宋_GB2312"/>
          <w:sz w:val="32"/>
          <w:szCs w:val="32"/>
          <w:highlight w:val="none"/>
          <w:lang w:val="en-US" w:eastAsia="zh-CN"/>
        </w:rPr>
      </w:pPr>
      <w:bookmarkStart w:id="5" w:name="_Toc18594_WPSOffice_Level2"/>
      <w:r>
        <w:rPr>
          <w:rFonts w:hint="eastAsia" w:eastAsia="仿宋_GB2312"/>
          <w:sz w:val="32"/>
          <w:szCs w:val="32"/>
          <w:highlight w:val="none"/>
          <w:lang w:eastAsia="zh-CN"/>
        </w:rPr>
        <w:t>（一）采购清单</w:t>
      </w:r>
      <w:bookmarkEnd w:id="5"/>
      <w:r>
        <w:rPr>
          <w:rFonts w:hint="eastAsia" w:eastAsia="仿宋_GB2312"/>
          <w:sz w:val="32"/>
          <w:szCs w:val="32"/>
          <w:highlight w:val="none"/>
          <w:lang w:eastAsia="zh-CN"/>
        </w:rPr>
        <w:t>及品质要求详见附件八《东莞市海心沙资源综合利用中心环保热电厂202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6</w:t>
      </w:r>
      <w:r>
        <w:rPr>
          <w:rFonts w:hint="eastAsia" w:eastAsia="仿宋_GB2312"/>
          <w:sz w:val="32"/>
          <w:szCs w:val="32"/>
          <w:highlight w:val="none"/>
          <w:lang w:eastAsia="zh-CN"/>
        </w:rPr>
        <w:t>批）清单》。</w:t>
      </w:r>
    </w:p>
    <w:p w14:paraId="123E2B7C">
      <w:pPr>
        <w:spacing w:line="600" w:lineRule="exact"/>
        <w:ind w:firstLine="640" w:firstLineChars="200"/>
        <w:rPr>
          <w:rFonts w:hint="eastAsia" w:eastAsia="仿宋_GB2312"/>
          <w:sz w:val="32"/>
          <w:szCs w:val="32"/>
          <w:highlight w:val="none"/>
          <w:lang w:eastAsia="zh-CN"/>
        </w:rPr>
      </w:pPr>
      <w:r>
        <w:rPr>
          <w:rFonts w:hint="eastAsia" w:eastAsia="仿宋_GB2312"/>
          <w:sz w:val="32"/>
          <w:szCs w:val="32"/>
          <w:highlight w:val="none"/>
          <w:lang w:eastAsia="zh-CN"/>
        </w:rPr>
        <w:t>响应人应详细核对及阅读采购清单及技术要求，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lang w:eastAsia="zh-CN"/>
        </w:rPr>
        <w:t>如有遗漏造成报价失误由响应人自行负责。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w:t>
      </w:r>
      <w:r>
        <w:rPr>
          <w:rFonts w:hint="eastAsia" w:eastAsia="仿宋_GB2312"/>
          <w:sz w:val="32"/>
          <w:szCs w:val="32"/>
          <w:highlight w:val="none"/>
          <w:lang w:eastAsia="zh-CN"/>
        </w:rPr>
        <w:t>响应人</w:t>
      </w:r>
      <w:r>
        <w:rPr>
          <w:rFonts w:hint="eastAsia" w:eastAsia="仿宋_GB2312"/>
          <w:sz w:val="32"/>
          <w:szCs w:val="32"/>
          <w:highlight w:val="none"/>
        </w:rPr>
        <w:t>须保证所供货物为品牌正品，</w:t>
      </w:r>
      <w:r>
        <w:rPr>
          <w:rFonts w:hint="eastAsia" w:eastAsia="仿宋_GB2312"/>
          <w:b/>
          <w:bCs/>
          <w:sz w:val="32"/>
          <w:szCs w:val="32"/>
          <w:highlight w:val="none"/>
          <w:lang w:eastAsia="zh-CN"/>
        </w:rPr>
        <w:t>响应人</w:t>
      </w:r>
      <w:r>
        <w:rPr>
          <w:rFonts w:hint="eastAsia" w:eastAsia="仿宋_GB2312"/>
          <w:b/>
          <w:bCs/>
          <w:sz w:val="32"/>
          <w:szCs w:val="32"/>
          <w:highlight w:val="none"/>
        </w:rPr>
        <w:t>供货前或供货时，采购人有权要求</w:t>
      </w:r>
      <w:r>
        <w:rPr>
          <w:rFonts w:hint="eastAsia" w:eastAsia="仿宋_GB2312"/>
          <w:b/>
          <w:bCs/>
          <w:sz w:val="32"/>
          <w:szCs w:val="32"/>
          <w:highlight w:val="none"/>
          <w:lang w:eastAsia="zh-CN"/>
        </w:rPr>
        <w:t>响应人</w:t>
      </w:r>
      <w:r>
        <w:rPr>
          <w:rFonts w:hint="eastAsia" w:eastAsia="仿宋_GB2312"/>
          <w:b/>
          <w:bCs/>
          <w:sz w:val="32"/>
          <w:szCs w:val="32"/>
          <w:highlight w:val="none"/>
        </w:rPr>
        <w:t>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6</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6</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w:t>
      </w:r>
      <w:r>
        <w:rPr>
          <w:rFonts w:hint="eastAsia" w:eastAsia="仿宋_GB2312"/>
          <w:sz w:val="32"/>
          <w:szCs w:val="32"/>
          <w:highlight w:val="none"/>
          <w:lang w:eastAsia="zh-CN"/>
        </w:rPr>
        <w:t>响应人</w:t>
      </w:r>
      <w:r>
        <w:rPr>
          <w:rFonts w:hint="eastAsia" w:eastAsia="仿宋_GB2312"/>
          <w:sz w:val="32"/>
          <w:szCs w:val="32"/>
          <w:highlight w:val="none"/>
        </w:rPr>
        <w:t>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w:t>
      </w:r>
      <w:r>
        <w:rPr>
          <w:rFonts w:hint="eastAsia" w:eastAsia="仿宋_GB2312"/>
          <w:sz w:val="32"/>
          <w:szCs w:val="32"/>
          <w:highlight w:val="none"/>
          <w:lang w:eastAsia="zh-CN"/>
        </w:rPr>
        <w:t>响应人</w:t>
      </w:r>
      <w:r>
        <w:rPr>
          <w:rFonts w:hint="eastAsia" w:eastAsia="仿宋_GB2312"/>
          <w:sz w:val="32"/>
          <w:szCs w:val="32"/>
          <w:highlight w:val="none"/>
        </w:rPr>
        <w:t>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本项目为采购人原设备配套用生产物资，响应人所报货物必须满足本项目附件清单所要求对应品牌型号的全部参数要求。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响应人所报品牌与之偏离的，必须经采购人同意后方可提供同等或更优档次品牌及质量的产品，且须在报价清单“备注”中写明，否则视为无效报价。采购人有权随时要求响应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响应人所报生产物资在实际供货中质量低于采购人采购清单的品牌标准或与采购人原有设备有任何不适配或无法满足使用需求的，采购人有权要求响应人在限期内将生产物资更换为采购人原附件清单内的品牌型号生产物资。如响应人拒绝或无法在限期内更换的，采购人有权自行购买，所产生的费用差额由响应人承担，响应人拒绝响应达三次以上的，采购人有权单方面取消合同并追究响应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（八）如经采购人核实响应人所报偏离不符合采购人需求及实际运营要求的，采购人有权取消成交人中标资格。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响应人须与对应专业工程师对清单物资进行确认并确保满足现场使用需求，因响应人未进行确认造成所报物资不满足现场使用需求的，响应人须在3个工作日内完成更换直至满足采购人使用需求，因此产生的费用由响应人承担。响应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eastAsia="仿宋_GB2312"/>
          <w:sz w:val="32"/>
          <w:szCs w:val="32"/>
          <w:highlight w:val="none"/>
          <w:lang w:val="en-US" w:eastAsia="zh-CN"/>
        </w:rPr>
        <w:t>采购人发出结果确认函之日起，成交人在15个日历日内完成所有物资供货，并经采购人验收合格。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2、报价保证金收款账户信息：</w:t>
      </w:r>
    </w:p>
    <w:p w14:paraId="6CC07EC5">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帐户名称：东莞市新东元环保投资有限公司</w:t>
      </w:r>
    </w:p>
    <w:p w14:paraId="0B237D63">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 xml:space="preserve">开户银行：中国银行股份有限公司东莞分行 </w:t>
      </w:r>
    </w:p>
    <w:p w14:paraId="5822FE41">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276" w:lineRule="auto"/>
        <w:ind w:firstLine="640" w:firstLineChars="200"/>
        <w:rPr>
          <w:rFonts w:hint="eastAsia" w:eastAsia="仿宋_GB2312"/>
          <w:sz w:val="32"/>
          <w:szCs w:val="32"/>
          <w:highlight w:val="none"/>
          <w:lang w:val="en-US" w:eastAsia="zh-CN"/>
        </w:rPr>
      </w:pPr>
      <w:bookmarkStart w:id="10" w:name="_Hlk63759280"/>
      <w:bookmarkStart w:id="11" w:name="_Hlk57795626"/>
      <w:r>
        <w:rPr>
          <w:rFonts w:hint="eastAsia" w:eastAsia="仿宋_GB2312"/>
          <w:sz w:val="32"/>
          <w:szCs w:val="32"/>
          <w:highlight w:val="none"/>
          <w:lang w:val="en-US" w:eastAsia="zh-CN"/>
        </w:rPr>
        <w:t>成交人完成全部供货并经采购人验收合格后向采购人提交供货对账单，双方对验收合格入库的货物数量及金额核对无误后，成交人在三个工作日内向采购人提交合法有效的等额增值税专用发票，采购人在30个日历日内向成交人支付入库货物金额的100%。成交人逾期递交对账单或发票的，采购人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276"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本项目</w:t>
      </w:r>
      <w:bookmarkStart w:id="12" w:name="_Hlk38315765"/>
      <w:r>
        <w:rPr>
          <w:rFonts w:hint="eastAsia" w:eastAsia="仿宋_GB2312"/>
          <w:sz w:val="32"/>
          <w:szCs w:val="32"/>
          <w:highlight w:val="none"/>
          <w:lang w:val="en-US" w:eastAsia="zh-CN"/>
        </w:rPr>
        <w:t>为固定总价包干，报价包含货物、税费、人工费、装卸费、运费、服务费等一切为满足项目实施可能产生的费用。</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lang w:val="en-US" w:eastAsia="zh-CN"/>
        </w:rPr>
        <w:t>1、</w:t>
      </w:r>
      <w:r>
        <w:rPr>
          <w:rFonts w:hint="eastAsia" w:eastAsia="仿宋_GB2312"/>
          <w:b w:val="0"/>
          <w:bCs w:val="0"/>
          <w:sz w:val="32"/>
          <w:szCs w:val="32"/>
          <w:highlight w:val="none"/>
        </w:rPr>
        <w:t>本次项目采用询价方式进行采购，原则上以含税总价的最低报价的</w:t>
      </w:r>
      <w:r>
        <w:rPr>
          <w:rFonts w:hint="eastAsia" w:eastAsia="仿宋_GB2312"/>
          <w:b w:val="0"/>
          <w:bCs w:val="0"/>
          <w:sz w:val="32"/>
          <w:szCs w:val="32"/>
          <w:highlight w:val="none"/>
          <w:lang w:eastAsia="zh-CN"/>
        </w:rPr>
        <w:t>响应人</w:t>
      </w:r>
      <w:r>
        <w:rPr>
          <w:rFonts w:hint="eastAsia" w:eastAsia="仿宋_GB2312"/>
          <w:b w:val="0"/>
          <w:bCs w:val="0"/>
          <w:sz w:val="32"/>
          <w:szCs w:val="32"/>
          <w:highlight w:val="none"/>
        </w:rPr>
        <w:t>为成交人。</w:t>
      </w:r>
    </w:p>
    <w:p w14:paraId="0BB1CD63">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开标结束后由我司招标成本部将相关询价情况报我司招标采购工作小组审定，由我司招标采购工作小组定标。</w:t>
      </w:r>
    </w:p>
    <w:p w14:paraId="65BB37A2">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、本项目如发生多次采购，根据以下情况可以现场申请转换采购方式继续采购：</w:t>
      </w:r>
    </w:p>
    <w:p w14:paraId="65AE085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（1）当有效供应商只有2家时，经招采小组论证，采购文件没有不合理条款、采购程序符合规定的，经采购人和作出实质性响应的供应商代表同意后，可现场更改为2家供应商继续竞争性谈判采购。</w:t>
      </w:r>
    </w:p>
    <w:p w14:paraId="4AEAFE2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（2）当有效供应商只有1家时，经招采小组论证，采购文件没有不合理条款、采购程序符合规定的，经采购人和作出实质性响应的供应商代表同意后，可现场更改为1家供应商继续定向谈判采购。</w:t>
      </w:r>
    </w:p>
    <w:p w14:paraId="4E1C8AA0">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（3）若不同意转换采购方式，退出投标的供应商，投标保证金按采购文件规定退还。</w:t>
      </w:r>
    </w:p>
    <w:p w14:paraId="0D9C6615">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4</w:t>
      </w:r>
      <w:r>
        <w:rPr>
          <w:rFonts w:hint="eastAsia" w:eastAsia="仿宋_GB2312"/>
          <w:sz w:val="32"/>
          <w:szCs w:val="32"/>
          <w:highlight w:val="none"/>
        </w:rPr>
        <w:t>、如采购人对采购标的整体或主要部件有约定多个品牌且采购项目采用最低评标价法的，提供相同品牌产品的不同响应人参加同一合同项下报价，以其中通过资格审查、符合性审查且报价最低的响应人参加评标（或参与转方式采购）；如以上响应人报价相同的，则采取随机抽取方式确定参加评标（或参与转方式采购）的响应人，其他响应人报价无效。</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合同签订的依据为询价文件、</w:t>
      </w:r>
      <w:r>
        <w:rPr>
          <w:rFonts w:hint="eastAsia" w:eastAsia="仿宋_GB2312"/>
          <w:sz w:val="32"/>
          <w:szCs w:val="32"/>
          <w:highlight w:val="none"/>
          <w:lang w:val="en-US" w:eastAsia="zh-CN"/>
        </w:rPr>
        <w:t>响应</w:t>
      </w:r>
      <w:r>
        <w:rPr>
          <w:rFonts w:hint="eastAsia" w:eastAsia="仿宋_GB2312"/>
          <w:sz w:val="32"/>
          <w:szCs w:val="32"/>
          <w:highlight w:val="none"/>
        </w:rPr>
        <w:t>文件及补充说明等。确定成交人后，成交人在15个工作日内与采购人签订合同（详见附件合同模板）。</w:t>
      </w:r>
    </w:p>
    <w:p w14:paraId="6B4CDF31">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成交</w:t>
      </w:r>
      <w:r>
        <w:rPr>
          <w:rFonts w:hint="eastAsia" w:eastAsia="仿宋_GB2312"/>
          <w:sz w:val="32"/>
          <w:szCs w:val="32"/>
          <w:highlight w:val="none"/>
        </w:rPr>
        <w:t>人收款前需向采购人提供请款材料和开具合法有效等额的增值税专用发票，否则采购人有权拒绝付款。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w:t>
      </w:r>
      <w:r>
        <w:rPr>
          <w:rFonts w:hint="eastAsia" w:ascii="仿宋" w:hAnsi="仿宋" w:eastAsia="仿宋"/>
          <w:b/>
          <w:bCs/>
          <w:sz w:val="32"/>
          <w:szCs w:val="32"/>
          <w:highlight w:val="none"/>
          <w:lang w:val="en-US" w:eastAsia="zh-CN"/>
        </w:rPr>
        <w:t>响应</w:t>
      </w:r>
      <w:r>
        <w:rPr>
          <w:rFonts w:ascii="仿宋" w:hAnsi="仿宋" w:eastAsia="仿宋"/>
          <w:b/>
          <w:bCs/>
          <w:sz w:val="32"/>
          <w:szCs w:val="32"/>
          <w:highlight w:val="none"/>
        </w:rPr>
        <w:t>文件的组成部分</w:t>
      </w:r>
      <w:r>
        <w:rPr>
          <w:rFonts w:hint="eastAsia" w:ascii="仿宋" w:hAnsi="仿宋" w:eastAsia="仿宋"/>
          <w:b/>
          <w:bCs/>
          <w:sz w:val="32"/>
          <w:szCs w:val="32"/>
          <w:highlight w:val="none"/>
        </w:rPr>
        <w:t>（</w:t>
      </w:r>
      <w:r>
        <w:rPr>
          <w:rFonts w:hint="eastAsia" w:ascii="仿宋" w:hAnsi="仿宋" w:eastAsia="仿宋"/>
          <w:b/>
          <w:bCs/>
          <w:sz w:val="32"/>
          <w:szCs w:val="32"/>
          <w:highlight w:val="none"/>
          <w:lang w:eastAsia="zh-CN"/>
        </w:rPr>
        <w:t>响应人</w:t>
      </w:r>
      <w:r>
        <w:rPr>
          <w:rFonts w:hint="eastAsia" w:ascii="仿宋" w:hAnsi="仿宋" w:eastAsia="仿宋"/>
          <w:b/>
          <w:bCs/>
          <w:sz w:val="32"/>
          <w:szCs w:val="32"/>
          <w:highlight w:val="none"/>
        </w:rPr>
        <w:t>本项资料如有不全，则作无效</w:t>
      </w:r>
      <w:r>
        <w:rPr>
          <w:rFonts w:hint="eastAsia" w:ascii="仿宋" w:hAnsi="仿宋" w:eastAsia="仿宋"/>
          <w:b/>
          <w:bCs/>
          <w:sz w:val="32"/>
          <w:szCs w:val="32"/>
          <w:highlight w:val="none"/>
          <w:lang w:val="en-US" w:eastAsia="zh-CN"/>
        </w:rPr>
        <w:t>报价</w:t>
      </w:r>
      <w:r>
        <w:rPr>
          <w:rFonts w:hint="eastAsia" w:ascii="仿宋" w:hAnsi="仿宋" w:eastAsia="仿宋"/>
          <w:b/>
          <w:bCs/>
          <w:sz w:val="32"/>
          <w:szCs w:val="32"/>
          <w:highlight w:val="none"/>
        </w:rPr>
        <w:t>处理）</w:t>
      </w:r>
    </w:p>
    <w:p w14:paraId="68470619">
      <w:pPr>
        <w:spacing w:line="360" w:lineRule="auto"/>
        <w:ind w:firstLine="640" w:firstLineChars="200"/>
        <w:outlineLvl w:val="1"/>
        <w:rPr>
          <w:rFonts w:hint="eastAsia" w:eastAsia="仿宋_GB2312"/>
          <w:sz w:val="32"/>
          <w:szCs w:val="32"/>
          <w:highlight w:val="none"/>
        </w:rPr>
      </w:pPr>
      <w:bookmarkStart w:id="15" w:name="_Toc22880_WPSOffice_Level2"/>
      <w:r>
        <w:rPr>
          <w:rFonts w:hint="eastAsia" w:eastAsia="仿宋_GB2312"/>
          <w:sz w:val="32"/>
          <w:szCs w:val="32"/>
          <w:highlight w:val="none"/>
          <w:lang w:val="en-US" w:eastAsia="zh-CN"/>
        </w:rPr>
        <w:t>1、</w:t>
      </w:r>
      <w:r>
        <w:rPr>
          <w:rFonts w:hint="eastAsia" w:eastAsia="仿宋_GB2312"/>
          <w:sz w:val="32"/>
          <w:szCs w:val="32"/>
          <w:highlight w:val="none"/>
        </w:rPr>
        <w:t>报价函（模板，详见附件）及报价清单（</w:t>
      </w:r>
      <w:r>
        <w:rPr>
          <w:rFonts w:hint="eastAsia" w:eastAsia="仿宋_GB2312"/>
          <w:sz w:val="32"/>
          <w:szCs w:val="32"/>
          <w:highlight w:val="none"/>
          <w:lang w:val="en-US" w:eastAsia="zh-CN"/>
        </w:rPr>
        <w:t>自拟</w:t>
      </w:r>
      <w:r>
        <w:rPr>
          <w:rFonts w:hint="eastAsia" w:eastAsia="仿宋_GB2312"/>
          <w:sz w:val="32"/>
          <w:szCs w:val="32"/>
          <w:highlight w:val="none"/>
        </w:rPr>
        <w:t>，详见附件八，必须包含本项目所有的子项报价）；</w:t>
      </w:r>
      <w:bookmarkEnd w:id="15"/>
    </w:p>
    <w:p w14:paraId="0599D299">
      <w:pPr>
        <w:spacing w:line="360" w:lineRule="auto"/>
        <w:ind w:firstLine="640" w:firstLineChars="200"/>
        <w:outlineLvl w:val="1"/>
        <w:rPr>
          <w:rFonts w:hint="eastAsia" w:eastAsia="仿宋_GB2312"/>
          <w:sz w:val="32"/>
          <w:szCs w:val="32"/>
          <w:highlight w:val="none"/>
        </w:rPr>
      </w:pPr>
      <w:bookmarkStart w:id="16" w:name="_Toc28023_WPSOffice_Level2"/>
      <w:r>
        <w:rPr>
          <w:rFonts w:hint="eastAsia" w:eastAsia="仿宋_GB2312"/>
          <w:sz w:val="32"/>
          <w:szCs w:val="32"/>
          <w:highlight w:val="none"/>
        </w:rPr>
        <w:t>2、法人证明（模板，详见附件）以及法人身份证复印件并加盖公章；</w:t>
      </w:r>
      <w:bookmarkEnd w:id="16"/>
    </w:p>
    <w:p w14:paraId="7936618E">
      <w:pPr>
        <w:spacing w:line="360" w:lineRule="auto"/>
        <w:ind w:firstLine="640" w:firstLineChars="200"/>
        <w:outlineLvl w:val="1"/>
        <w:rPr>
          <w:rFonts w:hint="eastAsia" w:eastAsia="仿宋_GB2312"/>
          <w:sz w:val="32"/>
          <w:szCs w:val="32"/>
          <w:highlight w:val="none"/>
        </w:rPr>
      </w:pPr>
      <w:bookmarkStart w:id="17" w:name="_Toc13465_WPSOffice_Level2"/>
      <w:r>
        <w:rPr>
          <w:rFonts w:hint="eastAsia" w:eastAsia="仿宋_GB2312"/>
          <w:sz w:val="32"/>
          <w:szCs w:val="32"/>
          <w:highlight w:val="none"/>
        </w:rPr>
        <w:t>3、法人授权书（模板，详见附件）及被委托人身份证复印件并加盖公章（法定代表人本人参加</w:t>
      </w:r>
      <w:r>
        <w:rPr>
          <w:rFonts w:hint="eastAsia" w:eastAsia="仿宋_GB2312"/>
          <w:sz w:val="32"/>
          <w:szCs w:val="32"/>
          <w:highlight w:val="none"/>
          <w:lang w:val="en-US" w:eastAsia="zh-CN"/>
        </w:rPr>
        <w:t>报价</w:t>
      </w:r>
      <w:r>
        <w:rPr>
          <w:rFonts w:hint="eastAsia" w:eastAsia="仿宋_GB2312"/>
          <w:sz w:val="32"/>
          <w:szCs w:val="32"/>
          <w:highlight w:val="none"/>
        </w:rPr>
        <w:t>活动不需提供）；</w:t>
      </w:r>
      <w:bookmarkEnd w:id="17"/>
    </w:p>
    <w:p w14:paraId="326DD7D9">
      <w:pPr>
        <w:spacing w:line="360" w:lineRule="auto"/>
        <w:ind w:firstLine="640" w:firstLineChars="200"/>
        <w:outlineLvl w:val="1"/>
        <w:rPr>
          <w:rFonts w:hint="eastAsia" w:eastAsia="仿宋_GB2312"/>
          <w:sz w:val="32"/>
          <w:szCs w:val="32"/>
          <w:highlight w:val="none"/>
        </w:rPr>
      </w:pPr>
      <w:bookmarkStart w:id="18" w:name="_Toc5169_WPSOffice_Level2"/>
      <w:r>
        <w:rPr>
          <w:rFonts w:hint="eastAsia" w:eastAsia="仿宋_GB2312"/>
          <w:sz w:val="32"/>
          <w:szCs w:val="32"/>
          <w:highlight w:val="none"/>
        </w:rPr>
        <w:t>4、</w:t>
      </w:r>
      <w:r>
        <w:rPr>
          <w:rFonts w:hint="eastAsia" w:eastAsia="仿宋_GB2312"/>
          <w:sz w:val="32"/>
          <w:szCs w:val="32"/>
          <w:highlight w:val="none"/>
          <w:lang w:val="en-US" w:eastAsia="zh-CN"/>
        </w:rPr>
        <w:t>响应</w:t>
      </w:r>
      <w:r>
        <w:rPr>
          <w:rFonts w:hint="eastAsia" w:eastAsia="仿宋_GB2312"/>
          <w:sz w:val="32"/>
          <w:szCs w:val="32"/>
          <w:highlight w:val="none"/>
        </w:rPr>
        <w:t>人营业执照复印件并加盖公章；</w:t>
      </w:r>
      <w:bookmarkEnd w:id="18"/>
    </w:p>
    <w:p w14:paraId="790486BB">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5、业绩证明材料（按本项目</w:t>
      </w:r>
      <w:r>
        <w:rPr>
          <w:rFonts w:hint="eastAsia" w:eastAsia="仿宋_GB2312"/>
          <w:sz w:val="32"/>
          <w:szCs w:val="32"/>
          <w:highlight w:val="none"/>
          <w:lang w:eastAsia="zh-CN"/>
        </w:rPr>
        <w:t>响应人</w:t>
      </w:r>
      <w:r>
        <w:rPr>
          <w:rFonts w:hint="eastAsia" w:eastAsia="仿宋_GB2312"/>
          <w:sz w:val="32"/>
          <w:szCs w:val="32"/>
          <w:highlight w:val="none"/>
        </w:rPr>
        <w:t>资格要求提供资料，加盖公章）；</w:t>
      </w:r>
    </w:p>
    <w:p w14:paraId="614E304C">
      <w:pPr>
        <w:spacing w:line="360" w:lineRule="auto"/>
        <w:ind w:firstLine="640" w:firstLineChars="200"/>
        <w:outlineLvl w:val="1"/>
        <w:rPr>
          <w:rFonts w:hint="eastAsia" w:eastAsia="仿宋_GB2312"/>
          <w:sz w:val="32"/>
          <w:szCs w:val="32"/>
          <w:highlight w:val="none"/>
          <w:lang w:val="en-US" w:eastAsia="zh-CN"/>
        </w:rPr>
      </w:pPr>
      <w:r>
        <w:rPr>
          <w:rFonts w:hint="eastAsia" w:eastAsia="仿宋_GB2312"/>
          <w:sz w:val="32"/>
          <w:szCs w:val="32"/>
          <w:highlight w:val="none"/>
          <w:lang w:val="en-US" w:eastAsia="zh-CN"/>
        </w:rPr>
        <w:t>6、响应人报价截止日前6个月内任意1个月依法缴纳税收证明材料。如依法免税的，须提供相应证明材料。(证明材料须加盖公章)</w:t>
      </w:r>
    </w:p>
    <w:p w14:paraId="72792A54">
      <w:pPr>
        <w:spacing w:line="360" w:lineRule="auto"/>
        <w:ind w:firstLine="640" w:firstLineChars="200"/>
        <w:outlineLvl w:val="1"/>
        <w:rPr>
          <w:rFonts w:hint="eastAsia" w:eastAsia="仿宋_GB2312"/>
          <w:sz w:val="32"/>
          <w:szCs w:val="32"/>
          <w:highlight w:val="none"/>
          <w:lang w:val="en-US" w:eastAsia="zh-CN"/>
        </w:rPr>
      </w:pPr>
      <w:r>
        <w:rPr>
          <w:rFonts w:hint="eastAsia" w:eastAsia="仿宋_GB2312"/>
          <w:sz w:val="32"/>
          <w:szCs w:val="32"/>
          <w:highlight w:val="none"/>
          <w:lang w:val="en-US" w:eastAsia="zh-CN"/>
        </w:rPr>
        <w:t>7、响应人无欠税证明材料（在全国统一规范电子税务局平台开具，证明材料须加盖公章）；</w:t>
      </w:r>
    </w:p>
    <w:p w14:paraId="653FC881">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8</w:t>
      </w:r>
      <w:r>
        <w:rPr>
          <w:rFonts w:hint="default" w:eastAsia="仿宋_GB2312"/>
          <w:sz w:val="32"/>
          <w:szCs w:val="32"/>
          <w:highlight w:val="none"/>
        </w:rPr>
        <w:t>、</w:t>
      </w:r>
      <w:bookmarkStart w:id="19" w:name="_Toc6431_WPSOffice_Level2"/>
      <w:r>
        <w:rPr>
          <w:rFonts w:hint="default" w:eastAsia="仿宋_GB2312"/>
          <w:sz w:val="32"/>
          <w:szCs w:val="32"/>
          <w:highlight w:val="none"/>
        </w:rPr>
        <w:t>本项目询价文件要求或</w:t>
      </w:r>
      <w:r>
        <w:rPr>
          <w:rFonts w:hint="eastAsia" w:eastAsia="仿宋_GB2312"/>
          <w:sz w:val="32"/>
          <w:szCs w:val="32"/>
          <w:highlight w:val="none"/>
          <w:lang w:val="en-US" w:eastAsia="zh-CN"/>
        </w:rPr>
        <w:t>响应</w:t>
      </w:r>
      <w:r>
        <w:rPr>
          <w:rFonts w:hint="default" w:eastAsia="仿宋_GB2312"/>
          <w:sz w:val="32"/>
          <w:szCs w:val="32"/>
          <w:highlight w:val="none"/>
        </w:rPr>
        <w:t>人认为应补充的其他资料</w:t>
      </w:r>
      <w:r>
        <w:rPr>
          <w:rFonts w:hint="eastAsia" w:eastAsia="仿宋_GB2312"/>
          <w:sz w:val="32"/>
          <w:szCs w:val="32"/>
          <w:highlight w:val="none"/>
        </w:rPr>
        <w:t>（如有，加盖公章）。</w:t>
      </w:r>
      <w:bookmarkEnd w:id="19"/>
    </w:p>
    <w:p w14:paraId="4FCB9CBB">
      <w:pPr>
        <w:spacing w:line="360" w:lineRule="auto"/>
        <w:ind w:firstLine="640" w:firstLineChars="200"/>
        <w:outlineLvl w:val="1"/>
        <w:rPr>
          <w:rFonts w:hint="eastAsia" w:eastAsia="仿宋_GB2312"/>
          <w:sz w:val="32"/>
          <w:szCs w:val="32"/>
          <w:highlight w:val="none"/>
        </w:rPr>
      </w:pPr>
      <w:bookmarkStart w:id="20" w:name="_Toc17260_WPSOffice_Level2"/>
      <w:r>
        <w:rPr>
          <w:rFonts w:hint="eastAsia" w:eastAsia="仿宋_GB2312"/>
          <w:sz w:val="32"/>
          <w:szCs w:val="32"/>
          <w:highlight w:val="none"/>
          <w:lang w:val="en-US" w:eastAsia="zh-CN"/>
        </w:rPr>
        <w:t>9</w:t>
      </w:r>
      <w:r>
        <w:rPr>
          <w:rFonts w:hint="eastAsia" w:eastAsia="仿宋_GB2312"/>
          <w:sz w:val="32"/>
          <w:szCs w:val="32"/>
          <w:highlight w:val="none"/>
        </w:rPr>
        <w:t>、</w:t>
      </w:r>
      <w:r>
        <w:rPr>
          <w:rFonts w:hint="eastAsia" w:eastAsia="仿宋_GB2312"/>
          <w:sz w:val="32"/>
          <w:szCs w:val="32"/>
          <w:highlight w:val="none"/>
          <w:lang w:val="en-US" w:eastAsia="zh-CN"/>
        </w:rPr>
        <w:t>响应承诺函</w:t>
      </w:r>
      <w:r>
        <w:rPr>
          <w:rFonts w:hint="eastAsia" w:eastAsia="仿宋_GB2312"/>
          <w:sz w:val="32"/>
          <w:szCs w:val="32"/>
          <w:highlight w:val="none"/>
        </w:rPr>
        <w:t>（模板，详见附件</w:t>
      </w:r>
      <w:r>
        <w:rPr>
          <w:rFonts w:hint="eastAsia" w:eastAsia="仿宋_GB2312"/>
          <w:sz w:val="32"/>
          <w:szCs w:val="32"/>
          <w:highlight w:val="none"/>
          <w:lang w:eastAsia="zh-CN"/>
        </w:rPr>
        <w:t>，</w:t>
      </w:r>
      <w:r>
        <w:rPr>
          <w:rFonts w:hint="eastAsia" w:eastAsia="仿宋_GB2312"/>
          <w:sz w:val="32"/>
          <w:szCs w:val="32"/>
          <w:highlight w:val="none"/>
          <w:lang w:val="en-US" w:eastAsia="zh-CN"/>
        </w:rPr>
        <w:t>加盖公章</w:t>
      </w:r>
      <w:r>
        <w:rPr>
          <w:rFonts w:hint="eastAsia" w:eastAsia="仿宋_GB2312"/>
          <w:sz w:val="32"/>
          <w:szCs w:val="32"/>
          <w:highlight w:val="none"/>
        </w:rPr>
        <w:t>）</w:t>
      </w:r>
    </w:p>
    <w:p w14:paraId="755CD1F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val="en-US" w:eastAsia="zh-CN"/>
        </w:rPr>
        <w:t>10、</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0"/>
      <w:r>
        <w:rPr>
          <w:rFonts w:hint="eastAsia" w:eastAsia="仿宋_GB2312"/>
          <w:sz w:val="32"/>
          <w:szCs w:val="32"/>
          <w:highlight w:val="none"/>
        </w:rPr>
        <w:t>。</w:t>
      </w:r>
    </w:p>
    <w:p w14:paraId="29C451F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lang w:eastAsia="zh-CN"/>
        </w:rPr>
        <w:t>响应人</w:t>
      </w:r>
      <w:r>
        <w:rPr>
          <w:rFonts w:hint="eastAsia" w:eastAsia="仿宋_GB2312"/>
          <w:sz w:val="32"/>
          <w:szCs w:val="32"/>
          <w:highlight w:val="none"/>
        </w:rPr>
        <w:t>须严格按照采购人提供的表单格式及要求</w:t>
      </w:r>
      <w:r>
        <w:rPr>
          <w:rFonts w:hint="eastAsia" w:eastAsia="仿宋_GB2312"/>
          <w:sz w:val="32"/>
          <w:szCs w:val="32"/>
          <w:highlight w:val="none"/>
          <w:lang w:val="en-US" w:eastAsia="zh-CN"/>
        </w:rPr>
        <w:t>报价</w:t>
      </w:r>
      <w:r>
        <w:rPr>
          <w:rFonts w:hint="eastAsia" w:eastAsia="仿宋_GB2312"/>
          <w:sz w:val="32"/>
          <w:szCs w:val="32"/>
          <w:highlight w:val="none"/>
        </w:rPr>
        <w:t>，</w:t>
      </w:r>
      <w:r>
        <w:rPr>
          <w:rFonts w:hint="eastAsia" w:eastAsia="仿宋_GB2312"/>
          <w:sz w:val="32"/>
          <w:szCs w:val="32"/>
          <w:highlight w:val="none"/>
          <w:lang w:val="en-US" w:eastAsia="zh-CN"/>
        </w:rPr>
        <w:t>按文件模板要求签字、盖章。</w:t>
      </w:r>
      <w:r>
        <w:rPr>
          <w:rFonts w:hint="eastAsia" w:eastAsia="仿宋_GB2312"/>
          <w:sz w:val="32"/>
          <w:szCs w:val="32"/>
          <w:highlight w:val="none"/>
        </w:rPr>
        <w:t>响应文件必须装订或胶装成册，正本必须每页加盖公章，副本可使用正本复印件</w:t>
      </w:r>
      <w:r>
        <w:rPr>
          <w:rFonts w:hint="eastAsia" w:eastAsia="仿宋_GB2312"/>
          <w:sz w:val="32"/>
          <w:szCs w:val="32"/>
          <w:highlight w:val="none"/>
          <w:lang w:val="en-US" w:eastAsia="zh-CN"/>
        </w:rPr>
        <w:t>但必须</w:t>
      </w:r>
      <w:r>
        <w:rPr>
          <w:rFonts w:hint="eastAsia" w:eastAsia="仿宋_GB2312"/>
          <w:sz w:val="32"/>
          <w:szCs w:val="32"/>
          <w:highlight w:val="none"/>
        </w:rPr>
        <w:t>于封面及骑缝处加盖公章。</w:t>
      </w:r>
    </w:p>
    <w:p w14:paraId="2EC68654">
      <w:pPr>
        <w:pStyle w:val="6"/>
      </w:pPr>
    </w:p>
    <w:p w14:paraId="5AA8AC72">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4D70A44F">
      <w:pPr>
        <w:pStyle w:val="6"/>
        <w:ind w:firstLine="640" w:firstLineChars="200"/>
        <w:rPr>
          <w:rFonts w:hint="eastAsia" w:ascii="Times New Roman" w:hAnsi="Times New Roman" w:eastAsia="仿宋_GB2312" w:cs="Times New Roman"/>
          <w:kern w:val="2"/>
          <w:sz w:val="32"/>
          <w:szCs w:val="32"/>
          <w:highlight w:val="none"/>
          <w:lang w:val="en-US" w:eastAsia="zh-CN" w:bidi="ar-SA"/>
        </w:rPr>
      </w:pPr>
      <w:bookmarkStart w:id="21" w:name="_Toc406_WPSOffice_Level1"/>
      <w:r>
        <w:rPr>
          <w:rFonts w:hint="eastAsia" w:ascii="Times New Roman" w:hAnsi="Times New Roman" w:eastAsia="仿宋_GB2312" w:cs="Times New Roman"/>
          <w:kern w:val="2"/>
          <w:sz w:val="32"/>
          <w:szCs w:val="32"/>
          <w:highlight w:val="none"/>
          <w:lang w:val="en-US" w:eastAsia="zh-CN" w:bidi="ar-SA"/>
        </w:rPr>
        <w:t>1、正本一份、副本一份。</w:t>
      </w:r>
    </w:p>
    <w:p w14:paraId="7F481FCE">
      <w:pPr>
        <w:pStyle w:val="6"/>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2、响应人所递交的响应文件正本必须为盖章原件，公章、私章或签字不得为彩色/黑白的打印件/复印件。</w:t>
      </w:r>
    </w:p>
    <w:p w14:paraId="3D6D8669">
      <w:pPr>
        <w:pStyle w:val="6"/>
        <w:ind w:firstLine="640" w:firstLineChars="200"/>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3、响应人需将本项目密封文件袋封面（附件一）粘贴于响应文件密封袋上。因未粘贴密封文件袋封面而导致无法辨认采购项目的，对报价造成影响的风险由响应人自行承担。</w:t>
      </w:r>
    </w:p>
    <w:p w14:paraId="7B4985C1">
      <w:pPr>
        <w:spacing w:line="360" w:lineRule="auto"/>
        <w:ind w:firstLine="640" w:firstLineChars="200"/>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4、响应文件必须密封完好，装有响应文件的文件袋须贴有密封条，于骑缝处加盖企业公章。不得以快递文件袋作为密封。响应文件未按要求密封（或破损）的，由响应人自行承担由此造成的风险。</w:t>
      </w:r>
    </w:p>
    <w:p w14:paraId="449C1BE6">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开标时间：2026年</w:t>
      </w:r>
      <w:r>
        <w:rPr>
          <w:rFonts w:hint="eastAsia" w:eastAsia="仿宋_GB2312" w:cs="Times New Roman"/>
          <w:kern w:val="2"/>
          <w:sz w:val="32"/>
          <w:szCs w:val="32"/>
          <w:highlight w:val="none"/>
          <w:lang w:val="en-US" w:eastAsia="zh-CN" w:bidi="ar-SA"/>
        </w:rPr>
        <w:t>7</w:t>
      </w:r>
      <w:r>
        <w:rPr>
          <w:rFonts w:hint="eastAsia" w:ascii="Times New Roman" w:hAnsi="Times New Roman" w:eastAsia="仿宋_GB2312" w:cs="Times New Roman"/>
          <w:kern w:val="2"/>
          <w:sz w:val="32"/>
          <w:szCs w:val="32"/>
          <w:highlight w:val="none"/>
          <w:lang w:val="en-US" w:eastAsia="zh-CN" w:bidi="ar-SA"/>
        </w:rPr>
        <w:t>月</w:t>
      </w:r>
      <w:r>
        <w:rPr>
          <w:rFonts w:hint="eastAsia" w:eastAsia="仿宋_GB2312" w:cs="Times New Roman"/>
          <w:kern w:val="2"/>
          <w:sz w:val="32"/>
          <w:szCs w:val="32"/>
          <w:highlight w:val="none"/>
          <w:lang w:val="en-US" w:eastAsia="zh-CN" w:bidi="ar-SA"/>
        </w:rPr>
        <w:t>17</w:t>
      </w:r>
      <w:r>
        <w:rPr>
          <w:rFonts w:hint="eastAsia" w:ascii="Times New Roman" w:hAnsi="Times New Roman" w:eastAsia="仿宋_GB2312" w:cs="Times New Roman"/>
          <w:kern w:val="2"/>
          <w:sz w:val="32"/>
          <w:szCs w:val="32"/>
          <w:highlight w:val="none"/>
          <w:lang w:val="en-US" w:eastAsia="zh-CN" w:bidi="ar-SA"/>
        </w:rPr>
        <w:t>日（星期</w:t>
      </w:r>
      <w:r>
        <w:rPr>
          <w:rFonts w:hint="eastAsia" w:eastAsia="仿宋_GB2312" w:cs="Times New Roman"/>
          <w:kern w:val="2"/>
          <w:sz w:val="32"/>
          <w:szCs w:val="32"/>
          <w:highlight w:val="none"/>
          <w:lang w:val="en-US" w:eastAsia="zh-CN" w:bidi="ar-SA"/>
        </w:rPr>
        <w:t>五</w:t>
      </w:r>
      <w:r>
        <w:rPr>
          <w:rFonts w:hint="eastAsia" w:ascii="Times New Roman" w:hAnsi="Times New Roman" w:eastAsia="仿宋_GB2312" w:cs="Times New Roman"/>
          <w:kern w:val="2"/>
          <w:sz w:val="32"/>
          <w:szCs w:val="32"/>
          <w:highlight w:val="none"/>
          <w:lang w:val="en-US" w:eastAsia="zh-CN" w:bidi="ar-SA"/>
        </w:rPr>
        <w:t>）上午10：00。</w:t>
      </w:r>
    </w:p>
    <w:p w14:paraId="7A8BF23A">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本项目响应人可选择现场递交报价文件或邮寄报价文件，其中：</w:t>
      </w:r>
    </w:p>
    <w:p w14:paraId="33857C19">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（1）现场递交报价文件：响应人须委派法定代表人或授权委托人按时到开标地址提交响应文件并参加开标会议，开标时间后到达的拒收响应文件。</w:t>
      </w:r>
    </w:p>
    <w:p w14:paraId="1A1C763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响应人提交响应文件地址：东莞市麻涌镇大步村海心沙岛东莞市新东元环保投资有限公司二楼会议室（路线指导图如下），逾期无效。</w:t>
      </w:r>
    </w:p>
    <w:p w14:paraId="14B8664F">
      <w:pPr>
        <w:pStyle w:val="6"/>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邮寄递交响应文件：响应人必须确保响应文件密封完好，在开标截止时间前一日送达采购人处，须使用顺丰速运提前寄送（运费自理，采购人拒收到付件），因邮寄造成响应文件破损无效或文件丢失的责任由响应人自负，因快递派件人员无工作证等原因（如顺丰即日达）造成快递派件问题的责任由响应人自负，开标时间后送达的响应文件无效。</w:t>
      </w:r>
    </w:p>
    <w:p w14:paraId="3239789F">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收件地址：东莞市麻涌镇大步村海心沙岛东莞市新东元环保投资有限公司二楼</w:t>
      </w:r>
    </w:p>
    <w:p w14:paraId="4E765F37">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联系人：徐小姐</w:t>
      </w:r>
    </w:p>
    <w:p w14:paraId="62EBBF42">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联系电话：0769- 81219261</w:t>
      </w:r>
    </w:p>
    <w:p w14:paraId="6B11EE35">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★十四、注意事项</w:t>
      </w:r>
    </w:p>
    <w:p w14:paraId="6D743CE3">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bookmarkStart w:id="22" w:name="_Hlk517879660"/>
      <w:r>
        <w:rPr>
          <w:rFonts w:hint="eastAsia" w:ascii="Times New Roman" w:hAnsi="Times New Roman" w:eastAsia="仿宋_GB2312" w:cs="Times New Roman"/>
          <w:kern w:val="2"/>
          <w:sz w:val="32"/>
          <w:szCs w:val="32"/>
          <w:highlight w:val="none"/>
          <w:lang w:val="en-US" w:eastAsia="zh-CN" w:bidi="ar-SA"/>
        </w:rPr>
        <w:t>1、若响应人未按规定时间递交响应文件，视为放弃报价资格。</w:t>
      </w:r>
    </w:p>
    <w:p w14:paraId="37EA936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2、响应人如未按要求交纳保证金，则视为放弃报价/成交资格。</w:t>
      </w:r>
    </w:p>
    <w:p w14:paraId="204322AB">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3、采购人向响应人提供的有关资料和数据，是采购人现有的能使响应人利用的资料，采购人对响应人由此而做出的推论、理解和结论概不负责。</w:t>
      </w:r>
    </w:p>
    <w:p w14:paraId="73FAC526">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4、本项目执行过程中将遵循国家、省、市有关法律、法规、标准、技术规范和规范性文件的最新规定。</w:t>
      </w:r>
    </w:p>
    <w:p w14:paraId="2D5EC5F5">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5、本项目仅可提交一个报价方案，提交两个或以上报价方案的响应人视为无效报价。</w:t>
      </w:r>
    </w:p>
    <w:p w14:paraId="4CDE610E">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6、本项目不接受响应人其他附加条件。</w:t>
      </w:r>
    </w:p>
    <w:p w14:paraId="6773C560">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7、有下列情形之一的，报价保证金将被没收，并纳入采购人供应商黑名单：</w:t>
      </w:r>
    </w:p>
    <w:p w14:paraId="5673FE1B">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1）中标后无正当理由放弃中标或不与采购人签订合同。</w:t>
      </w:r>
    </w:p>
    <w:p w14:paraId="554E464D">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2）成交人将本项目转让给他人，或者在报价文件中未说明，且未经采购人同意，将中标项目分包给他人。</w:t>
      </w:r>
    </w:p>
    <w:p w14:paraId="0D8BA9E6">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3）响应人提供虚假报价文件或虚假补充文件。</w:t>
      </w:r>
    </w:p>
    <w:p w14:paraId="16EC4CFF">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8、有下列情形之一的，视为响应人串通询价，其响应无效，并纳入采购人供应商黑名单：</w:t>
      </w:r>
    </w:p>
    <w:p w14:paraId="5C99AB23">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（1）不同响应人的响应文件由同一单位或者个人编制；</w:t>
      </w:r>
    </w:p>
    <w:p w14:paraId="0F5BFD14">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（2）不同响应人委托同一单位或者个人办理响应事宜；</w:t>
      </w:r>
    </w:p>
    <w:p w14:paraId="60869D78">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（3）不同响应人的响应文件载明的项目管理成员或者联系人员为同一人；</w:t>
      </w:r>
    </w:p>
    <w:p w14:paraId="0A655E6A">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（4）不同响应人的响应文件异常一致或者响应报价呈规律性差异；</w:t>
      </w:r>
    </w:p>
    <w:p w14:paraId="7EC33A51">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（5）不同响应人的响应文件相互混装；</w:t>
      </w:r>
    </w:p>
    <w:p w14:paraId="23B9D1BF">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（6）不同响应人的响应保证金从同一单位或者个人的账户转出。</w:t>
      </w:r>
    </w:p>
    <w:p w14:paraId="14488A6B">
      <w:pPr>
        <w:spacing w:line="360" w:lineRule="auto"/>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9、已列入采购人及上级单位部门黑名单的响应人视为无效报价。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6</w:t>
      </w:r>
      <w:r>
        <w:rPr>
          <w:rFonts w:hint="eastAsia" w:eastAsia="仿宋_GB2312"/>
          <w:sz w:val="32"/>
          <w:szCs w:val="32"/>
          <w:highlight w:val="none"/>
        </w:rPr>
        <w:t>年</w:t>
      </w:r>
      <w:r>
        <w:rPr>
          <w:rFonts w:hint="eastAsia" w:eastAsia="仿宋_GB2312"/>
          <w:sz w:val="32"/>
          <w:szCs w:val="32"/>
          <w:highlight w:val="none"/>
          <w:lang w:val="en-US" w:eastAsia="zh-CN"/>
        </w:rPr>
        <w:t>7</w:t>
      </w:r>
      <w:r>
        <w:rPr>
          <w:rFonts w:hint="eastAsia" w:eastAsia="仿宋_GB2312"/>
          <w:sz w:val="32"/>
          <w:szCs w:val="32"/>
          <w:highlight w:val="none"/>
        </w:rPr>
        <w:t>月</w:t>
      </w:r>
      <w:r>
        <w:rPr>
          <w:rFonts w:hint="eastAsia" w:eastAsia="仿宋_GB2312"/>
          <w:sz w:val="32"/>
          <w:szCs w:val="32"/>
          <w:highlight w:val="none"/>
          <w:lang w:val="en-US" w:eastAsia="zh-CN"/>
        </w:rPr>
        <w:t>9</w:t>
      </w:r>
      <w:bookmarkStart w:id="56" w:name="_GoBack"/>
      <w:bookmarkEnd w:id="56"/>
      <w:r>
        <w:rPr>
          <w:rFonts w:hint="eastAsia" w:eastAsia="仿宋_GB2312"/>
          <w:sz w:val="32"/>
          <w:szCs w:val="32"/>
          <w:highlight w:val="none"/>
        </w:rPr>
        <w:t>日</w:t>
      </w:r>
    </w:p>
    <w:p w14:paraId="1465F4B0">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1"/>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6</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lang w:val="en-US" w:eastAsia="zh-CN"/>
        </w:rPr>
        <w:t>响应</w:t>
      </w:r>
      <w:r>
        <w:rPr>
          <w:rFonts w:hint="eastAsia" w:ascii="仿宋" w:hAnsi="仿宋" w:eastAsia="仿宋"/>
          <w:b/>
          <w:bCs/>
          <w:sz w:val="52"/>
          <w:szCs w:val="52"/>
          <w:highlight w:val="none"/>
        </w:rPr>
        <w:t>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hint="eastAsia" w:ascii="仿宋" w:hAnsi="仿宋" w:eastAsia="仿宋"/>
          <w:sz w:val="32"/>
          <w:szCs w:val="32"/>
          <w:highlight w:val="none"/>
        </w:rPr>
        <w:t>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1"/>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6</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1"/>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lang w:eastAsia="zh-CN"/>
        </w:rPr>
        <w:t>响应人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1"/>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hint="eastAsia" w:ascii="仿宋" w:hAnsi="仿宋" w:eastAsia="仿宋" w:cs="Times New Roman"/>
          <w:sz w:val="32"/>
          <w:szCs w:val="32"/>
          <w:highlight w:val="none"/>
          <w:u w:val="single"/>
          <w:lang w:eastAsia="zh-CN"/>
        </w:rPr>
        <w:t>响应人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6</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lang w:eastAsia="zh-CN"/>
        </w:rPr>
        <w:t>响应人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1"/>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6</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6</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1"/>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6</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5A597EF6">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1"/>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6</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6</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6</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6</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6"/>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6</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6</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6</w:t>
      </w:r>
      <w:r>
        <w:rPr>
          <w:rFonts w:hint="eastAsia"/>
          <w:highlight w:val="none"/>
        </w:rPr>
        <w:t>年生产物资采购项目</w:t>
      </w:r>
      <w:r>
        <w:rPr>
          <w:rFonts w:hint="eastAsia"/>
          <w:highlight w:val="none"/>
          <w:lang w:eastAsia="zh-CN"/>
        </w:rPr>
        <w:t>（第</w:t>
      </w:r>
      <w:r>
        <w:rPr>
          <w:rFonts w:hint="eastAsia"/>
          <w:highlight w:val="none"/>
          <w:lang w:val="en-US" w:eastAsia="zh-CN"/>
        </w:rPr>
        <w:t>6</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bookmarkStart w:id="54" w:name="设计变更通知单"/>
      <w:bookmarkEnd w:id="54"/>
      <w:bookmarkStart w:id="55" w:name="现场签证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2026</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6"/>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6"/>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6</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479" w:type="dxa"/>
            <w:noWrap w:val="0"/>
            <w:vAlign w:val="top"/>
          </w:tcPr>
          <w:p w14:paraId="7614929A">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6"/>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6"/>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6"/>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6"/>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6"/>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6"/>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5EF0C134">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结构钢气体保护药芯焊丝</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品牌：金桥；型号：JQ.CE71T-1,1.2mm</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公斤</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105</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碎布</w:t>
            </w:r>
          </w:p>
        </w:tc>
        <w:tc>
          <w:tcPr>
            <w:tcW w:w="2879" w:type="dxa"/>
            <w:noWrap w:val="0"/>
            <w:vAlign w:val="center"/>
          </w:tcPr>
          <w:p w14:paraId="74746645">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25公斤/袋 A4纸大小</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袋</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纯紫铜带</w:t>
            </w:r>
          </w:p>
        </w:tc>
        <w:tc>
          <w:tcPr>
            <w:tcW w:w="2879" w:type="dxa"/>
            <w:noWrap w:val="0"/>
            <w:vAlign w:val="center"/>
          </w:tcPr>
          <w:p w14:paraId="14BE0A51">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宽200*厚0.05mm</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纯紫铜带</w:t>
            </w:r>
          </w:p>
        </w:tc>
        <w:tc>
          <w:tcPr>
            <w:tcW w:w="2879" w:type="dxa"/>
            <w:noWrap w:val="0"/>
            <w:vAlign w:val="center"/>
          </w:tcPr>
          <w:p w14:paraId="544E6182">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宽200*厚0.1mm</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纯紫铜带</w:t>
            </w:r>
          </w:p>
        </w:tc>
        <w:tc>
          <w:tcPr>
            <w:tcW w:w="2879" w:type="dxa"/>
            <w:noWrap w:val="0"/>
            <w:vAlign w:val="center"/>
          </w:tcPr>
          <w:p w14:paraId="5053DD68">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宽200*厚0.2mm</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螺栓</w:t>
            </w:r>
          </w:p>
        </w:tc>
        <w:tc>
          <w:tcPr>
            <w:tcW w:w="2879" w:type="dxa"/>
            <w:noWrap w:val="0"/>
            <w:vAlign w:val="center"/>
          </w:tcPr>
          <w:p w14:paraId="1514708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M30*130，10.9级，全牙</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18"/>
                <w:szCs w:val="18"/>
                <w:highlight w:val="none"/>
                <w:lang w:val="en-US" w:eastAsia="zh-CN"/>
              </w:rPr>
            </w:pPr>
            <w:r>
              <w:rPr>
                <w:rFonts w:hint="eastAsia" w:ascii="宋体" w:hAnsi="宋体" w:eastAsia="宋体" w:cs="宋体"/>
                <w:color w:val="auto"/>
                <w:spacing w:val="1"/>
                <w:sz w:val="18"/>
                <w:szCs w:val="18"/>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净油机</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品牌：壳牌；型号：MFDW S3 200；流量：30L/min；电机功率：0.75kW；配套过滤精度10微米、5微米、3微米滤芯各1个</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1761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479" w:type="dxa"/>
            <w:noWrap w:val="0"/>
            <w:vAlign w:val="center"/>
          </w:tcPr>
          <w:p w14:paraId="7778C1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8</w:t>
            </w:r>
          </w:p>
        </w:tc>
        <w:tc>
          <w:tcPr>
            <w:tcW w:w="1584" w:type="dxa"/>
            <w:noWrap w:val="0"/>
            <w:vAlign w:val="center"/>
          </w:tcPr>
          <w:p w14:paraId="27319F0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O型圈</w:t>
            </w:r>
          </w:p>
        </w:tc>
        <w:tc>
          <w:tcPr>
            <w:tcW w:w="2879" w:type="dxa"/>
            <w:noWrap w:val="0"/>
            <w:vAlign w:val="center"/>
          </w:tcPr>
          <w:p w14:paraId="2601255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材质：氟橡胶；规格：外径44*线径3.5mm</w:t>
            </w:r>
          </w:p>
        </w:tc>
        <w:tc>
          <w:tcPr>
            <w:tcW w:w="600" w:type="dxa"/>
            <w:noWrap w:val="0"/>
            <w:vAlign w:val="center"/>
          </w:tcPr>
          <w:p w14:paraId="7AF5FA9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711" w:type="dxa"/>
            <w:noWrap w:val="0"/>
            <w:vAlign w:val="center"/>
          </w:tcPr>
          <w:p w14:paraId="5FBCA78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67" w:type="dxa"/>
            <w:noWrap w:val="0"/>
            <w:vAlign w:val="center"/>
          </w:tcPr>
          <w:p w14:paraId="5544E2B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4CE8AB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D7AB151">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二、汽机专业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不锈钢球阀</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DN20（6分），304不锈钢</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1009F77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5058D70">
            <w:pPr>
              <w:jc w:val="center"/>
              <w:rPr>
                <w:rFonts w:hint="eastAsia" w:ascii="宋体" w:hAnsi="宋体" w:eastAsia="宋体" w:cs="宋体"/>
                <w:color w:val="auto"/>
                <w:kern w:val="2"/>
                <w:sz w:val="18"/>
                <w:szCs w:val="18"/>
                <w:highlight w:val="none"/>
                <w:lang w:val="en-US" w:eastAsia="zh-CN" w:bidi="ar-SA"/>
              </w:rPr>
            </w:pPr>
          </w:p>
        </w:tc>
      </w:tr>
      <w:tr w14:paraId="7AC99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noWrap w:val="0"/>
            <w:vAlign w:val="center"/>
          </w:tcPr>
          <w:p w14:paraId="13FECD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w:t>
            </w:r>
          </w:p>
        </w:tc>
        <w:tc>
          <w:tcPr>
            <w:tcW w:w="1584" w:type="dxa"/>
            <w:noWrap w:val="0"/>
            <w:vAlign w:val="center"/>
          </w:tcPr>
          <w:p w14:paraId="536814B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轴承</w:t>
            </w:r>
          </w:p>
        </w:tc>
        <w:tc>
          <w:tcPr>
            <w:tcW w:w="2879" w:type="dxa"/>
            <w:noWrap w:val="0"/>
            <w:vAlign w:val="center"/>
          </w:tcPr>
          <w:p w14:paraId="7C79203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品牌NSK；型号：22218EAE4</w:t>
            </w:r>
          </w:p>
        </w:tc>
        <w:tc>
          <w:tcPr>
            <w:tcW w:w="600" w:type="dxa"/>
            <w:noWrap w:val="0"/>
            <w:vAlign w:val="center"/>
          </w:tcPr>
          <w:p w14:paraId="07EC7FC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EC052D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91EEAB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7D2B38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289017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3BCEB87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三、电气专业    咨询可联系：刘工18669856689、郭工13790618364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11</w:t>
            </w:r>
          </w:p>
        </w:tc>
        <w:tc>
          <w:tcPr>
            <w:tcW w:w="1584" w:type="dxa"/>
            <w:noWrap w:val="0"/>
            <w:vAlign w:val="center"/>
          </w:tcPr>
          <w:p w14:paraId="69214FB3">
            <w:pPr>
              <w:keepNext w:val="0"/>
              <w:keepLines w:val="0"/>
              <w:widowControl/>
              <w:suppressLineNumbers w:val="0"/>
              <w:jc w:val="center"/>
              <w:textAlignment w:val="center"/>
              <w:rPr>
                <w:rFonts w:hint="default" w:ascii="宋体" w:hAnsi="宋体" w:eastAsia="宋体" w:cs="宋体"/>
                <w:b w:val="0"/>
                <w:bCs w:val="0"/>
                <w:i w:val="0"/>
                <w:color w:val="000000" w:themeColor="text1"/>
                <w:kern w:val="0"/>
                <w:sz w:val="18"/>
                <w:szCs w:val="18"/>
                <w:highlight w:val="none"/>
                <w:u w:val="none"/>
                <w:shd w:val="clear" w:color="auto" w:fill="auto"/>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接触器</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shd w:val="clear" w:color="auto" w:fill="auto"/>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LC1D65A-380V</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584A2FF5">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3AE245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施耐德</w:t>
            </w: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12</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检修航空插头</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5芯63A ZTP-0352</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6538B828">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73BED5A0">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品牌：正泰电器</w:t>
            </w: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13</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UPS散热风扇</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EDP-60KVA AC220V 0.27A</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2CF572C6">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E87309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品牌：深圳煜讯</w:t>
            </w: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14</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可变径密封模块</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HCM-400V</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49A0EC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F4B2315">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深圳衡森</w:t>
            </w: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b w:val="0"/>
                <w:bCs w:val="0"/>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b w:val="0"/>
                <w:bCs w:val="0"/>
                <w:color w:val="000000" w:themeColor="text1"/>
                <w:spacing w:val="1"/>
                <w:kern w:val="2"/>
                <w:sz w:val="18"/>
                <w:szCs w:val="18"/>
                <w:highlight w:val="none"/>
                <w:lang w:val="en-US" w:eastAsia="zh-CN" w:bidi="ar-SA"/>
                <w14:textFill>
                  <w14:solidFill>
                    <w14:schemeClr w14:val="tx1"/>
                  </w14:solidFill>
                </w14:textFill>
              </w:rPr>
              <w:t>15</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发电机接地碳刷</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J164，12*20*40</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7E12DF7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70CB0DE">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品牌：上海摩根</w:t>
            </w: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16</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“有电危险”标识牌</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20x20x20cm</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300</w:t>
            </w:r>
          </w:p>
        </w:tc>
        <w:tc>
          <w:tcPr>
            <w:tcW w:w="767" w:type="dxa"/>
            <w:noWrap w:val="0"/>
            <w:vAlign w:val="center"/>
          </w:tcPr>
          <w:p w14:paraId="3BFAD1F0">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9D3555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品牌：冰禹</w:t>
            </w: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17</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“有电危险”标识牌</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12x12x12cm</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200</w:t>
            </w:r>
          </w:p>
        </w:tc>
        <w:tc>
          <w:tcPr>
            <w:tcW w:w="767" w:type="dxa"/>
            <w:noWrap w:val="0"/>
            <w:vAlign w:val="center"/>
          </w:tcPr>
          <w:p w14:paraId="7838E14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B689CF3">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品牌：冰禹</w:t>
            </w: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18</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“有电危险”标识牌</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8x8x8cm</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200</w:t>
            </w:r>
          </w:p>
        </w:tc>
        <w:tc>
          <w:tcPr>
            <w:tcW w:w="767" w:type="dxa"/>
            <w:noWrap w:val="0"/>
            <w:vAlign w:val="center"/>
          </w:tcPr>
          <w:p w14:paraId="63DB707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EF7A8F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品牌：冰禹</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19</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天花板灯片</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 xml:space="preserve">GKL3305 50*50 AC220V 30W </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400</w:t>
            </w:r>
          </w:p>
        </w:tc>
        <w:tc>
          <w:tcPr>
            <w:tcW w:w="767" w:type="dxa"/>
            <w:noWrap w:val="0"/>
            <w:vAlign w:val="center"/>
          </w:tcPr>
          <w:p w14:paraId="05C21EE2">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38B6297">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品牌：上海基光</w:t>
            </w: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20</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号码标签机</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高配TP86A</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AE3EE3F">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CC2A85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品牌：硕方</w:t>
            </w: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21</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手动兆欧表</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ZC-7 2500V 2500兆欧</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C7787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23021157">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品牌：上海第六电表厂</w:t>
            </w: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22</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UPS逆变器控制板</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IC01-332 EDP-20kVA UPS专用</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F94C24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585C671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品牌：深圳煜讯，</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23</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LED灯条</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功率：24w，电压：220V 长度 ；52cm</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条</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16184653">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B98E9E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品牌：佛山照明</w:t>
            </w: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24</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直流系统指示灯条</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DCFU-LB02&amp;DCFU-LC</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组</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6E41350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95A1BDC">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品牌：杭州中恒</w:t>
            </w: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25</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电机散热风叶带卡簧</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0"/>
                <w:szCs w:val="20"/>
                <w:u w:val="none"/>
                <w:lang w:val="en-US" w:eastAsia="zh-CN" w:bidi="ar"/>
              </w:rPr>
              <w:t>132LH/4 BRE100 9.2KW</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76F645BF">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59D6526">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品牌：诺德</w:t>
            </w: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26</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防爆检修箱</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总开＋四回路；总开NM1-125S 100A 3P，回路1：断路器NM1-125S 32A 3P配合五芯32A防爆航空插座；回路2：断路器NM1-125S 16A 3P配合五芯16A防爆航空插座；回路3：断路器NB3LE-40 1P+N配合三芯16A防爆航空插座</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75527592">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06418191">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7F54D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5963158F">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27</w:t>
            </w:r>
          </w:p>
        </w:tc>
        <w:tc>
          <w:tcPr>
            <w:tcW w:w="1584" w:type="dxa"/>
            <w:noWrap w:val="0"/>
            <w:vAlign w:val="center"/>
          </w:tcPr>
          <w:p w14:paraId="3485EB5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保护装置主控板</w:t>
            </w:r>
          </w:p>
        </w:tc>
        <w:tc>
          <w:tcPr>
            <w:tcW w:w="2879" w:type="dxa"/>
            <w:noWrap w:val="0"/>
            <w:vAlign w:val="center"/>
          </w:tcPr>
          <w:p w14:paraId="4F8AC4D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WB722C主控板</w:t>
            </w:r>
          </w:p>
        </w:tc>
        <w:tc>
          <w:tcPr>
            <w:tcW w:w="600" w:type="dxa"/>
            <w:noWrap w:val="0"/>
            <w:vAlign w:val="center"/>
          </w:tcPr>
          <w:p w14:paraId="463BB8F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C225CA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83706EF">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9C8CC3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65696BD6">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品牌：长园深瑞</w:t>
            </w:r>
          </w:p>
        </w:tc>
      </w:tr>
      <w:tr w14:paraId="1EC19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0D2D153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28</w:t>
            </w:r>
          </w:p>
        </w:tc>
        <w:tc>
          <w:tcPr>
            <w:tcW w:w="1584" w:type="dxa"/>
            <w:noWrap w:val="0"/>
            <w:vAlign w:val="center"/>
          </w:tcPr>
          <w:p w14:paraId="0A155A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保护装置通讯板</w:t>
            </w:r>
          </w:p>
        </w:tc>
        <w:tc>
          <w:tcPr>
            <w:tcW w:w="2879" w:type="dxa"/>
            <w:noWrap w:val="0"/>
            <w:vAlign w:val="center"/>
          </w:tcPr>
          <w:p w14:paraId="0C7668D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TY122G-A0通讯管理板</w:t>
            </w:r>
          </w:p>
        </w:tc>
        <w:tc>
          <w:tcPr>
            <w:tcW w:w="600" w:type="dxa"/>
            <w:noWrap w:val="0"/>
            <w:vAlign w:val="center"/>
          </w:tcPr>
          <w:p w14:paraId="47AD369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51E3D2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342344E">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D688B4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B4F8C32">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品牌：长园深瑞</w:t>
            </w:r>
          </w:p>
        </w:tc>
      </w:tr>
      <w:tr w14:paraId="2417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4593C9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29</w:t>
            </w:r>
          </w:p>
        </w:tc>
        <w:tc>
          <w:tcPr>
            <w:tcW w:w="1584" w:type="dxa"/>
            <w:noWrap w:val="0"/>
            <w:vAlign w:val="center"/>
          </w:tcPr>
          <w:p w14:paraId="0904ECD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热缩管</w:t>
            </w:r>
          </w:p>
        </w:tc>
        <w:tc>
          <w:tcPr>
            <w:tcW w:w="2879" w:type="dxa"/>
            <w:noWrap w:val="0"/>
            <w:vAlign w:val="center"/>
          </w:tcPr>
          <w:p w14:paraId="000807D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4倍热缩70mm（黑色）</w:t>
            </w:r>
          </w:p>
        </w:tc>
        <w:tc>
          <w:tcPr>
            <w:tcW w:w="600" w:type="dxa"/>
            <w:noWrap w:val="0"/>
            <w:vAlign w:val="center"/>
          </w:tcPr>
          <w:p w14:paraId="4784DD7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645A3FA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49951BB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448343B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56699282">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692D6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237E2C8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30</w:t>
            </w:r>
          </w:p>
        </w:tc>
        <w:tc>
          <w:tcPr>
            <w:tcW w:w="1584" w:type="dxa"/>
            <w:noWrap w:val="0"/>
            <w:vAlign w:val="center"/>
          </w:tcPr>
          <w:p w14:paraId="6DC6CC7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热缩管</w:t>
            </w:r>
          </w:p>
        </w:tc>
        <w:tc>
          <w:tcPr>
            <w:tcW w:w="2879" w:type="dxa"/>
            <w:noWrap w:val="0"/>
            <w:vAlign w:val="center"/>
          </w:tcPr>
          <w:p w14:paraId="0E010DC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4倍热缩40mm（黑色）</w:t>
            </w:r>
          </w:p>
        </w:tc>
        <w:tc>
          <w:tcPr>
            <w:tcW w:w="600" w:type="dxa"/>
            <w:noWrap w:val="0"/>
            <w:vAlign w:val="center"/>
          </w:tcPr>
          <w:p w14:paraId="44D411B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536316A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22BD174B">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671E94ED">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105D078F">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4299A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479" w:type="dxa"/>
            <w:shd w:val="clear" w:color="auto" w:fill="auto"/>
            <w:noWrap w:val="0"/>
            <w:vAlign w:val="center"/>
          </w:tcPr>
          <w:p w14:paraId="33B67AC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sz w:val="18"/>
                <w:szCs w:val="18"/>
                <w:highlight w:val="none"/>
                <w:lang w:val="en-US" w:eastAsia="zh-CN"/>
                <w14:textFill>
                  <w14:solidFill>
                    <w14:schemeClr w14:val="tx1"/>
                  </w14:solidFill>
                </w14:textFill>
              </w:rPr>
            </w:pPr>
            <w:r>
              <w:rPr>
                <w:rFonts w:hint="eastAsia" w:ascii="宋体" w:hAnsi="宋体" w:cs="宋体"/>
                <w:color w:val="000000" w:themeColor="text1"/>
                <w:spacing w:val="1"/>
                <w:sz w:val="18"/>
                <w:szCs w:val="18"/>
                <w:highlight w:val="none"/>
                <w:lang w:val="en-US" w:eastAsia="zh-CN"/>
                <w14:textFill>
                  <w14:solidFill>
                    <w14:schemeClr w14:val="tx1"/>
                  </w14:solidFill>
                </w14:textFill>
              </w:rPr>
              <w:t>31</w:t>
            </w:r>
          </w:p>
        </w:tc>
        <w:tc>
          <w:tcPr>
            <w:tcW w:w="1584" w:type="dxa"/>
            <w:noWrap w:val="0"/>
            <w:vAlign w:val="center"/>
          </w:tcPr>
          <w:p w14:paraId="2C50BA7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整流模块</w:t>
            </w:r>
          </w:p>
        </w:tc>
        <w:tc>
          <w:tcPr>
            <w:tcW w:w="2879" w:type="dxa"/>
            <w:noWrap w:val="0"/>
            <w:vAlign w:val="center"/>
          </w:tcPr>
          <w:p w14:paraId="39EF446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 xml:space="preserve"> CC3L-ZB230-SHP </w:t>
            </w:r>
          </w:p>
        </w:tc>
        <w:tc>
          <w:tcPr>
            <w:tcW w:w="600" w:type="dxa"/>
            <w:noWrap w:val="0"/>
            <w:vAlign w:val="center"/>
          </w:tcPr>
          <w:p w14:paraId="0EEEF9D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06961A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4512D5D4">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6DE440A">
            <w:pPr>
              <w:jc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c>
          <w:tcPr>
            <w:tcW w:w="2209" w:type="dxa"/>
            <w:noWrap w:val="0"/>
            <w:vAlign w:val="center"/>
          </w:tcPr>
          <w:p w14:paraId="5F0C4481">
            <w:pPr>
              <w:keepNext w:val="0"/>
              <w:keepLines w:val="0"/>
              <w:widowControl/>
              <w:suppressLineNumbers w:val="0"/>
              <w:jc w:val="center"/>
              <w:textAlignment w:val="center"/>
              <w:rPr>
                <w:rFonts w:hint="eastAsia" w:ascii="宋体" w:hAnsi="宋体" w:eastAsia="宋体" w:cs="宋体"/>
                <w:b w:val="0"/>
                <w:bCs w:val="0"/>
                <w:color w:val="000000" w:themeColor="text1"/>
                <w:kern w:val="2"/>
                <w:sz w:val="18"/>
                <w:szCs w:val="18"/>
                <w:highlight w:val="none"/>
                <w:lang w:val="en-US" w:eastAsia="zh-CN" w:bidi="ar-SA"/>
                <w14:textFill>
                  <w14:solidFill>
                    <w14:schemeClr w14:val="tx1"/>
                  </w14:solidFill>
                </w14:textFill>
              </w:rPr>
            </w:pP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4797061E">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32</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紫铜垫</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34*44*2mm</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33</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音叉密度计</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型号：AKDM-EX-C-TDHF3-150</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安克智控（天长），到货提供原厂质保函和原厂调试服务</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34</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在线折光仪</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型号：CRN56-CN10,带定制过程连接件316不锈钢四通，Ex d IIC T6防爆</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彩谱科技，到货提供原厂质保函和原厂调试服务</w:t>
            </w: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35</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气动阀</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WWDL50-DA10PQ0RP0E-D4KAJ，配2套联塑PE电熔法兰（带法兰套）</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广东群昇科技有限公司，到货提供原厂质保函和原厂调试服务</w:t>
            </w: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36</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气源管</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 xml:space="preserve"> 6*4mm透明，100米/卷</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伊莱科</w:t>
            </w: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37</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气源管</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 xml:space="preserve"> 10*6.5mm透明，100米/卷</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伊莱科</w:t>
            </w: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38</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000000"/>
                <w:kern w:val="0"/>
                <w:sz w:val="20"/>
                <w:szCs w:val="20"/>
                <w:u w:val="none"/>
                <w:lang w:val="en-US" w:eastAsia="zh-CN" w:bidi="ar"/>
              </w:rPr>
              <w:t>溶解氧仪</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型号：CZDHlDO溶解氧分析仪，HACH主机+探头</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哈希，到货提供原厂质保函和原厂现场调试服务</w:t>
            </w: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39</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摄像头</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000000"/>
                <w:kern w:val="0"/>
                <w:sz w:val="20"/>
                <w:szCs w:val="20"/>
                <w:u w:val="none"/>
                <w:lang w:val="en-US" w:eastAsia="zh-CN" w:bidi="ar"/>
              </w:rPr>
              <w:t>HIKVISION海康威视摄像头监控4K超清臻全彩网络摄像机800万室内室电源供电型号：3T87WDV3-L 4mm</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海康威视</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6812C2B0">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40</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机械密封</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南方泵业，配套水泵型号ZS80-65-125-5.5SSC</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0FE5B43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2613C7FD">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南方泵业，随货须提供原厂证明</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41</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叶轮</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南方泵业，配套水泵型号ZS80-65-125-5.5SSC</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8E7C24">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131E5FE">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南方泵业，随货须提供原厂证明</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42</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拷贝林卡箍</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304不锈钢，DN50/57 1000psi,57mm-S30，含内衬密封脚垫</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146DBA7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2CAE71B">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HyRoyal鸿锐</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43</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计量泵</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米顿罗，GM0025TL1MNN，PVDF泵头材质耐强酸强碱</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C6E27F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442A1513">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米顿罗</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44</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资料柜</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钢制文件柜,1800*850*390mm</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63991C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DD3DD1E">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45</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泵轴</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南方泵业，SF200-150-250G/22</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07542813">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73AE61AC">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南方泵业，随货须提供原厂证明</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46</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潜水泵</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65WQ40-30-7.5F 南广泵业</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84841CA">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B42E5B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南广泵业（广东）有限公司</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47</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蝶阀</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SZD341X304B-16Q-100，DN100，阀体碳钢材质，过流材质不锈钢304，内衬胶</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EA853CF">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7892BC3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东莞双子阀门</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48</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止回阀</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SZHC41X-25QC  DN200，材质不锈钢304</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EAB922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E5E1BC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东莞双子阀门</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49</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法兰金属软管</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SZJXRG-DN 150-L180-16，材质不锈钢304</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856007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1C607E74">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东莞双子阀门</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50</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涡轮蝶阀</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SZD371X-16Q-300</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C49DBA1">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2A6F2F1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东莞双子阀门</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51</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蝶形止回阀</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SZDH77X-16Q-300</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8E94A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6448486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东莞双子阀门</w:t>
            </w:r>
          </w:p>
        </w:tc>
      </w:tr>
      <w:tr w14:paraId="5324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5CBDD3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52</w:t>
            </w:r>
          </w:p>
        </w:tc>
        <w:tc>
          <w:tcPr>
            <w:tcW w:w="1584" w:type="dxa"/>
            <w:shd w:val="clear" w:color="auto" w:fill="auto"/>
            <w:noWrap w:val="0"/>
            <w:vAlign w:val="center"/>
          </w:tcPr>
          <w:p w14:paraId="29337E0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轴承</w:t>
            </w:r>
          </w:p>
        </w:tc>
        <w:tc>
          <w:tcPr>
            <w:tcW w:w="2879" w:type="dxa"/>
            <w:shd w:val="clear" w:color="auto" w:fill="auto"/>
            <w:noWrap w:val="0"/>
            <w:vAlign w:val="center"/>
          </w:tcPr>
          <w:p w14:paraId="0B833E3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6303/C3 SKF</w:t>
            </w:r>
          </w:p>
        </w:tc>
        <w:tc>
          <w:tcPr>
            <w:tcW w:w="600" w:type="dxa"/>
            <w:shd w:val="clear" w:color="auto" w:fill="auto"/>
            <w:noWrap w:val="0"/>
            <w:vAlign w:val="center"/>
          </w:tcPr>
          <w:p w14:paraId="625EB4D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shd w:val="clear" w:color="auto" w:fill="auto"/>
            <w:noWrap w:val="0"/>
            <w:vAlign w:val="center"/>
          </w:tcPr>
          <w:p w14:paraId="74541E2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014EAEF">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0F4B1AC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FA7CA88">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r>
      <w:tr w14:paraId="5CD7C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FA0D57E">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53</w:t>
            </w:r>
          </w:p>
        </w:tc>
        <w:tc>
          <w:tcPr>
            <w:tcW w:w="1584" w:type="dxa"/>
            <w:shd w:val="clear" w:color="auto" w:fill="auto"/>
            <w:noWrap w:val="0"/>
            <w:vAlign w:val="center"/>
          </w:tcPr>
          <w:p w14:paraId="42F8C0F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COD预制耗材</w:t>
            </w:r>
          </w:p>
        </w:tc>
        <w:tc>
          <w:tcPr>
            <w:tcW w:w="2879" w:type="dxa"/>
            <w:shd w:val="clear" w:color="auto" w:fill="auto"/>
            <w:noWrap w:val="0"/>
            <w:vAlign w:val="center"/>
          </w:tcPr>
          <w:p w14:paraId="54A1617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LH-COD-SYZ55-50</w:t>
            </w:r>
          </w:p>
        </w:tc>
        <w:tc>
          <w:tcPr>
            <w:tcW w:w="600" w:type="dxa"/>
            <w:shd w:val="clear" w:color="auto" w:fill="auto"/>
            <w:noWrap w:val="0"/>
            <w:vAlign w:val="center"/>
          </w:tcPr>
          <w:p w14:paraId="15DD333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5966E86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2EFB9A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2910BBC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3E7443CA">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76113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BEA0835">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54</w:t>
            </w:r>
          </w:p>
        </w:tc>
        <w:tc>
          <w:tcPr>
            <w:tcW w:w="1584" w:type="dxa"/>
            <w:shd w:val="clear" w:color="auto" w:fill="auto"/>
            <w:noWrap w:val="0"/>
            <w:vAlign w:val="center"/>
          </w:tcPr>
          <w:p w14:paraId="65C355A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COD预制耗材</w:t>
            </w:r>
          </w:p>
        </w:tc>
        <w:tc>
          <w:tcPr>
            <w:tcW w:w="2879" w:type="dxa"/>
            <w:shd w:val="clear" w:color="auto" w:fill="auto"/>
            <w:noWrap w:val="0"/>
            <w:vAlign w:val="center"/>
          </w:tcPr>
          <w:p w14:paraId="532530F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LH-COD-SYZ52-50</w:t>
            </w:r>
          </w:p>
        </w:tc>
        <w:tc>
          <w:tcPr>
            <w:tcW w:w="600" w:type="dxa"/>
            <w:shd w:val="clear" w:color="auto" w:fill="auto"/>
            <w:noWrap w:val="0"/>
            <w:vAlign w:val="center"/>
          </w:tcPr>
          <w:p w14:paraId="567ED34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4A4E499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F929E4B">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C1B103C">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4A6E64C7">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6412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1A3D599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55</w:t>
            </w:r>
          </w:p>
        </w:tc>
        <w:tc>
          <w:tcPr>
            <w:tcW w:w="1584" w:type="dxa"/>
            <w:shd w:val="clear" w:color="auto" w:fill="auto"/>
            <w:noWrap w:val="0"/>
            <w:vAlign w:val="center"/>
          </w:tcPr>
          <w:p w14:paraId="4192282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氨氮预制耗材</w:t>
            </w:r>
          </w:p>
        </w:tc>
        <w:tc>
          <w:tcPr>
            <w:tcW w:w="2879" w:type="dxa"/>
            <w:shd w:val="clear" w:color="auto" w:fill="auto"/>
            <w:noWrap w:val="0"/>
            <w:vAlign w:val="center"/>
          </w:tcPr>
          <w:p w14:paraId="488E0FC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LH-NH3-SYZ51-50</w:t>
            </w:r>
          </w:p>
        </w:tc>
        <w:tc>
          <w:tcPr>
            <w:tcW w:w="600" w:type="dxa"/>
            <w:shd w:val="clear" w:color="auto" w:fill="auto"/>
            <w:noWrap w:val="0"/>
            <w:vAlign w:val="center"/>
          </w:tcPr>
          <w:p w14:paraId="0BD855E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1DC67F4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BA4D2BA">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E370FB4">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0C2D6FF">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2B85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350CD38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56</w:t>
            </w:r>
          </w:p>
        </w:tc>
        <w:tc>
          <w:tcPr>
            <w:tcW w:w="1584" w:type="dxa"/>
            <w:shd w:val="clear" w:color="auto" w:fill="auto"/>
            <w:noWrap w:val="0"/>
            <w:vAlign w:val="center"/>
          </w:tcPr>
          <w:p w14:paraId="4FE3A98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氨氮预制耗材</w:t>
            </w:r>
          </w:p>
        </w:tc>
        <w:tc>
          <w:tcPr>
            <w:tcW w:w="2879" w:type="dxa"/>
            <w:shd w:val="clear" w:color="auto" w:fill="auto"/>
            <w:noWrap w:val="0"/>
            <w:vAlign w:val="center"/>
          </w:tcPr>
          <w:p w14:paraId="705E440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LH-NH3-SYZ52-50</w:t>
            </w:r>
          </w:p>
        </w:tc>
        <w:tc>
          <w:tcPr>
            <w:tcW w:w="600" w:type="dxa"/>
            <w:shd w:val="clear" w:color="auto" w:fill="auto"/>
            <w:noWrap w:val="0"/>
            <w:vAlign w:val="center"/>
          </w:tcPr>
          <w:p w14:paraId="3D520C7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1E63EE7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9F57572">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7BFA33FC">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16EAEBCC">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4188A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5419B167">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57</w:t>
            </w:r>
          </w:p>
        </w:tc>
        <w:tc>
          <w:tcPr>
            <w:tcW w:w="1584" w:type="dxa"/>
            <w:shd w:val="clear" w:color="auto" w:fill="auto"/>
            <w:noWrap w:val="0"/>
            <w:vAlign w:val="center"/>
          </w:tcPr>
          <w:p w14:paraId="5B0EB01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总磷预制耗材</w:t>
            </w:r>
          </w:p>
        </w:tc>
        <w:tc>
          <w:tcPr>
            <w:tcW w:w="2879" w:type="dxa"/>
            <w:shd w:val="clear" w:color="auto" w:fill="auto"/>
            <w:noWrap w:val="0"/>
            <w:vAlign w:val="center"/>
          </w:tcPr>
          <w:p w14:paraId="78D7EFA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LH-TP-SYZ51-50</w:t>
            </w:r>
          </w:p>
        </w:tc>
        <w:tc>
          <w:tcPr>
            <w:tcW w:w="600" w:type="dxa"/>
            <w:shd w:val="clear" w:color="auto" w:fill="auto"/>
            <w:noWrap w:val="0"/>
            <w:vAlign w:val="center"/>
          </w:tcPr>
          <w:p w14:paraId="7F29270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417A8CC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1C64C30C">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4213BAF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0C8963A1">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7C08D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358F0654">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58</w:t>
            </w:r>
          </w:p>
        </w:tc>
        <w:tc>
          <w:tcPr>
            <w:tcW w:w="1584" w:type="dxa"/>
            <w:shd w:val="clear" w:color="auto" w:fill="auto"/>
            <w:noWrap w:val="0"/>
            <w:vAlign w:val="center"/>
          </w:tcPr>
          <w:p w14:paraId="541592D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挥发性脂肪酸套包耗材</w:t>
            </w:r>
          </w:p>
        </w:tc>
        <w:tc>
          <w:tcPr>
            <w:tcW w:w="2879" w:type="dxa"/>
            <w:shd w:val="clear" w:color="auto" w:fill="auto"/>
            <w:noWrap w:val="0"/>
            <w:vAlign w:val="center"/>
          </w:tcPr>
          <w:p w14:paraId="6718FCA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LH-VFA-SF11-100</w:t>
            </w:r>
          </w:p>
        </w:tc>
        <w:tc>
          <w:tcPr>
            <w:tcW w:w="600" w:type="dxa"/>
            <w:shd w:val="clear" w:color="auto" w:fill="auto"/>
            <w:noWrap w:val="0"/>
            <w:vAlign w:val="center"/>
          </w:tcPr>
          <w:p w14:paraId="133AB930">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3F41F51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1B90FAE">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635537C9">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29FB737">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38352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67B12601">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59</w:t>
            </w:r>
          </w:p>
        </w:tc>
        <w:tc>
          <w:tcPr>
            <w:tcW w:w="1584" w:type="dxa"/>
            <w:shd w:val="clear" w:color="auto" w:fill="auto"/>
            <w:noWrap w:val="0"/>
            <w:vAlign w:val="center"/>
          </w:tcPr>
          <w:p w14:paraId="53969F5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定性滤纸</w:t>
            </w:r>
          </w:p>
        </w:tc>
        <w:tc>
          <w:tcPr>
            <w:tcW w:w="2879" w:type="dxa"/>
            <w:shd w:val="clear" w:color="auto" w:fill="auto"/>
            <w:noWrap w:val="0"/>
            <w:vAlign w:val="center"/>
          </w:tcPr>
          <w:p w14:paraId="2B6BAF5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中速，φ18CM</w:t>
            </w:r>
          </w:p>
        </w:tc>
        <w:tc>
          <w:tcPr>
            <w:tcW w:w="600" w:type="dxa"/>
            <w:shd w:val="clear" w:color="auto" w:fill="auto"/>
            <w:noWrap w:val="0"/>
            <w:vAlign w:val="center"/>
          </w:tcPr>
          <w:p w14:paraId="5452B14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711BCF7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4C2ABE65">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3A8B3DAA">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611AB1AC">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p>
        </w:tc>
      </w:tr>
      <w:tr w14:paraId="623D9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7" w:hRule="atLeast"/>
        </w:trPr>
        <w:tc>
          <w:tcPr>
            <w:tcW w:w="479" w:type="dxa"/>
            <w:shd w:val="clear" w:color="auto" w:fill="auto"/>
            <w:noWrap w:val="0"/>
            <w:vAlign w:val="center"/>
          </w:tcPr>
          <w:p w14:paraId="4BC908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Theme="minorEastAsia" w:hAnsiTheme="minorEastAsia" w:eastAsiaTheme="minorEastAsia" w:cstheme="minorEastAsia"/>
                <w:color w:val="auto"/>
                <w:spacing w:val="1"/>
                <w:kern w:val="2"/>
                <w:sz w:val="18"/>
                <w:szCs w:val="18"/>
                <w:highlight w:val="none"/>
                <w:lang w:val="en-US" w:eastAsia="zh-CN" w:bidi="ar-SA"/>
              </w:rPr>
            </w:pPr>
            <w:r>
              <w:rPr>
                <w:rFonts w:hint="eastAsia" w:asciiTheme="minorEastAsia" w:hAnsiTheme="minorEastAsia" w:eastAsiaTheme="minorEastAsia" w:cstheme="minorEastAsia"/>
                <w:color w:val="auto"/>
                <w:spacing w:val="1"/>
                <w:kern w:val="2"/>
                <w:sz w:val="18"/>
                <w:szCs w:val="18"/>
                <w:highlight w:val="none"/>
                <w:lang w:val="en-US" w:eastAsia="zh-CN" w:bidi="ar-SA"/>
              </w:rPr>
              <w:t>60</w:t>
            </w:r>
          </w:p>
        </w:tc>
        <w:tc>
          <w:tcPr>
            <w:tcW w:w="1584" w:type="dxa"/>
            <w:shd w:val="clear" w:color="auto" w:fill="auto"/>
            <w:noWrap w:val="0"/>
            <w:vAlign w:val="center"/>
          </w:tcPr>
          <w:p w14:paraId="016BFF4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硝酸盐氮检测试剂</w:t>
            </w:r>
          </w:p>
        </w:tc>
        <w:tc>
          <w:tcPr>
            <w:tcW w:w="2879" w:type="dxa"/>
            <w:shd w:val="clear" w:color="auto" w:fill="auto"/>
            <w:noWrap w:val="0"/>
            <w:vAlign w:val="center"/>
          </w:tcPr>
          <w:p w14:paraId="16FE424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LH-NO3-P11</w:t>
            </w:r>
          </w:p>
        </w:tc>
        <w:tc>
          <w:tcPr>
            <w:tcW w:w="600" w:type="dxa"/>
            <w:shd w:val="clear" w:color="auto" w:fill="auto"/>
            <w:noWrap w:val="0"/>
            <w:vAlign w:val="center"/>
          </w:tcPr>
          <w:p w14:paraId="258F80F1">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2CCF3BF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5C76F4E0">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702" w:type="dxa"/>
            <w:noWrap w:val="0"/>
            <w:vAlign w:val="center"/>
          </w:tcPr>
          <w:p w14:paraId="64CB3897">
            <w:pPr>
              <w:jc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2209" w:type="dxa"/>
            <w:noWrap w:val="0"/>
            <w:vAlign w:val="center"/>
          </w:tcPr>
          <w:p w14:paraId="762729AA">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广州连华科技</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931" w:type="dxa"/>
            <w:gridSpan w:val="8"/>
            <w:noWrap w:val="0"/>
            <w:vAlign w:val="top"/>
          </w:tcPr>
          <w:p w14:paraId="1A552F5B">
            <w:pPr>
              <w:pStyle w:val="6"/>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2"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61</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不锈钢烟灰柱</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304不锈钢室外加厚款, 可固定地面,外观尺寸280*1080mm,</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62</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消防室外手报防雨罩</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亚克力板/红色、可翻盖式、内高60MM,内长110MM内宽95MM外宽：125MM</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63</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消火栓启动手报按钮</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北京西门子西伯乐斯FDM183</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15 </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jc w:val="center"/>
              <w:rPr>
                <w:rFonts w:hint="eastAsia" w:ascii="宋体" w:hAnsi="宋体" w:eastAsia="宋体" w:cs="宋体"/>
                <w:color w:val="auto"/>
                <w:kern w:val="2"/>
                <w:sz w:val="18"/>
                <w:szCs w:val="18"/>
                <w:highlight w:val="none"/>
                <w:lang w:val="en-US" w:eastAsia="zh-CN" w:bidi="ar-SA"/>
              </w:rPr>
            </w:pPr>
          </w:p>
        </w:tc>
      </w:tr>
      <w:tr w14:paraId="75BFA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2FB0DB5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64</w:t>
            </w:r>
          </w:p>
        </w:tc>
        <w:tc>
          <w:tcPr>
            <w:tcW w:w="1584" w:type="dxa"/>
            <w:noWrap w:val="0"/>
            <w:vAlign w:val="center"/>
          </w:tcPr>
          <w:p w14:paraId="55FEFA6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手报火灾报警按钮</w:t>
            </w:r>
          </w:p>
        </w:tc>
        <w:tc>
          <w:tcPr>
            <w:tcW w:w="2879" w:type="dxa"/>
            <w:noWrap w:val="0"/>
            <w:vAlign w:val="center"/>
          </w:tcPr>
          <w:p w14:paraId="3BBCF75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北京西门子西伯乐斯FDM183</w:t>
            </w:r>
          </w:p>
        </w:tc>
        <w:tc>
          <w:tcPr>
            <w:tcW w:w="600" w:type="dxa"/>
            <w:noWrap w:val="0"/>
            <w:vAlign w:val="center"/>
          </w:tcPr>
          <w:p w14:paraId="11D610D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0025C5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15 </w:t>
            </w:r>
          </w:p>
        </w:tc>
        <w:tc>
          <w:tcPr>
            <w:tcW w:w="767" w:type="dxa"/>
            <w:noWrap w:val="0"/>
            <w:vAlign w:val="center"/>
          </w:tcPr>
          <w:p w14:paraId="6160D87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E09347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22FB8D">
            <w:pPr>
              <w:jc w:val="center"/>
              <w:rPr>
                <w:rFonts w:hint="eastAsia" w:ascii="宋体" w:hAnsi="宋体" w:eastAsia="宋体" w:cs="宋体"/>
                <w:color w:val="auto"/>
                <w:kern w:val="2"/>
                <w:sz w:val="18"/>
                <w:szCs w:val="18"/>
                <w:highlight w:val="none"/>
                <w:lang w:val="en-US" w:eastAsia="zh-CN" w:bidi="ar-SA"/>
              </w:rPr>
            </w:pPr>
          </w:p>
        </w:tc>
      </w:tr>
      <w:tr w14:paraId="74AA9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C04393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65</w:t>
            </w:r>
          </w:p>
        </w:tc>
        <w:tc>
          <w:tcPr>
            <w:tcW w:w="1584" w:type="dxa"/>
            <w:noWrap w:val="0"/>
            <w:vAlign w:val="center"/>
          </w:tcPr>
          <w:p w14:paraId="471A3C6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货物捆绑带</w:t>
            </w:r>
          </w:p>
        </w:tc>
        <w:tc>
          <w:tcPr>
            <w:tcW w:w="2879" w:type="dxa"/>
            <w:noWrap w:val="0"/>
            <w:vAlign w:val="center"/>
          </w:tcPr>
          <w:p w14:paraId="51C13EB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4米高强丙纶织带、宽5厘米，双钩加厚/带收紧器</w:t>
            </w:r>
          </w:p>
        </w:tc>
        <w:tc>
          <w:tcPr>
            <w:tcW w:w="600" w:type="dxa"/>
            <w:noWrap w:val="0"/>
            <w:vAlign w:val="center"/>
          </w:tcPr>
          <w:p w14:paraId="4EF1BE5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711" w:type="dxa"/>
            <w:noWrap w:val="0"/>
            <w:vAlign w:val="center"/>
          </w:tcPr>
          <w:p w14:paraId="50C35DE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10 </w:t>
            </w:r>
          </w:p>
        </w:tc>
        <w:tc>
          <w:tcPr>
            <w:tcW w:w="767" w:type="dxa"/>
            <w:noWrap w:val="0"/>
            <w:vAlign w:val="center"/>
          </w:tcPr>
          <w:p w14:paraId="49B468A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F49E80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82EF426">
            <w:pPr>
              <w:jc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七、机务检修专业    咨询可联系：陈波13532978990</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66</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拉货平板车</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四角防撞，底部带四钢管，承重1000斤，尺寸90x60cm</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0A30FD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A411FBC">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搬运宝</w:t>
            </w: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67</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乙炔割嘴</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G01-30 3号</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3AE31D33">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3F02CD00">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089B1EEF">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长城精工</w:t>
            </w: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68</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双层扁平双环吊带</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2T L=3米</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条</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2FDECA2D">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6FF52E71">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7368FBFB">
            <w:pPr>
              <w:jc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7E392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479" w:type="dxa"/>
            <w:shd w:val="clear" w:color="auto" w:fill="auto"/>
            <w:noWrap w:val="0"/>
            <w:vAlign w:val="center"/>
          </w:tcPr>
          <w:p w14:paraId="70D9B6C0">
            <w:pPr>
              <w:keepNext w:val="0"/>
              <w:keepLines w:val="0"/>
              <w:pageBreakBefore w:val="0"/>
              <w:widowControl w:val="0"/>
              <w:kinsoku/>
              <w:wordWrap/>
              <w:overflowPunct/>
              <w:topLinePunct w:val="0"/>
              <w:autoSpaceDE/>
              <w:autoSpaceDN/>
              <w:bidi w:val="0"/>
              <w:adjustRightInd/>
              <w:snapToGrid/>
              <w:spacing w:line="185" w:lineRule="auto"/>
              <w:ind w:firstLine="159" w:firstLineChars="0"/>
              <w:jc w:val="left"/>
              <w:textAlignment w:val="auto"/>
              <w:rPr>
                <w:rFonts w:hint="default" w:ascii="宋体" w:hAnsi="宋体" w:eastAsia="宋体" w:cs="宋体"/>
                <w:color w:val="000000" w:themeColor="text1"/>
                <w:spacing w:val="1"/>
                <w:kern w:val="2"/>
                <w:sz w:val="18"/>
                <w:szCs w:val="18"/>
                <w:highlight w:val="none"/>
                <w:lang w:val="en-US" w:eastAsia="zh-CN" w:bidi="ar-SA"/>
                <w14:textFill>
                  <w14:solidFill>
                    <w14:schemeClr w14:val="tx1"/>
                  </w14:solidFill>
                </w14:textFill>
              </w:rPr>
            </w:pPr>
            <w:r>
              <w:rPr>
                <w:rFonts w:hint="eastAsia" w:ascii="宋体" w:hAnsi="宋体" w:cs="宋体"/>
                <w:color w:val="000000" w:themeColor="text1"/>
                <w:spacing w:val="1"/>
                <w:kern w:val="2"/>
                <w:sz w:val="18"/>
                <w:szCs w:val="18"/>
                <w:highlight w:val="none"/>
                <w:lang w:val="en-US" w:eastAsia="zh-CN" w:bidi="ar-SA"/>
                <w14:textFill>
                  <w14:solidFill>
                    <w14:schemeClr w14:val="tx1"/>
                  </w14:solidFill>
                </w14:textFill>
              </w:rPr>
              <w:t>69</w:t>
            </w:r>
          </w:p>
        </w:tc>
        <w:tc>
          <w:tcPr>
            <w:tcW w:w="1584" w:type="dxa"/>
            <w:noWrap w:val="0"/>
            <w:vAlign w:val="center"/>
          </w:tcPr>
          <w:p w14:paraId="27BEF06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起钉器撬棍</w:t>
            </w:r>
          </w:p>
        </w:tc>
        <w:tc>
          <w:tcPr>
            <w:tcW w:w="2879" w:type="dxa"/>
            <w:noWrap w:val="0"/>
            <w:vAlign w:val="center"/>
          </w:tcPr>
          <w:p w14:paraId="65B1422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450*16mm 卡夫威尔</w:t>
            </w:r>
          </w:p>
        </w:tc>
        <w:tc>
          <w:tcPr>
            <w:tcW w:w="600" w:type="dxa"/>
            <w:noWrap w:val="0"/>
            <w:vAlign w:val="center"/>
          </w:tcPr>
          <w:p w14:paraId="3E1A88A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52B9046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5F475746">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702" w:type="dxa"/>
            <w:noWrap w:val="0"/>
            <w:vAlign w:val="center"/>
          </w:tcPr>
          <w:p w14:paraId="1B15FB87">
            <w:pPr>
              <w:jc w:val="cente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2209" w:type="dxa"/>
            <w:shd w:val="clear" w:color="auto" w:fill="auto"/>
            <w:noWrap w:val="0"/>
            <w:vAlign w:val="center"/>
          </w:tcPr>
          <w:p w14:paraId="45EC3E30">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kern w:val="0"/>
                <w:sz w:val="18"/>
                <w:szCs w:val="18"/>
                <w:u w:val="none"/>
                <w:lang w:val="en-US" w:eastAsia="zh-CN" w:bidi="ar"/>
              </w:rPr>
              <w:t>卡夫威尔</w:t>
            </w: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6"/>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6"/>
        <w:jc w:val="left"/>
        <w:rPr>
          <w:rFonts w:hint="eastAsia"/>
          <w:sz w:val="24"/>
          <w:szCs w:val="24"/>
          <w:highlight w:val="none"/>
          <w:lang w:val="en-US" w:eastAsia="zh-CN"/>
        </w:rPr>
      </w:pPr>
      <w:r>
        <w:rPr>
          <w:rFonts w:hint="eastAsia"/>
          <w:sz w:val="24"/>
          <w:szCs w:val="24"/>
          <w:highlight w:val="none"/>
          <w:lang w:val="en-US" w:eastAsia="zh-CN"/>
        </w:rPr>
        <w:t>发电机接地碳刷：</w:t>
      </w:r>
    </w:p>
    <w:p w14:paraId="6E2A339B">
      <w:pPr>
        <w:pStyle w:val="6"/>
        <w:jc w:val="left"/>
        <w:rPr>
          <w:rFonts w:hint="eastAsia"/>
          <w:sz w:val="24"/>
          <w:szCs w:val="24"/>
          <w:highlight w:val="none"/>
          <w:lang w:val="en-US" w:eastAsia="zh-CN"/>
        </w:rPr>
      </w:pPr>
      <w:r>
        <w:drawing>
          <wp:inline distT="0" distB="0" distL="114300" distR="114300">
            <wp:extent cx="2559050" cy="4479925"/>
            <wp:effectExtent l="0" t="0" r="3175" b="635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1"/>
                    <a:stretch>
                      <a:fillRect/>
                    </a:stretch>
                  </pic:blipFill>
                  <pic:spPr>
                    <a:xfrm>
                      <a:off x="0" y="0"/>
                      <a:ext cx="2559050" cy="4479925"/>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手动兆欧表</w:t>
      </w:r>
      <w:r>
        <w:rPr>
          <w:rFonts w:hint="eastAsia"/>
          <w:sz w:val="24"/>
          <w:szCs w:val="24"/>
          <w:lang w:val="en-US" w:eastAsia="zh-CN"/>
        </w:rPr>
        <w:t>：</w:t>
      </w:r>
    </w:p>
    <w:p w14:paraId="4F10452E">
      <w:r>
        <w:drawing>
          <wp:inline distT="0" distB="0" distL="114300" distR="114300">
            <wp:extent cx="2877185" cy="2648585"/>
            <wp:effectExtent l="0" t="0" r="8890"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2877185" cy="2648585"/>
                    </a:xfrm>
                    <a:prstGeom prst="rect">
                      <a:avLst/>
                    </a:prstGeom>
                    <a:noFill/>
                    <a:ln>
                      <a:noFill/>
                    </a:ln>
                  </pic:spPr>
                </pic:pic>
              </a:graphicData>
            </a:graphic>
          </wp:inline>
        </w:drawing>
      </w:r>
    </w:p>
    <w:p w14:paraId="6EB09815">
      <w:pPr>
        <w:pStyle w:val="6"/>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直流系统指示灯条</w:t>
      </w:r>
      <w:r>
        <w:rPr>
          <w:rFonts w:hint="eastAsia" w:ascii="宋体" w:hAnsi="宋体" w:cs="宋体"/>
          <w:i w:val="0"/>
          <w:iCs w:val="0"/>
          <w:color w:val="auto"/>
          <w:kern w:val="0"/>
          <w:sz w:val="24"/>
          <w:szCs w:val="24"/>
          <w:u w:val="none"/>
          <w:lang w:val="en-US" w:eastAsia="zh-CN" w:bidi="ar"/>
        </w:rPr>
        <w:t>：</w:t>
      </w:r>
    </w:p>
    <w:p w14:paraId="3BDD4A4B">
      <w:pPr>
        <w:pStyle w:val="6"/>
      </w:pPr>
      <w:r>
        <w:drawing>
          <wp:inline distT="0" distB="0" distL="114300" distR="114300">
            <wp:extent cx="2206625" cy="3145155"/>
            <wp:effectExtent l="0" t="0" r="3175" b="762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3"/>
                    <a:stretch>
                      <a:fillRect/>
                    </a:stretch>
                  </pic:blipFill>
                  <pic:spPr>
                    <a:xfrm>
                      <a:off x="0" y="0"/>
                      <a:ext cx="2206625" cy="3145155"/>
                    </a:xfrm>
                    <a:prstGeom prst="rect">
                      <a:avLst/>
                    </a:prstGeom>
                    <a:noFill/>
                    <a:ln>
                      <a:noFill/>
                    </a:ln>
                  </pic:spPr>
                </pic:pic>
              </a:graphicData>
            </a:graphic>
          </wp:inline>
        </w:drawing>
      </w:r>
    </w:p>
    <w:p w14:paraId="01E635C2">
      <w:pPr>
        <w:pStyle w:val="6"/>
        <w:rPr>
          <w:rFonts w:hint="eastAsia"/>
          <w:lang w:eastAsia="zh-CN"/>
        </w:rPr>
      </w:pPr>
      <w:r>
        <w:rPr>
          <w:rFonts w:hint="eastAsia"/>
          <w:lang w:eastAsia="zh-CN"/>
        </w:rPr>
        <w:t>防爆检修箱：</w:t>
      </w:r>
    </w:p>
    <w:p w14:paraId="3511C378">
      <w:pPr>
        <w:pStyle w:val="6"/>
      </w:pPr>
      <w:r>
        <w:drawing>
          <wp:inline distT="0" distB="0" distL="114300" distR="114300">
            <wp:extent cx="2635885" cy="2544445"/>
            <wp:effectExtent l="0" t="0" r="2540"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2635885" cy="2544445"/>
                    </a:xfrm>
                    <a:prstGeom prst="rect">
                      <a:avLst/>
                    </a:prstGeom>
                    <a:noFill/>
                    <a:ln>
                      <a:noFill/>
                    </a:ln>
                  </pic:spPr>
                </pic:pic>
              </a:graphicData>
            </a:graphic>
          </wp:inline>
        </w:drawing>
      </w:r>
    </w:p>
    <w:p w14:paraId="2FBDA5A2">
      <w:pPr>
        <w:pStyle w:val="6"/>
        <w:rPr>
          <w:rFonts w:hint="eastAsia"/>
          <w:sz w:val="24"/>
          <w:szCs w:val="24"/>
          <w:lang w:val="en-US" w:eastAsia="zh-CN"/>
        </w:rPr>
      </w:pPr>
      <w:r>
        <w:rPr>
          <w:rFonts w:hint="default"/>
          <w:sz w:val="24"/>
          <w:szCs w:val="24"/>
          <w:lang w:val="en-US" w:eastAsia="zh-CN"/>
        </w:rPr>
        <w:t>拷贝林卡箍</w:t>
      </w:r>
      <w:r>
        <w:rPr>
          <w:rFonts w:hint="eastAsia"/>
          <w:sz w:val="24"/>
          <w:szCs w:val="24"/>
          <w:lang w:val="en-US" w:eastAsia="zh-CN"/>
        </w:rPr>
        <w:t>：</w:t>
      </w:r>
    </w:p>
    <w:p w14:paraId="08933722">
      <w:pPr>
        <w:pStyle w:val="6"/>
        <w:rPr>
          <w:rFonts w:hint="eastAsia"/>
          <w:sz w:val="24"/>
          <w:szCs w:val="24"/>
          <w:lang w:val="en-US" w:eastAsia="zh-CN"/>
        </w:rPr>
      </w:pPr>
      <w:r>
        <w:drawing>
          <wp:inline distT="0" distB="0" distL="114300" distR="114300">
            <wp:extent cx="2406015" cy="1351280"/>
            <wp:effectExtent l="0" t="0" r="3810" b="127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2406015" cy="1351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849630" cy="1296670"/>
            <wp:effectExtent l="0" t="0" r="7620" b="825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6"/>
                    <a:stretch>
                      <a:fillRect/>
                    </a:stretch>
                  </pic:blipFill>
                  <pic:spPr>
                    <a:xfrm>
                      <a:off x="0" y="0"/>
                      <a:ext cx="849630" cy="1296670"/>
                    </a:xfrm>
                    <a:prstGeom prst="rect">
                      <a:avLst/>
                    </a:prstGeom>
                    <a:noFill/>
                    <a:ln>
                      <a:noFill/>
                    </a:ln>
                  </pic:spPr>
                </pic:pic>
              </a:graphicData>
            </a:graphic>
          </wp:inline>
        </w:drawing>
      </w:r>
    </w:p>
    <w:p w14:paraId="4BE5F6E3">
      <w:pPr>
        <w:pStyle w:val="6"/>
      </w:pPr>
    </w:p>
    <w:p w14:paraId="7849158D">
      <w:pPr>
        <w:pStyle w:val="6"/>
      </w:pPr>
      <w:r>
        <w:rPr>
          <w:rFonts w:hint="default"/>
          <w:sz w:val="24"/>
          <w:szCs w:val="24"/>
          <w:lang w:val="en-US" w:eastAsia="zh-CN"/>
        </w:rPr>
        <w:t>资料柜</w:t>
      </w:r>
      <w:r>
        <w:rPr>
          <w:rFonts w:hint="eastAsia"/>
          <w:sz w:val="24"/>
          <w:szCs w:val="24"/>
          <w:lang w:val="en-US" w:eastAsia="zh-CN"/>
        </w:rPr>
        <w:t>：</w:t>
      </w:r>
    </w:p>
    <w:p w14:paraId="5A473A4C">
      <w:pPr>
        <w:pStyle w:val="6"/>
      </w:pPr>
      <w:r>
        <w:drawing>
          <wp:inline distT="0" distB="0" distL="114300" distR="114300">
            <wp:extent cx="1990725" cy="2773045"/>
            <wp:effectExtent l="0" t="0" r="0" b="825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7"/>
                    <a:stretch>
                      <a:fillRect/>
                    </a:stretch>
                  </pic:blipFill>
                  <pic:spPr>
                    <a:xfrm>
                      <a:off x="0" y="0"/>
                      <a:ext cx="1990725" cy="2773045"/>
                    </a:xfrm>
                    <a:prstGeom prst="rect">
                      <a:avLst/>
                    </a:prstGeom>
                    <a:noFill/>
                    <a:ln>
                      <a:noFill/>
                    </a:ln>
                  </pic:spPr>
                </pic:pic>
              </a:graphicData>
            </a:graphic>
          </wp:inline>
        </w:drawing>
      </w:r>
    </w:p>
    <w:p w14:paraId="73FC4C77">
      <w:pPr>
        <w:pStyle w:val="6"/>
      </w:pPr>
    </w:p>
    <w:p w14:paraId="51875968">
      <w:pPr>
        <w:pStyle w:val="6"/>
        <w:rPr>
          <w:rFonts w:hint="eastAsia"/>
          <w:sz w:val="24"/>
          <w:szCs w:val="24"/>
          <w:lang w:val="en-US" w:eastAsia="zh-CN"/>
        </w:rPr>
      </w:pPr>
      <w:r>
        <w:rPr>
          <w:rFonts w:hint="eastAsia"/>
          <w:sz w:val="24"/>
          <w:szCs w:val="24"/>
          <w:lang w:val="en-US" w:eastAsia="zh-CN"/>
        </w:rPr>
        <w:t>不锈钢烟灰柱：</w:t>
      </w:r>
    </w:p>
    <w:p w14:paraId="2621801E">
      <w:pPr>
        <w:pStyle w:val="6"/>
      </w:pPr>
      <w:r>
        <w:drawing>
          <wp:inline distT="0" distB="0" distL="114300" distR="114300">
            <wp:extent cx="2360295" cy="2332355"/>
            <wp:effectExtent l="0" t="0" r="1905" b="12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8"/>
                    <a:stretch>
                      <a:fillRect/>
                    </a:stretch>
                  </pic:blipFill>
                  <pic:spPr>
                    <a:xfrm>
                      <a:off x="0" y="0"/>
                      <a:ext cx="2360295" cy="2332355"/>
                    </a:xfrm>
                    <a:prstGeom prst="rect">
                      <a:avLst/>
                    </a:prstGeom>
                    <a:noFill/>
                    <a:ln>
                      <a:noFill/>
                    </a:ln>
                  </pic:spPr>
                </pic:pic>
              </a:graphicData>
            </a:graphic>
          </wp:inline>
        </w:drawing>
      </w:r>
    </w:p>
    <w:p w14:paraId="68C833F4">
      <w:pPr>
        <w:pStyle w:val="6"/>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消防室外手报防雨罩</w:t>
      </w:r>
      <w:r>
        <w:rPr>
          <w:rFonts w:hint="eastAsia" w:ascii="宋体" w:hAnsi="宋体" w:cs="宋体"/>
          <w:i w:val="0"/>
          <w:iCs w:val="0"/>
          <w:color w:val="000000"/>
          <w:kern w:val="0"/>
          <w:sz w:val="24"/>
          <w:szCs w:val="24"/>
          <w:u w:val="none"/>
          <w:lang w:val="en-US" w:eastAsia="zh-CN" w:bidi="ar"/>
        </w:rPr>
        <w:t>：</w:t>
      </w:r>
    </w:p>
    <w:p w14:paraId="59DE0006">
      <w:pPr>
        <w:pStyle w:val="6"/>
        <w:rPr>
          <w:rFonts w:hint="eastAsia" w:ascii="宋体" w:hAnsi="宋体" w:cs="宋体"/>
          <w:i w:val="0"/>
          <w:iCs w:val="0"/>
          <w:color w:val="000000"/>
          <w:kern w:val="0"/>
          <w:sz w:val="24"/>
          <w:szCs w:val="24"/>
          <w:u w:val="none"/>
          <w:lang w:val="en-US" w:eastAsia="zh-CN" w:bidi="ar"/>
        </w:rPr>
      </w:pPr>
      <w:r>
        <w:drawing>
          <wp:inline distT="0" distB="0" distL="114300" distR="114300">
            <wp:extent cx="2221230" cy="2106295"/>
            <wp:effectExtent l="0" t="0" r="7620" b="825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9"/>
                    <a:stretch>
                      <a:fillRect/>
                    </a:stretch>
                  </pic:blipFill>
                  <pic:spPr>
                    <a:xfrm>
                      <a:off x="0" y="0"/>
                      <a:ext cx="2221230" cy="2106295"/>
                    </a:xfrm>
                    <a:prstGeom prst="rect">
                      <a:avLst/>
                    </a:prstGeom>
                    <a:noFill/>
                    <a:ln>
                      <a:noFill/>
                    </a:ln>
                  </pic:spPr>
                </pic:pic>
              </a:graphicData>
            </a:graphic>
          </wp:inline>
        </w:drawing>
      </w:r>
    </w:p>
    <w:p w14:paraId="11204DCC">
      <w:pPr>
        <w:pStyle w:val="6"/>
      </w:pPr>
    </w:p>
    <w:p w14:paraId="24EB4C8A">
      <w:pPr>
        <w:pStyle w:val="6"/>
        <w:rPr>
          <w:rFonts w:hint="eastAsia"/>
          <w:sz w:val="24"/>
          <w:szCs w:val="24"/>
          <w:lang w:eastAsia="zh-CN"/>
        </w:rPr>
      </w:pPr>
      <w:r>
        <w:rPr>
          <w:rFonts w:hint="eastAsia"/>
          <w:sz w:val="24"/>
          <w:szCs w:val="24"/>
        </w:rPr>
        <w:t>消火栓启动手报按钮</w:t>
      </w:r>
      <w:r>
        <w:rPr>
          <w:rFonts w:hint="eastAsia"/>
          <w:sz w:val="24"/>
          <w:szCs w:val="24"/>
          <w:lang w:eastAsia="zh-CN"/>
        </w:rPr>
        <w:t>：</w:t>
      </w:r>
    </w:p>
    <w:p w14:paraId="71537361">
      <w:pPr>
        <w:pStyle w:val="6"/>
      </w:pPr>
      <w:r>
        <w:drawing>
          <wp:inline distT="0" distB="0" distL="114300" distR="114300">
            <wp:extent cx="2228215" cy="2108200"/>
            <wp:effectExtent l="0" t="0" r="635" b="635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0"/>
                    <a:stretch>
                      <a:fillRect/>
                    </a:stretch>
                  </pic:blipFill>
                  <pic:spPr>
                    <a:xfrm>
                      <a:off x="0" y="0"/>
                      <a:ext cx="2228215" cy="2108200"/>
                    </a:xfrm>
                    <a:prstGeom prst="rect">
                      <a:avLst/>
                    </a:prstGeom>
                    <a:noFill/>
                    <a:ln>
                      <a:noFill/>
                    </a:ln>
                  </pic:spPr>
                </pic:pic>
              </a:graphicData>
            </a:graphic>
          </wp:inline>
        </w:drawing>
      </w:r>
    </w:p>
    <w:p w14:paraId="1CD72E3B">
      <w:pPr>
        <w:pStyle w:val="6"/>
        <w:rPr>
          <w:rFonts w:hint="eastAsia"/>
          <w:sz w:val="24"/>
          <w:szCs w:val="24"/>
          <w:lang w:eastAsia="zh-CN"/>
        </w:rPr>
      </w:pPr>
      <w:r>
        <w:rPr>
          <w:rFonts w:hint="eastAsia"/>
          <w:sz w:val="24"/>
          <w:szCs w:val="24"/>
          <w:lang w:eastAsia="zh-CN"/>
        </w:rPr>
        <w:t>手报火灾报警按钮：</w:t>
      </w:r>
    </w:p>
    <w:p w14:paraId="051A36CA">
      <w:pPr>
        <w:pStyle w:val="6"/>
        <w:rPr>
          <w:rFonts w:hint="eastAsia" w:eastAsia="宋体"/>
          <w:lang w:val="en-US" w:eastAsia="zh-CN"/>
        </w:rPr>
      </w:pPr>
      <w:r>
        <w:drawing>
          <wp:inline distT="0" distB="0" distL="114300" distR="114300">
            <wp:extent cx="2188845" cy="2169160"/>
            <wp:effectExtent l="0" t="0" r="1905" b="254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2188845" cy="2169160"/>
                    </a:xfrm>
                    <a:prstGeom prst="rect">
                      <a:avLst/>
                    </a:prstGeom>
                    <a:noFill/>
                    <a:ln>
                      <a:noFill/>
                    </a:ln>
                  </pic:spPr>
                </pic:pic>
              </a:graphicData>
            </a:graphic>
          </wp:inline>
        </w:drawing>
      </w:r>
    </w:p>
    <w:p w14:paraId="3736AC6D">
      <w:pPr>
        <w:pStyle w:val="6"/>
        <w:rPr>
          <w:rFonts w:hint="eastAsia"/>
          <w:sz w:val="24"/>
          <w:szCs w:val="24"/>
          <w:lang w:val="en-US" w:eastAsia="zh-CN"/>
        </w:rPr>
      </w:pPr>
      <w:r>
        <w:rPr>
          <w:rFonts w:hint="eastAsia"/>
          <w:sz w:val="24"/>
          <w:szCs w:val="24"/>
          <w:lang w:val="en-US" w:eastAsia="zh-CN"/>
        </w:rPr>
        <w:t>货物捆绑带：</w:t>
      </w:r>
    </w:p>
    <w:p w14:paraId="7DB6E0E0">
      <w:pPr>
        <w:pStyle w:val="6"/>
      </w:pPr>
      <w:r>
        <w:drawing>
          <wp:inline distT="0" distB="0" distL="114300" distR="114300">
            <wp:extent cx="2328545" cy="2392680"/>
            <wp:effectExtent l="0" t="0" r="508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2"/>
                    <a:stretch>
                      <a:fillRect/>
                    </a:stretch>
                  </pic:blipFill>
                  <pic:spPr>
                    <a:xfrm>
                      <a:off x="0" y="0"/>
                      <a:ext cx="2328545" cy="2392680"/>
                    </a:xfrm>
                    <a:prstGeom prst="rect">
                      <a:avLst/>
                    </a:prstGeom>
                    <a:noFill/>
                    <a:ln>
                      <a:noFill/>
                    </a:ln>
                  </pic:spPr>
                </pic:pic>
              </a:graphicData>
            </a:graphic>
          </wp:inline>
        </w:drawing>
      </w:r>
    </w:p>
    <w:p w14:paraId="26EAC708">
      <w:pPr>
        <w:pStyle w:val="6"/>
      </w:pPr>
    </w:p>
    <w:p w14:paraId="6C2BDF03">
      <w:pPr>
        <w:pStyle w:val="6"/>
        <w:rPr>
          <w:rFonts w:hint="eastAsia"/>
          <w:lang w:val="en-US" w:eastAsia="zh-CN"/>
        </w:rPr>
      </w:pPr>
    </w:p>
    <w:p w14:paraId="2290451A">
      <w:pPr>
        <w:pStyle w:val="6"/>
        <w:rPr>
          <w:rFonts w:hint="eastAsia"/>
          <w:sz w:val="24"/>
          <w:szCs w:val="24"/>
          <w:lang w:val="en-US" w:eastAsia="zh-CN"/>
        </w:rPr>
      </w:pPr>
      <w:r>
        <w:rPr>
          <w:rFonts w:hint="default"/>
          <w:sz w:val="24"/>
          <w:szCs w:val="24"/>
          <w:lang w:val="en-US" w:eastAsia="zh-CN"/>
        </w:rPr>
        <w:t>拉货平板车</w:t>
      </w:r>
      <w:r>
        <w:rPr>
          <w:rFonts w:hint="eastAsia"/>
          <w:sz w:val="24"/>
          <w:szCs w:val="24"/>
          <w:lang w:val="en-US" w:eastAsia="zh-CN"/>
        </w:rPr>
        <w:t>：</w:t>
      </w:r>
    </w:p>
    <w:p w14:paraId="795E8159">
      <w:pPr>
        <w:pStyle w:val="6"/>
      </w:pPr>
      <w:r>
        <w:drawing>
          <wp:inline distT="0" distB="0" distL="114300" distR="114300">
            <wp:extent cx="2607945" cy="2597785"/>
            <wp:effectExtent l="0" t="0" r="1905" b="254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3"/>
                    <a:stretch>
                      <a:fillRect/>
                    </a:stretch>
                  </pic:blipFill>
                  <pic:spPr>
                    <a:xfrm>
                      <a:off x="0" y="0"/>
                      <a:ext cx="2607945" cy="2597785"/>
                    </a:xfrm>
                    <a:prstGeom prst="rect">
                      <a:avLst/>
                    </a:prstGeom>
                    <a:noFill/>
                    <a:ln>
                      <a:noFill/>
                    </a:ln>
                  </pic:spPr>
                </pic:pic>
              </a:graphicData>
            </a:graphic>
          </wp:inline>
        </w:drawing>
      </w:r>
    </w:p>
    <w:p w14:paraId="030B9EA3">
      <w:pPr>
        <w:pStyle w:val="6"/>
        <w:rPr>
          <w:rFonts w:hint="eastAsia"/>
          <w:lang w:val="en-US" w:eastAsia="zh-CN"/>
        </w:rPr>
      </w:pPr>
      <w:r>
        <w:rPr>
          <w:rFonts w:hint="eastAsia"/>
          <w:sz w:val="24"/>
          <w:szCs w:val="24"/>
          <w:lang w:val="en-US" w:eastAsia="zh-CN"/>
        </w:rPr>
        <w:t>乙炔割嘴：</w:t>
      </w:r>
    </w:p>
    <w:p w14:paraId="42716404">
      <w:pPr>
        <w:pStyle w:val="6"/>
      </w:pPr>
      <w:r>
        <w:drawing>
          <wp:inline distT="0" distB="0" distL="114300" distR="114300">
            <wp:extent cx="2564130" cy="2394585"/>
            <wp:effectExtent l="0" t="0" r="7620" b="5715"/>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4"/>
                    <a:stretch>
                      <a:fillRect/>
                    </a:stretch>
                  </pic:blipFill>
                  <pic:spPr>
                    <a:xfrm>
                      <a:off x="0" y="0"/>
                      <a:ext cx="2564130" cy="2394585"/>
                    </a:xfrm>
                    <a:prstGeom prst="rect">
                      <a:avLst/>
                    </a:prstGeom>
                    <a:noFill/>
                    <a:ln>
                      <a:noFill/>
                    </a:ln>
                  </pic:spPr>
                </pic:pic>
              </a:graphicData>
            </a:graphic>
          </wp:inline>
        </w:drawing>
      </w:r>
    </w:p>
    <w:p w14:paraId="24D4D53A">
      <w:pPr>
        <w:pStyle w:val="6"/>
        <w:rPr>
          <w:rFonts w:hint="eastAsia"/>
          <w:sz w:val="24"/>
          <w:szCs w:val="24"/>
          <w:lang w:val="en-US" w:eastAsia="zh-CN"/>
        </w:rPr>
      </w:pPr>
      <w:r>
        <w:rPr>
          <w:rFonts w:hint="eastAsia"/>
          <w:sz w:val="24"/>
          <w:szCs w:val="24"/>
          <w:lang w:val="en-US" w:eastAsia="zh-CN"/>
        </w:rPr>
        <w:t>起钉器撬棍：</w:t>
      </w:r>
    </w:p>
    <w:p w14:paraId="441C58E4">
      <w:pPr>
        <w:pStyle w:val="6"/>
        <w:rPr>
          <w:rFonts w:hint="default"/>
          <w:lang w:val="en-US" w:eastAsia="zh-CN"/>
        </w:rPr>
      </w:pPr>
      <w:r>
        <w:drawing>
          <wp:inline distT="0" distB="0" distL="114300" distR="114300">
            <wp:extent cx="2898140" cy="2617470"/>
            <wp:effectExtent l="0" t="0" r="6985" b="190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5"/>
                    <a:stretch>
                      <a:fillRect/>
                    </a:stretch>
                  </pic:blipFill>
                  <pic:spPr>
                    <a:xfrm>
                      <a:off x="0" y="0"/>
                      <a:ext cx="2898140" cy="2617470"/>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FT Thymes"/>
    <w:panose1 w:val="02020603050405020304"/>
    <w:charset w:val="86"/>
    <w:family w:val="auto"/>
    <w:pitch w:val="default"/>
    <w:sig w:usb0="00000000" w:usb1="00000000" w:usb2="00000009" w:usb3="00000000" w:csb0="400001FF" w:csb1="FFFF0000"/>
  </w:font>
  <w:font w:name="宋体">
    <w:altName w:val="书宋-简"/>
    <w:panose1 w:val="00000000000000000000"/>
    <w:charset w:val="00"/>
    <w:family w:val="auto"/>
    <w:pitch w:val="default"/>
    <w:sig w:usb0="00000000" w:usb1="00000000" w:usb2="00000000" w:usb3="00000000" w:csb0="00000000" w:csb1="00000000"/>
  </w:font>
  <w:font w:name="Wingdings">
    <w:altName w:val="FTToken"/>
    <w:panose1 w:val="05000000000000000000"/>
    <w:charset w:val="02"/>
    <w:family w:val="auto"/>
    <w:pitch w:val="default"/>
    <w:sig w:usb0="00000000" w:usb1="00000000" w:usb2="00000000" w:usb3="00000000" w:csb0="80000000" w:csb1="00000000"/>
  </w:font>
  <w:font w:name="Arial">
    <w:altName w:val="FT Thymes"/>
    <w:panose1 w:val="020B0604020202020204"/>
    <w:charset w:val="01"/>
    <w:family w:val="swiss"/>
    <w:pitch w:val="default"/>
    <w:sig w:usb0="E0002AFF" w:usb1="C0007843" w:usb2="00000009" w:usb3="00000000" w:csb0="400001FF" w:csb1="FFFF0000"/>
  </w:font>
  <w:font w:name="黑体">
    <w:altName w:val="黑体-简"/>
    <w:panose1 w:val="02010609060101010101"/>
    <w:charset w:val="86"/>
    <w:family w:val="auto"/>
    <w:pitch w:val="default"/>
    <w:sig w:usb0="800002BF" w:usb1="38CF7CFA" w:usb2="00000016" w:usb3="00000000" w:csb0="00040001" w:csb1="00000000"/>
  </w:font>
  <w:font w:name="Courier New">
    <w:altName w:val="HarmonyOS Sans"/>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FT Thymes">
    <w:panose1 w:val="02020603050405020304"/>
    <w:charset w:val="00"/>
    <w:family w:val="auto"/>
    <w:pitch w:val="default"/>
    <w:sig w:usb0="E0002EFF" w:usb1="C000785B" w:usb2="00000009" w:usb3="00000000" w:csb0="00000001" w:csb1="00000000"/>
  </w:font>
  <w:font w:name="Calibri">
    <w:altName w:val="FT Thymes"/>
    <w:panose1 w:val="020F0502020204030204"/>
    <w:charset w:val="00"/>
    <w:family w:val="swiss"/>
    <w:pitch w:val="default"/>
    <w:sig w:usb0="00000000" w:usb1="00000000" w:usb2="00000001" w:usb3="00000000" w:csb0="0000019F" w:csb1="00000000"/>
  </w:font>
  <w:font w:name="书宋-简">
    <w:panose1 w:val="02010600030101010101"/>
    <w:charset w:val="86"/>
    <w:family w:val="auto"/>
    <w:pitch w:val="default"/>
    <w:sig w:usb0="A00002BF" w:usb1="3ACF7CFA" w:usb2="00000016" w:usb3="00000000" w:csb0="00040001" w:csb1="00000000"/>
  </w:font>
  <w:font w:name="SimSun">
    <w:altName w:val="书宋-简"/>
    <w:panose1 w:val="00000000000000000000"/>
    <w:charset w:val="00"/>
    <w:family w:val="auto"/>
    <w:pitch w:val="default"/>
    <w:sig w:usb0="00000000" w:usb1="00000000" w:usb2="00000000" w:usb3="00000000" w:csb0="00000000" w:csb1="00000000"/>
  </w:font>
  <w:font w:name="方正仿宋简体">
    <w:altName w:val="仿宋-简"/>
    <w:panose1 w:val="02000000000000000000"/>
    <w:charset w:val="86"/>
    <w:family w:val="auto"/>
    <w:pitch w:val="default"/>
    <w:sig w:usb0="00000000" w:usb1="00000000" w:usb2="00000012" w:usb3="00000000" w:csb0="00040001" w:csb1="00000000"/>
  </w:font>
  <w:font w:name="仿宋-简">
    <w:panose1 w:val="02010609060101010101"/>
    <w:charset w:val="86"/>
    <w:family w:val="auto"/>
    <w:pitch w:val="default"/>
    <w:sig w:usb0="A00002BF" w:usb1="3ACF7CFA" w:usb2="00000016" w:usb3="00000000" w:csb0="00040001" w:csb1="00000000"/>
  </w:font>
  <w:font w:name="汉仪仿宋简">
    <w:altName w:val="仿宋-简"/>
    <w:panose1 w:val="02010600000101010101"/>
    <w:charset w:val="86"/>
    <w:family w:val="auto"/>
    <w:pitch w:val="default"/>
    <w:sig w:usb0="00000000" w:usb1="00000000" w:usb2="00000002" w:usb3="00000000" w:csb0="00040000" w:csb1="00000000"/>
  </w:font>
  <w:font w:name="仿宋_GB2312">
    <w:altName w:val="仿宋-简"/>
    <w:panose1 w:val="02010609030101010101"/>
    <w:charset w:val="86"/>
    <w:family w:val="modern"/>
    <w:pitch w:val="default"/>
    <w:sig w:usb0="00000000" w:usb1="00000000" w:usb2="00000000" w:usb3="00000000" w:csb0="00040000" w:csb1="00000000"/>
  </w:font>
  <w:font w:name="仿宋">
    <w:altName w:val="仿宋-简"/>
    <w:panose1 w:val="02010609060101010101"/>
    <w:charset w:val="86"/>
    <w:family w:val="modern"/>
    <w:pitch w:val="default"/>
    <w:sig w:usb0="00000000" w:usb1="00000000" w:usb2="00000016" w:usb3="00000000" w:csb0="00040001" w:csb1="00000000"/>
  </w:font>
  <w:font w:name="微软雅黑">
    <w:altName w:val="方正雅意黑 GB18030L2 R"/>
    <w:panose1 w:val="020B0503020204020204"/>
    <w:charset w:val="86"/>
    <w:family w:val="auto"/>
    <w:pitch w:val="default"/>
    <w:sig w:usb0="00000000" w:usb1="00000000" w:usb2="00000016" w:usb3="00000000" w:csb0="0004001F" w:csb1="00000000"/>
  </w:font>
  <w:font w:name="方正雅意黑 GB18030L2 R">
    <w:panose1 w:val="02000500000000000000"/>
    <w:charset w:val="86"/>
    <w:family w:val="auto"/>
    <w:pitch w:val="default"/>
    <w:sig w:usb0="E00002FF" w:usb1="38CFFCFB" w:usb2="00000016" w:usb3="00000000" w:csb0="6004019F" w:csb1="DFD70000"/>
  </w:font>
  <w:font w:name="FTToken">
    <w:panose1 w:val="05000000000000000000"/>
    <w:charset w:val="00"/>
    <w:family w:val="auto"/>
    <w:pitch w:val="default"/>
    <w:sig w:usb0="00000000" w:usb1="10000000" w:usb2="00000000" w:usb3="00000000" w:csb0="80000000" w:csb1="00000000"/>
  </w:font>
  <w:font w:name="方正小标宋简体">
    <w:altName w:val="书宋-简"/>
    <w:panose1 w:val="03000509000000000000"/>
    <w:charset w:val="86"/>
    <w:family w:val="script"/>
    <w:pitch w:val="default"/>
    <w:sig w:usb0="00000000" w:usb1="00000000" w:usb2="00000000" w:usb3="00000000" w:csb0="00040000" w:csb1="00000000"/>
  </w:font>
  <w:font w:name="黑体-简">
    <w:panose1 w:val="02010609060101010101"/>
    <w:charset w:val="86"/>
    <w:family w:val="auto"/>
    <w:pitch w:val="default"/>
    <w:sig w:usb0="A00002BF" w:usb1="3ACF7CFA" w:usb2="00000016" w:usb3="00000000" w:csb0="00040001" w:csb1="00000000"/>
  </w:font>
  <w:font w:name="DejaVu Math TeX Gyre">
    <w:panose1 w:val="02000503000000000000"/>
    <w:charset w:val="00"/>
    <w:family w:val="auto"/>
    <w:pitch w:val="default"/>
    <w:sig w:usb0="A10000EF" w:usb1="4A00F9EE" w:usb2="02000008"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1060E7"/>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2685D"/>
    <w:rsid w:val="08283642"/>
    <w:rsid w:val="08284245"/>
    <w:rsid w:val="08391181"/>
    <w:rsid w:val="085C321E"/>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776A16"/>
    <w:rsid w:val="0A887FBA"/>
    <w:rsid w:val="0A9578EA"/>
    <w:rsid w:val="0A9855FA"/>
    <w:rsid w:val="0A9B4FED"/>
    <w:rsid w:val="0AB811A5"/>
    <w:rsid w:val="0AEC7127"/>
    <w:rsid w:val="0AF916E2"/>
    <w:rsid w:val="0B063FF5"/>
    <w:rsid w:val="0B0C0A79"/>
    <w:rsid w:val="0B343C32"/>
    <w:rsid w:val="0B451F6A"/>
    <w:rsid w:val="0B636CD4"/>
    <w:rsid w:val="0B705BE3"/>
    <w:rsid w:val="0B7E1688"/>
    <w:rsid w:val="0B8C26C2"/>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EF2259E"/>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CC4823"/>
    <w:rsid w:val="11D21F02"/>
    <w:rsid w:val="120C5D21"/>
    <w:rsid w:val="123649A8"/>
    <w:rsid w:val="12385DAA"/>
    <w:rsid w:val="123B5AD1"/>
    <w:rsid w:val="12410B8B"/>
    <w:rsid w:val="12475EA9"/>
    <w:rsid w:val="12707190"/>
    <w:rsid w:val="1288550F"/>
    <w:rsid w:val="12B15CFA"/>
    <w:rsid w:val="12B16B16"/>
    <w:rsid w:val="12BE53D5"/>
    <w:rsid w:val="133360BD"/>
    <w:rsid w:val="137A1844"/>
    <w:rsid w:val="13806B33"/>
    <w:rsid w:val="13C85D56"/>
    <w:rsid w:val="14040081"/>
    <w:rsid w:val="140B464A"/>
    <w:rsid w:val="142D218A"/>
    <w:rsid w:val="144357A0"/>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4756E1"/>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621DD"/>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46693"/>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644DCB"/>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6F41B2"/>
    <w:rsid w:val="207761C8"/>
    <w:rsid w:val="209E2C67"/>
    <w:rsid w:val="20EA5EBD"/>
    <w:rsid w:val="20FF23A0"/>
    <w:rsid w:val="21110DC5"/>
    <w:rsid w:val="215D3AC5"/>
    <w:rsid w:val="216F32CA"/>
    <w:rsid w:val="217B20CF"/>
    <w:rsid w:val="21CB6FBF"/>
    <w:rsid w:val="21DE7908"/>
    <w:rsid w:val="21E76179"/>
    <w:rsid w:val="2208041A"/>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4556B"/>
    <w:rsid w:val="2529444A"/>
    <w:rsid w:val="253B3777"/>
    <w:rsid w:val="253E3770"/>
    <w:rsid w:val="256A6608"/>
    <w:rsid w:val="256C3FE9"/>
    <w:rsid w:val="256F4081"/>
    <w:rsid w:val="25714529"/>
    <w:rsid w:val="259174A4"/>
    <w:rsid w:val="25A17AC4"/>
    <w:rsid w:val="25A71EE0"/>
    <w:rsid w:val="25C32FD6"/>
    <w:rsid w:val="25D60E9E"/>
    <w:rsid w:val="260343EC"/>
    <w:rsid w:val="26160809"/>
    <w:rsid w:val="26177FE1"/>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63EBB"/>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BF0504"/>
    <w:rsid w:val="2BC27B4B"/>
    <w:rsid w:val="2BFD6B16"/>
    <w:rsid w:val="2C016BB8"/>
    <w:rsid w:val="2C2F27D7"/>
    <w:rsid w:val="2C345B15"/>
    <w:rsid w:val="2C79418D"/>
    <w:rsid w:val="2C8B5ED0"/>
    <w:rsid w:val="2C970D19"/>
    <w:rsid w:val="2C9B70E1"/>
    <w:rsid w:val="2CAA5825"/>
    <w:rsid w:val="2CE4166F"/>
    <w:rsid w:val="2CFF2EFE"/>
    <w:rsid w:val="2D0E6CE1"/>
    <w:rsid w:val="2D26240A"/>
    <w:rsid w:val="2D2F2667"/>
    <w:rsid w:val="2D307F4F"/>
    <w:rsid w:val="2D407E72"/>
    <w:rsid w:val="2D591F74"/>
    <w:rsid w:val="2D625044"/>
    <w:rsid w:val="2D77461B"/>
    <w:rsid w:val="2D7B7EC6"/>
    <w:rsid w:val="2D9F7BBA"/>
    <w:rsid w:val="2DD625D6"/>
    <w:rsid w:val="2DDD6BFF"/>
    <w:rsid w:val="2DEBD053"/>
    <w:rsid w:val="2E053518"/>
    <w:rsid w:val="2E0806DE"/>
    <w:rsid w:val="2E227E46"/>
    <w:rsid w:val="2E3B6CE8"/>
    <w:rsid w:val="2E400C5F"/>
    <w:rsid w:val="2E440F97"/>
    <w:rsid w:val="2E4F03AE"/>
    <w:rsid w:val="2E5209E3"/>
    <w:rsid w:val="2E5A17DE"/>
    <w:rsid w:val="2E616ADE"/>
    <w:rsid w:val="2E7D5169"/>
    <w:rsid w:val="2E8564A5"/>
    <w:rsid w:val="2E8A4911"/>
    <w:rsid w:val="2E9670C4"/>
    <w:rsid w:val="2EB01AFE"/>
    <w:rsid w:val="2EBE3A79"/>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1307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57FC"/>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1A5ACC"/>
    <w:rsid w:val="3722158D"/>
    <w:rsid w:val="3747333B"/>
    <w:rsid w:val="375E09FC"/>
    <w:rsid w:val="376A21C2"/>
    <w:rsid w:val="377878CB"/>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A4E95"/>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840F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CC3E0F"/>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B40069"/>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3FEDF231"/>
    <w:rsid w:val="400374F9"/>
    <w:rsid w:val="400E7192"/>
    <w:rsid w:val="4019244E"/>
    <w:rsid w:val="404C1D21"/>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9952F1"/>
    <w:rsid w:val="41B46655"/>
    <w:rsid w:val="41BB6EC9"/>
    <w:rsid w:val="41BD0482"/>
    <w:rsid w:val="41C23CEA"/>
    <w:rsid w:val="41EE64C3"/>
    <w:rsid w:val="4238196C"/>
    <w:rsid w:val="424B591E"/>
    <w:rsid w:val="4271634D"/>
    <w:rsid w:val="429E0DD2"/>
    <w:rsid w:val="42AD5AB8"/>
    <w:rsid w:val="42B0288A"/>
    <w:rsid w:val="42B07FE6"/>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B26298"/>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6EB45E4"/>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7FACDD"/>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4977F9"/>
    <w:rsid w:val="4F712179"/>
    <w:rsid w:val="4F8B1E5E"/>
    <w:rsid w:val="4FAE0E1F"/>
    <w:rsid w:val="4FE63B54"/>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2543F0"/>
    <w:rsid w:val="564231F4"/>
    <w:rsid w:val="567C04B4"/>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8D29D8"/>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E3A33"/>
    <w:rsid w:val="5CCF3B1A"/>
    <w:rsid w:val="5CD4601F"/>
    <w:rsid w:val="5CDD69F5"/>
    <w:rsid w:val="5CF22878"/>
    <w:rsid w:val="5CF4139A"/>
    <w:rsid w:val="5CF81A09"/>
    <w:rsid w:val="5D006C95"/>
    <w:rsid w:val="5D24117B"/>
    <w:rsid w:val="5D3E33D2"/>
    <w:rsid w:val="5D5364CD"/>
    <w:rsid w:val="5D693C9C"/>
    <w:rsid w:val="5DA94078"/>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0FF240D"/>
    <w:rsid w:val="612C0778"/>
    <w:rsid w:val="615208C7"/>
    <w:rsid w:val="61537EE4"/>
    <w:rsid w:val="616B54C8"/>
    <w:rsid w:val="61702C98"/>
    <w:rsid w:val="61963A72"/>
    <w:rsid w:val="61B07C17"/>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115D"/>
    <w:rsid w:val="636127C3"/>
    <w:rsid w:val="636C7B02"/>
    <w:rsid w:val="63870355"/>
    <w:rsid w:val="63AB687C"/>
    <w:rsid w:val="63C03241"/>
    <w:rsid w:val="63D736B7"/>
    <w:rsid w:val="63F5222D"/>
    <w:rsid w:val="640A036F"/>
    <w:rsid w:val="64684FF6"/>
    <w:rsid w:val="646D7F47"/>
    <w:rsid w:val="64724AD3"/>
    <w:rsid w:val="64E3778E"/>
    <w:rsid w:val="64F87681"/>
    <w:rsid w:val="65016282"/>
    <w:rsid w:val="652E4984"/>
    <w:rsid w:val="653308D7"/>
    <w:rsid w:val="6541100E"/>
    <w:rsid w:val="654C0BA8"/>
    <w:rsid w:val="655E46D0"/>
    <w:rsid w:val="65723276"/>
    <w:rsid w:val="65894ACB"/>
    <w:rsid w:val="65B601CD"/>
    <w:rsid w:val="65BC62F1"/>
    <w:rsid w:val="65C57730"/>
    <w:rsid w:val="65D03A9D"/>
    <w:rsid w:val="66113182"/>
    <w:rsid w:val="664352EB"/>
    <w:rsid w:val="665C2B0D"/>
    <w:rsid w:val="6660394E"/>
    <w:rsid w:val="666D4FDC"/>
    <w:rsid w:val="66731291"/>
    <w:rsid w:val="667A0273"/>
    <w:rsid w:val="66903901"/>
    <w:rsid w:val="66B22A6C"/>
    <w:rsid w:val="66C344E7"/>
    <w:rsid w:val="66F07010"/>
    <w:rsid w:val="66F7316A"/>
    <w:rsid w:val="66FC73C9"/>
    <w:rsid w:val="672079BD"/>
    <w:rsid w:val="67253AE9"/>
    <w:rsid w:val="673E5311"/>
    <w:rsid w:val="674421AD"/>
    <w:rsid w:val="67E02C36"/>
    <w:rsid w:val="67E85D1C"/>
    <w:rsid w:val="681465D8"/>
    <w:rsid w:val="68235D74"/>
    <w:rsid w:val="683055A2"/>
    <w:rsid w:val="683E7EE4"/>
    <w:rsid w:val="684A6627"/>
    <w:rsid w:val="68517653"/>
    <w:rsid w:val="687B3426"/>
    <w:rsid w:val="68A815DC"/>
    <w:rsid w:val="68B712D5"/>
    <w:rsid w:val="68BC6450"/>
    <w:rsid w:val="68C65C0A"/>
    <w:rsid w:val="68E12ED2"/>
    <w:rsid w:val="68FD4084"/>
    <w:rsid w:val="69297938"/>
    <w:rsid w:val="69321393"/>
    <w:rsid w:val="69390486"/>
    <w:rsid w:val="693A4C13"/>
    <w:rsid w:val="696610E4"/>
    <w:rsid w:val="69A60F1E"/>
    <w:rsid w:val="69B2588C"/>
    <w:rsid w:val="69BD2665"/>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2C62"/>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0528A"/>
    <w:rsid w:val="6E6329C5"/>
    <w:rsid w:val="6E690D37"/>
    <w:rsid w:val="6E6D7744"/>
    <w:rsid w:val="6E7F7DE4"/>
    <w:rsid w:val="6E8403F6"/>
    <w:rsid w:val="6EAC616D"/>
    <w:rsid w:val="6EF26E02"/>
    <w:rsid w:val="6EFF345A"/>
    <w:rsid w:val="6F0B6421"/>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38B3"/>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3329B9"/>
    <w:rsid w:val="774909FB"/>
    <w:rsid w:val="77676789"/>
    <w:rsid w:val="7774006F"/>
    <w:rsid w:val="777D5C41"/>
    <w:rsid w:val="778F57A9"/>
    <w:rsid w:val="77AB62B1"/>
    <w:rsid w:val="77AE5C93"/>
    <w:rsid w:val="77C345AE"/>
    <w:rsid w:val="77D87C21"/>
    <w:rsid w:val="77ED577F"/>
    <w:rsid w:val="781E71C5"/>
    <w:rsid w:val="78214863"/>
    <w:rsid w:val="78646469"/>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227EBE"/>
    <w:rsid w:val="7A54586F"/>
    <w:rsid w:val="7A621A00"/>
    <w:rsid w:val="7A7B4401"/>
    <w:rsid w:val="7A905081"/>
    <w:rsid w:val="7ACB66ED"/>
    <w:rsid w:val="7AEF7305"/>
    <w:rsid w:val="7B3E0A41"/>
    <w:rsid w:val="7B6C46EB"/>
    <w:rsid w:val="7BB3045A"/>
    <w:rsid w:val="7BBD7B0F"/>
    <w:rsid w:val="7BC53962"/>
    <w:rsid w:val="7BF430D7"/>
    <w:rsid w:val="7C323980"/>
    <w:rsid w:val="7C60627B"/>
    <w:rsid w:val="7C8A30E5"/>
    <w:rsid w:val="7CB04CE6"/>
    <w:rsid w:val="7CDB3559"/>
    <w:rsid w:val="7CE97D7C"/>
    <w:rsid w:val="7CEC7892"/>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538B7"/>
    <w:rsid w:val="7E7C58DC"/>
    <w:rsid w:val="7E9256DF"/>
    <w:rsid w:val="7EAB1865"/>
    <w:rsid w:val="7EC12F48"/>
    <w:rsid w:val="7ED61BCF"/>
    <w:rsid w:val="7EE919FF"/>
    <w:rsid w:val="7F0441A9"/>
    <w:rsid w:val="7F0C441B"/>
    <w:rsid w:val="7F13569D"/>
    <w:rsid w:val="7F58120E"/>
    <w:rsid w:val="7F653518"/>
    <w:rsid w:val="7F6E5F86"/>
    <w:rsid w:val="7F9F508F"/>
    <w:rsid w:val="7F9F6DBE"/>
    <w:rsid w:val="7FB87EFF"/>
    <w:rsid w:val="7FD01879"/>
    <w:rsid w:val="7FE63412"/>
    <w:rsid w:val="7FE74340"/>
    <w:rsid w:val="AFDF61B0"/>
    <w:rsid w:val="BE7F5F12"/>
    <w:rsid w:val="BF870EA3"/>
    <w:rsid w:val="CFBF64C1"/>
    <w:rsid w:val="D3CD2EE6"/>
    <w:rsid w:val="DF2E02FC"/>
    <w:rsid w:val="E37A5958"/>
    <w:rsid w:val="F9EBD416"/>
    <w:rsid w:val="FF4F47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9"/>
    <w:autoRedefine/>
    <w:qFormat/>
    <w:uiPriority w:val="99"/>
    <w:rPr>
      <w:rFonts w:ascii="宋体"/>
      <w:sz w:val="18"/>
      <w:szCs w:val="18"/>
    </w:rPr>
  </w:style>
  <w:style w:type="paragraph" w:styleId="5">
    <w:name w:val="annotation text"/>
    <w:basedOn w:val="1"/>
    <w:link w:val="32"/>
    <w:autoRedefine/>
    <w:qFormat/>
    <w:uiPriority w:val="99"/>
    <w:pPr>
      <w:jc w:val="left"/>
    </w:pPr>
  </w:style>
  <w:style w:type="paragraph" w:styleId="6">
    <w:name w:val="Body Text"/>
    <w:basedOn w:val="1"/>
    <w:link w:val="23"/>
    <w:autoRedefine/>
    <w:qFormat/>
    <w:uiPriority w:val="99"/>
    <w:pPr>
      <w:spacing w:after="120"/>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5"/>
    <w:next w:val="5"/>
    <w:link w:val="35"/>
    <w:autoRedefine/>
    <w:unhideWhenUsed/>
    <w:qFormat/>
    <w:uiPriority w:val="99"/>
    <w:rPr>
      <w:b/>
      <w:bCs/>
    </w:rPr>
  </w:style>
  <w:style w:type="paragraph" w:styleId="13">
    <w:name w:val="Body Text First Indent"/>
    <w:basedOn w:val="6"/>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3"/>
    <w:autoRedefine/>
    <w:qFormat/>
    <w:uiPriority w:val="0"/>
    <w:rPr>
      <w:rFonts w:eastAsia="宋体"/>
      <w:b/>
      <w:sz w:val="32"/>
    </w:rPr>
  </w:style>
  <w:style w:type="character" w:customStyle="1" w:styleId="23">
    <w:name w:val="正文文本 字符"/>
    <w:basedOn w:val="17"/>
    <w:link w:val="6"/>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4"/>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5"/>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39</Pages>
  <Words>8918</Words>
  <Characters>9098</Characters>
  <Lines>70</Lines>
  <Paragraphs>19</Paragraphs>
  <TotalTime>64</TotalTime>
  <ScaleCrop>false</ScaleCrop>
  <LinksUpToDate>false</LinksUpToDate>
  <CharactersWithSpaces>9326</CharactersWithSpaces>
  <Application>WPS Office_12.1.3.27451_F1E327BC-269C-435d-A152-05C5408002CA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2021-07-16T03:21:00Z</dcterms:created>
  <dc:creator>Jeo Xie</dc:creator>
  <cp:lastModifiedBy>梁金柱</cp:lastModifiedBy>
  <cp:lastPrinted>2026-05-14T03:41:00Z</cp:lastPrinted>
  <dcterms:modified xsi:type="dcterms:W3CDTF">2026-07-09T11:27:46Z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2052-12.1.3.27451</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