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13AF9">
      <w:pPr>
        <w:jc w:val="right"/>
        <w:rPr>
          <w:rFonts w:hint="eastAsia" w:ascii="宋体" w:hAnsi="宋体" w:eastAsia="宋体" w:cs="宋体"/>
          <w:color w:val="auto"/>
          <w:szCs w:val="21"/>
          <w:highlight w:val="none"/>
        </w:rPr>
      </w:pPr>
    </w:p>
    <w:p w14:paraId="134A38A9">
      <w:pPr>
        <w:pStyle w:val="40"/>
        <w:ind w:left="0" w:leftChars="0" w:firstLine="0" w:firstLineChars="0"/>
        <w:rPr>
          <w:rFonts w:hint="eastAsia" w:ascii="宋体" w:hAnsi="宋体" w:eastAsia="宋体" w:cs="宋体"/>
          <w:color w:val="auto"/>
          <w:highlight w:val="none"/>
        </w:rPr>
      </w:pPr>
    </w:p>
    <w:p w14:paraId="37D74C60">
      <w:pPr>
        <w:rPr>
          <w:rFonts w:hint="eastAsia" w:ascii="宋体" w:hAnsi="宋体" w:eastAsia="宋体" w:cs="宋体"/>
          <w:color w:val="auto"/>
          <w:highlight w:val="none"/>
        </w:rPr>
      </w:pPr>
    </w:p>
    <w:p w14:paraId="3DA86DD2">
      <w:pPr>
        <w:rPr>
          <w:rFonts w:hint="eastAsia" w:ascii="宋体" w:hAnsi="宋体" w:eastAsia="宋体" w:cs="宋体"/>
          <w:color w:val="auto"/>
          <w:highlight w:val="none"/>
        </w:rPr>
      </w:pPr>
    </w:p>
    <w:p w14:paraId="62CD7375">
      <w:pPr>
        <w:rPr>
          <w:rFonts w:hint="eastAsia" w:ascii="宋体" w:hAnsi="宋体" w:eastAsia="宋体" w:cs="宋体"/>
          <w:color w:val="auto"/>
          <w:highlight w:val="none"/>
        </w:rPr>
      </w:pPr>
    </w:p>
    <w:p w14:paraId="51E744FC">
      <w:pPr>
        <w:ind w:right="-28"/>
        <w:jc w:val="center"/>
        <w:textAlignment w:val="bottom"/>
        <w:rPr>
          <w:rFonts w:hint="eastAsia" w:ascii="宋体" w:hAnsi="宋体" w:eastAsia="宋体" w:cs="宋体"/>
          <w:bCs/>
          <w:color w:val="auto"/>
          <w:spacing w:val="57"/>
          <w:sz w:val="96"/>
          <w:szCs w:val="96"/>
          <w:highlight w:val="none"/>
        </w:rPr>
      </w:pPr>
      <w:r>
        <w:rPr>
          <w:rFonts w:hint="eastAsia" w:ascii="宋体" w:hAnsi="宋体" w:eastAsia="宋体" w:cs="宋体"/>
          <w:bCs/>
          <w:color w:val="auto"/>
          <w:spacing w:val="57"/>
          <w:sz w:val="96"/>
          <w:szCs w:val="96"/>
          <w:highlight w:val="none"/>
        </w:rPr>
        <w:t>采购文件</w:t>
      </w:r>
    </w:p>
    <w:p w14:paraId="477D7944">
      <w:pPr>
        <w:rPr>
          <w:rFonts w:hint="eastAsia" w:ascii="宋体" w:hAnsi="宋体" w:eastAsia="宋体" w:cs="宋体"/>
          <w:color w:val="auto"/>
          <w:highlight w:val="none"/>
        </w:rPr>
      </w:pPr>
    </w:p>
    <w:p w14:paraId="4A2E6FC5">
      <w:pPr>
        <w:pStyle w:val="13"/>
        <w:ind w:left="0" w:leftChars="0" w:firstLine="0" w:firstLineChars="0"/>
        <w:rPr>
          <w:rFonts w:hint="eastAsia" w:ascii="宋体" w:hAnsi="宋体" w:eastAsia="宋体" w:cs="宋体"/>
          <w:color w:val="auto"/>
          <w:highlight w:val="none"/>
        </w:rPr>
      </w:pPr>
    </w:p>
    <w:p w14:paraId="39DBC0E9">
      <w:pPr>
        <w:pStyle w:val="14"/>
        <w:ind w:left="0" w:leftChars="0" w:firstLine="0" w:firstLineChars="0"/>
        <w:rPr>
          <w:rFonts w:hint="eastAsia" w:ascii="宋体" w:hAnsi="宋体" w:eastAsia="宋体" w:cs="宋体"/>
          <w:color w:val="auto"/>
          <w:highlight w:val="none"/>
        </w:rPr>
      </w:pPr>
    </w:p>
    <w:tbl>
      <w:tblPr>
        <w:tblStyle w:val="32"/>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3DC9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147705A5">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项目名称：</w:t>
            </w:r>
          </w:p>
        </w:tc>
        <w:tc>
          <w:tcPr>
            <w:tcW w:w="6203" w:type="dxa"/>
            <w:noWrap/>
            <w:vAlign w:val="center"/>
          </w:tcPr>
          <w:p w14:paraId="10B8A080">
            <w:pPr>
              <w:spacing w:before="200"/>
              <w:jc w:val="both"/>
              <w:rPr>
                <w:rFonts w:hint="eastAsia" w:ascii="宋体" w:hAnsi="宋体" w:eastAsia="宋体" w:cs="宋体"/>
                <w:bCs/>
                <w:color w:val="auto"/>
                <w:sz w:val="32"/>
                <w:szCs w:val="24"/>
                <w:highlight w:val="none"/>
                <w:u w:val="none"/>
                <w:lang w:eastAsia="zh-CN"/>
              </w:rPr>
            </w:pPr>
            <w:r>
              <w:rPr>
                <w:rFonts w:hint="eastAsia" w:ascii="宋体" w:hAnsi="宋体" w:cs="宋体"/>
                <w:bCs/>
                <w:color w:val="auto"/>
                <w:sz w:val="32"/>
                <w:szCs w:val="24"/>
                <w:highlight w:val="none"/>
                <w:u w:val="none"/>
                <w:lang w:eastAsia="zh-CN"/>
              </w:rPr>
              <w:t>东莞市海心沙资源综合利用中心环保热电厂2026年度液碱采购项目</w:t>
            </w:r>
          </w:p>
        </w:tc>
      </w:tr>
      <w:tr w14:paraId="54FC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0D09B546">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项目采购编号：</w:t>
            </w:r>
          </w:p>
        </w:tc>
        <w:tc>
          <w:tcPr>
            <w:tcW w:w="6203" w:type="dxa"/>
            <w:noWrap/>
            <w:vAlign w:val="center"/>
          </w:tcPr>
          <w:p w14:paraId="2DD71C98">
            <w:pPr>
              <w:spacing w:before="200"/>
              <w:jc w:val="both"/>
              <w:rPr>
                <w:rFonts w:hint="eastAsia" w:ascii="宋体" w:hAnsi="宋体" w:eastAsia="宋体" w:cs="宋体"/>
                <w:bCs/>
                <w:color w:val="auto"/>
                <w:sz w:val="32"/>
                <w:szCs w:val="24"/>
                <w:highlight w:val="none"/>
                <w:u w:val="none"/>
                <w:lang w:eastAsia="zh-CN"/>
              </w:rPr>
            </w:pPr>
            <w:r>
              <w:rPr>
                <w:rFonts w:hint="eastAsia" w:ascii="宋体" w:hAnsi="宋体" w:cs="宋体"/>
                <w:bCs/>
                <w:color w:val="auto"/>
                <w:sz w:val="32"/>
                <w:szCs w:val="24"/>
                <w:highlight w:val="none"/>
                <w:u w:val="none"/>
                <w:lang w:eastAsia="zh-CN"/>
              </w:rPr>
              <w:t>XDY-GK-2026-001</w:t>
            </w:r>
          </w:p>
        </w:tc>
      </w:tr>
      <w:tr w14:paraId="0B52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51ABAAC8">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采购人：</w:t>
            </w:r>
          </w:p>
        </w:tc>
        <w:tc>
          <w:tcPr>
            <w:tcW w:w="6203" w:type="dxa"/>
            <w:noWrap/>
            <w:vAlign w:val="center"/>
          </w:tcPr>
          <w:p w14:paraId="52DDA323">
            <w:pPr>
              <w:spacing w:before="200"/>
              <w:jc w:val="both"/>
              <w:rPr>
                <w:rFonts w:hint="eastAsia" w:ascii="宋体" w:hAnsi="宋体" w:eastAsia="宋体" w:cs="宋体"/>
                <w:bCs/>
                <w:color w:val="auto"/>
                <w:sz w:val="32"/>
                <w:szCs w:val="24"/>
                <w:highlight w:val="none"/>
                <w:u w:val="none"/>
                <w:lang w:eastAsia="zh-CN"/>
              </w:rPr>
            </w:pPr>
            <w:r>
              <w:rPr>
                <w:rFonts w:hint="eastAsia" w:ascii="宋体" w:hAnsi="宋体" w:eastAsia="宋体" w:cs="宋体"/>
                <w:bCs/>
                <w:color w:val="auto"/>
                <w:sz w:val="32"/>
                <w:szCs w:val="24"/>
                <w:highlight w:val="none"/>
                <w:u w:val="none"/>
                <w:lang w:eastAsia="zh-CN"/>
              </w:rPr>
              <w:t>东莞市新东元环保投资有限公司</w:t>
            </w:r>
          </w:p>
        </w:tc>
      </w:tr>
      <w:tr w14:paraId="176F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6638D17C">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采购代理：</w:t>
            </w:r>
          </w:p>
        </w:tc>
        <w:tc>
          <w:tcPr>
            <w:tcW w:w="6203" w:type="dxa"/>
            <w:noWrap/>
            <w:vAlign w:val="center"/>
          </w:tcPr>
          <w:p w14:paraId="4B1784B0">
            <w:pPr>
              <w:spacing w:before="200"/>
              <w:jc w:val="both"/>
              <w:rPr>
                <w:rFonts w:hint="eastAsia" w:ascii="宋体" w:hAnsi="宋体" w:eastAsia="宋体" w:cs="宋体"/>
                <w:bCs/>
                <w:color w:val="auto"/>
                <w:sz w:val="32"/>
                <w:szCs w:val="24"/>
                <w:highlight w:val="none"/>
                <w:u w:val="none"/>
                <w:lang w:eastAsia="zh-CN"/>
              </w:rPr>
            </w:pPr>
            <w:r>
              <w:rPr>
                <w:rFonts w:hint="eastAsia" w:ascii="宋体" w:hAnsi="宋体" w:cs="宋体"/>
                <w:bCs/>
                <w:color w:val="auto"/>
                <w:sz w:val="32"/>
                <w:szCs w:val="24"/>
                <w:highlight w:val="none"/>
                <w:u w:val="none"/>
                <w:lang w:val="en-US" w:eastAsia="zh-CN"/>
              </w:rPr>
              <w:t>广州宏达工程顾问集团有限公司</w:t>
            </w:r>
          </w:p>
        </w:tc>
      </w:tr>
    </w:tbl>
    <w:p w14:paraId="45A2E20B">
      <w:pPr>
        <w:jc w:val="center"/>
        <w:rPr>
          <w:rFonts w:hint="eastAsia" w:ascii="宋体" w:hAnsi="宋体" w:eastAsia="宋体" w:cs="宋体"/>
          <w:color w:val="auto"/>
          <w:szCs w:val="21"/>
          <w:highlight w:val="none"/>
        </w:rPr>
      </w:pPr>
    </w:p>
    <w:p w14:paraId="5525FF81">
      <w:pPr>
        <w:jc w:val="center"/>
        <w:rPr>
          <w:rFonts w:hint="eastAsia" w:ascii="宋体" w:hAnsi="宋体" w:eastAsia="宋体" w:cs="宋体"/>
          <w:color w:val="auto"/>
          <w:szCs w:val="21"/>
          <w:highlight w:val="none"/>
        </w:rPr>
      </w:pPr>
    </w:p>
    <w:p w14:paraId="429C2A89">
      <w:pPr>
        <w:jc w:val="center"/>
        <w:rPr>
          <w:rFonts w:hint="eastAsia" w:ascii="宋体" w:hAnsi="宋体" w:eastAsia="宋体" w:cs="宋体"/>
          <w:color w:val="auto"/>
          <w:szCs w:val="21"/>
          <w:highlight w:val="none"/>
        </w:rPr>
      </w:pPr>
    </w:p>
    <w:p w14:paraId="24668B5E">
      <w:pPr>
        <w:pStyle w:val="40"/>
        <w:ind w:firstLine="400"/>
        <w:rPr>
          <w:rFonts w:hint="eastAsia" w:ascii="宋体" w:hAnsi="宋体" w:eastAsia="宋体" w:cs="宋体"/>
          <w:color w:val="auto"/>
          <w:highlight w:val="none"/>
        </w:rPr>
      </w:pPr>
    </w:p>
    <w:p w14:paraId="13DE33AB">
      <w:pPr>
        <w:jc w:val="center"/>
        <w:rPr>
          <w:rFonts w:hint="eastAsia" w:ascii="宋体" w:hAnsi="宋体" w:eastAsia="宋体" w:cs="宋体"/>
          <w:color w:val="auto"/>
          <w:szCs w:val="21"/>
          <w:highlight w:val="none"/>
        </w:rPr>
      </w:pPr>
    </w:p>
    <w:p w14:paraId="0E1F175C">
      <w:pPr>
        <w:jc w:val="center"/>
        <w:rPr>
          <w:rFonts w:hint="eastAsia" w:ascii="宋体" w:hAnsi="宋体" w:eastAsia="宋体" w:cs="宋体"/>
          <w:color w:val="auto"/>
          <w:szCs w:val="21"/>
          <w:highlight w:val="none"/>
        </w:rPr>
      </w:pPr>
    </w:p>
    <w:p w14:paraId="2EAA6E7E">
      <w:pPr>
        <w:jc w:val="center"/>
        <w:rPr>
          <w:rFonts w:hint="eastAsia" w:ascii="宋体" w:hAnsi="宋体" w:eastAsia="宋体" w:cs="宋体"/>
          <w:color w:val="auto"/>
          <w:highlight w:val="none"/>
        </w:rPr>
        <w:sectPr>
          <w:footerReference r:id="rId8" w:type="first"/>
          <w:footerReference r:id="rId6" w:type="default"/>
          <w:headerReference r:id="rId5" w:type="even"/>
          <w:footerReference r:id="rId7" w:type="even"/>
          <w:pgSz w:w="11906" w:h="16838"/>
          <w:pgMar w:top="1440" w:right="1800" w:bottom="1440" w:left="1800" w:header="708" w:footer="709" w:gutter="0"/>
          <w:pgNumType w:start="1"/>
          <w:cols w:space="0" w:num="1"/>
          <w:titlePg/>
          <w:rtlGutter w:val="0"/>
          <w:docGrid w:type="lines" w:linePitch="360" w:charSpace="0"/>
        </w:sectPr>
      </w:pPr>
      <w:r>
        <w:rPr>
          <w:rFonts w:hint="eastAsia" w:ascii="宋体" w:hAnsi="宋体" w:cs="宋体"/>
          <w:bCs/>
          <w:color w:val="auto"/>
          <w:sz w:val="32"/>
          <w:szCs w:val="24"/>
          <w:highlight w:val="none"/>
          <w:lang w:eastAsia="zh-CN"/>
        </w:rPr>
        <w:t>2026</w:t>
      </w:r>
      <w:r>
        <w:rPr>
          <w:rFonts w:hint="eastAsia" w:ascii="宋体" w:hAnsi="宋体" w:eastAsia="宋体" w:cs="宋体"/>
          <w:bCs/>
          <w:color w:val="auto"/>
          <w:sz w:val="32"/>
          <w:szCs w:val="24"/>
          <w:highlight w:val="none"/>
        </w:rPr>
        <w:t>年</w:t>
      </w:r>
      <w:r>
        <w:rPr>
          <w:rFonts w:hint="eastAsia" w:ascii="宋体" w:hAnsi="宋体" w:cs="宋体"/>
          <w:bCs/>
          <w:color w:val="auto"/>
          <w:sz w:val="32"/>
          <w:szCs w:val="24"/>
          <w:highlight w:val="none"/>
          <w:lang w:val="en-US" w:eastAsia="zh-CN"/>
        </w:rPr>
        <w:t>4</w:t>
      </w:r>
      <w:r>
        <w:rPr>
          <w:rFonts w:hint="eastAsia" w:ascii="宋体" w:hAnsi="宋体" w:eastAsia="宋体" w:cs="宋体"/>
          <w:bCs/>
          <w:color w:val="auto"/>
          <w:sz w:val="32"/>
          <w:szCs w:val="24"/>
          <w:highlight w:val="none"/>
        </w:rPr>
        <w:t>月</w:t>
      </w:r>
    </w:p>
    <w:p w14:paraId="2D68A17A">
      <w:pPr>
        <w:pStyle w:val="27"/>
        <w:keepNext w:val="0"/>
        <w:keepLines w:val="0"/>
        <w:pageBreakBefore w:val="0"/>
        <w:widowControl/>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40"/>
          <w:szCs w:val="40"/>
          <w:highlight w:val="none"/>
        </w:rPr>
        <w:t>目录</w:t>
      </w:r>
    </w:p>
    <w:p w14:paraId="37460456">
      <w:pPr>
        <w:pStyle w:val="27"/>
        <w:tabs>
          <w:tab w:val="right" w:leader="dot" w:pos="8306"/>
          <w:tab w:val="clear" w:pos="8296"/>
        </w:tabs>
        <w:ind w:left="0" w:leftChars="0"/>
        <w:rPr>
          <w:rFonts w:hint="eastAsia" w:asciiTheme="minorEastAsia" w:hAnsiTheme="minorEastAsia" w:eastAsiaTheme="minorEastAsia" w:cstheme="minorEastAsia"/>
          <w:b w:val="0"/>
          <w:bCs w:val="0"/>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HYPERLINK \l _Toc28821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第一部分</w:t>
      </w:r>
      <w:r>
        <w:rPr>
          <w:rFonts w:hint="eastAsia" w:asciiTheme="minorEastAsia" w:hAnsiTheme="minorEastAsia" w:eastAsiaTheme="minorEastAsia" w:cstheme="minorEastAsia"/>
          <w:b w:val="0"/>
          <w:bCs w:val="0"/>
          <w:sz w:val="21"/>
          <w:szCs w:val="21"/>
          <w:highlight w:val="none"/>
          <w:lang w:val="en-US" w:eastAsia="zh-CN"/>
        </w:rPr>
        <w:t xml:space="preserve"> </w:t>
      </w:r>
      <w:r>
        <w:rPr>
          <w:rFonts w:hint="eastAsia" w:asciiTheme="minorEastAsia" w:hAnsiTheme="minorEastAsia" w:eastAsiaTheme="minorEastAsia" w:cstheme="minorEastAsia"/>
          <w:b w:val="0"/>
          <w:bCs w:val="0"/>
          <w:sz w:val="21"/>
          <w:szCs w:val="21"/>
          <w:highlight w:val="none"/>
        </w:rPr>
        <w:t>投标邀请</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PAGEREF _Toc28821 \h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5</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14:paraId="7A77530E">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_Toc30920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highlight w:val="none"/>
        </w:rPr>
        <w:t>投标邀请书</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_Toc30920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5</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43760B8E">
      <w:pPr>
        <w:pStyle w:val="27"/>
        <w:tabs>
          <w:tab w:val="right" w:leader="dot" w:pos="8306"/>
          <w:tab w:val="clear" w:pos="8296"/>
        </w:tabs>
        <w:ind w:left="0"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HYPERLINK \l _Toc25850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第二部分</w:t>
      </w:r>
      <w:r>
        <w:rPr>
          <w:rFonts w:hint="eastAsia" w:asciiTheme="minorEastAsia" w:hAnsiTheme="minorEastAsia" w:eastAsiaTheme="minorEastAsia" w:cstheme="minorEastAsia"/>
          <w:b w:val="0"/>
          <w:bCs w:val="0"/>
          <w:sz w:val="21"/>
          <w:szCs w:val="21"/>
          <w:highlight w:val="none"/>
          <w:lang w:val="en-US" w:eastAsia="zh-CN"/>
        </w:rPr>
        <w:t xml:space="preserve"> </w:t>
      </w:r>
      <w:r>
        <w:rPr>
          <w:rFonts w:hint="eastAsia" w:asciiTheme="minorEastAsia" w:hAnsiTheme="minorEastAsia" w:eastAsiaTheme="minorEastAsia" w:cstheme="minorEastAsia"/>
          <w:b w:val="0"/>
          <w:bCs w:val="0"/>
          <w:sz w:val="21"/>
          <w:szCs w:val="21"/>
          <w:highlight w:val="none"/>
        </w:rPr>
        <w:t>相关资料表格</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PAGEREF _Toc25850 \h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8</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14:paraId="74CC1EC3">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_Toc15539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附表一：投标资料表</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_Toc15539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8</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257218EB">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_Toc8329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附表二：《符合性</w:t>
      </w:r>
      <w:r>
        <w:rPr>
          <w:rFonts w:hint="eastAsia" w:asciiTheme="minorEastAsia" w:hAnsiTheme="minorEastAsia" w:eastAsiaTheme="minorEastAsia" w:cstheme="minorEastAsia"/>
          <w:b w:val="0"/>
          <w:bCs w:val="0"/>
          <w:szCs w:val="21"/>
          <w:highlight w:val="none"/>
          <w:lang w:val="en-US" w:eastAsia="zh-CN"/>
        </w:rPr>
        <w:t>检查</w:t>
      </w:r>
      <w:r>
        <w:rPr>
          <w:rFonts w:hint="eastAsia" w:asciiTheme="minorEastAsia" w:hAnsiTheme="minorEastAsia" w:eastAsiaTheme="minorEastAsia" w:cstheme="minorEastAsia"/>
          <w:b w:val="0"/>
          <w:bCs w:val="0"/>
          <w:szCs w:val="21"/>
          <w:highlight w:val="none"/>
        </w:rPr>
        <w:t>表》</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_Toc8329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12</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45D6FD92">
      <w:pPr>
        <w:pStyle w:val="27"/>
        <w:tabs>
          <w:tab w:val="right" w:leader="dot" w:pos="8306"/>
          <w:tab w:val="clear" w:pos="8296"/>
        </w:tabs>
        <w:ind w:left="0"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HYPERLINK \l _Toc13360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第三部分</w:t>
      </w:r>
      <w:r>
        <w:rPr>
          <w:rFonts w:hint="eastAsia" w:asciiTheme="minorEastAsia" w:hAnsiTheme="minorEastAsia" w:eastAsiaTheme="minorEastAsia" w:cstheme="minorEastAsia"/>
          <w:b w:val="0"/>
          <w:bCs w:val="0"/>
          <w:sz w:val="21"/>
          <w:szCs w:val="21"/>
          <w:highlight w:val="none"/>
          <w:lang w:val="en-US" w:eastAsia="zh-CN"/>
        </w:rPr>
        <w:t xml:space="preserve"> </w:t>
      </w:r>
      <w:r>
        <w:rPr>
          <w:rFonts w:hint="eastAsia" w:asciiTheme="minorEastAsia" w:hAnsiTheme="minorEastAsia" w:eastAsiaTheme="minorEastAsia" w:cstheme="minorEastAsia"/>
          <w:b w:val="0"/>
          <w:bCs w:val="0"/>
          <w:sz w:val="21"/>
          <w:szCs w:val="21"/>
          <w:highlight w:val="none"/>
        </w:rPr>
        <w:t>用户需求书</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PAGEREF _Toc13360 \h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14</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14:paraId="60030822">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_Toc31537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highlight w:val="none"/>
        </w:rPr>
        <w:t>第一章 商务需求书</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_Toc31537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14</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8C48106">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_Toc8705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highlight w:val="none"/>
        </w:rPr>
        <w:t>第二章 技术需求书</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_Toc8705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17</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1E7B7477">
      <w:pPr>
        <w:pStyle w:val="27"/>
        <w:tabs>
          <w:tab w:val="right" w:leader="dot" w:pos="8306"/>
          <w:tab w:val="clear" w:pos="8296"/>
        </w:tabs>
        <w:ind w:left="0"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HYPERLINK \l _Toc29961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第四部分</w:t>
      </w:r>
      <w:r>
        <w:rPr>
          <w:rFonts w:hint="eastAsia" w:asciiTheme="minorEastAsia" w:hAnsiTheme="minorEastAsia" w:eastAsiaTheme="minorEastAsia" w:cstheme="minorEastAsia"/>
          <w:b w:val="0"/>
          <w:bCs w:val="0"/>
          <w:sz w:val="21"/>
          <w:szCs w:val="21"/>
          <w:highlight w:val="none"/>
          <w:lang w:val="en-US" w:eastAsia="zh-CN"/>
        </w:rPr>
        <w:t xml:space="preserve"> </w:t>
      </w:r>
      <w:r>
        <w:rPr>
          <w:rFonts w:hint="eastAsia" w:asciiTheme="minorEastAsia" w:hAnsiTheme="minorEastAsia" w:eastAsiaTheme="minorEastAsia" w:cstheme="minorEastAsia"/>
          <w:b w:val="0"/>
          <w:bCs w:val="0"/>
          <w:sz w:val="21"/>
          <w:szCs w:val="21"/>
          <w:highlight w:val="none"/>
        </w:rPr>
        <w:t>投标人须知</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PAGEREF _Toc29961 \h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20</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14:paraId="5A2F2B1B">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_Toc13491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rPr>
        <w:t xml:space="preserve">一、 </w:t>
      </w:r>
      <w:r>
        <w:rPr>
          <w:rFonts w:hint="eastAsia" w:asciiTheme="minorEastAsia" w:hAnsiTheme="minorEastAsia" w:eastAsiaTheme="minorEastAsia" w:cstheme="minorEastAsia"/>
          <w:b w:val="0"/>
          <w:bCs w:val="0"/>
          <w:highlight w:val="none"/>
        </w:rPr>
        <w:t>说明</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_Toc13491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20</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5326E6DC">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_Toc24033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lang w:val="en-US" w:eastAsia="zh-CN" w:bidi="ar-SA"/>
        </w:rPr>
        <w:t>1.</w:t>
      </w:r>
      <w:r>
        <w:rPr>
          <w:rFonts w:hint="eastAsia" w:asciiTheme="minorEastAsia" w:hAnsiTheme="minorEastAsia" w:eastAsiaTheme="minorEastAsia" w:cstheme="minorEastAsia"/>
          <w:b w:val="0"/>
          <w:bCs w:val="0"/>
          <w:szCs w:val="21"/>
          <w:highlight w:val="none"/>
        </w:rPr>
        <w:t>适用范围</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_Toc24033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20</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1B7D7F76">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_Toc12935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2.</w:t>
      </w:r>
      <w:r>
        <w:rPr>
          <w:rFonts w:hint="eastAsia" w:asciiTheme="minorEastAsia" w:hAnsiTheme="minorEastAsia" w:eastAsiaTheme="minorEastAsia" w:cstheme="minorEastAsia"/>
          <w:b w:val="0"/>
          <w:bCs w:val="0"/>
          <w:szCs w:val="21"/>
          <w:highlight w:val="none"/>
        </w:rPr>
        <w:t>定义</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_Toc12935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20</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44BBB2B4">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_Toc27125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3.</w:t>
      </w:r>
      <w:r>
        <w:rPr>
          <w:rFonts w:hint="eastAsia" w:asciiTheme="minorEastAsia" w:hAnsiTheme="minorEastAsia" w:eastAsiaTheme="minorEastAsia" w:cstheme="minorEastAsia"/>
          <w:b w:val="0"/>
          <w:bCs w:val="0"/>
          <w:szCs w:val="21"/>
          <w:highlight w:val="none"/>
        </w:rPr>
        <w:t>货物和服务</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_Toc27125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20</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656A7A30">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_Toc29121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4.</w:t>
      </w:r>
      <w:r>
        <w:rPr>
          <w:rFonts w:hint="eastAsia" w:asciiTheme="minorEastAsia" w:hAnsiTheme="minorEastAsia" w:eastAsiaTheme="minorEastAsia" w:cstheme="minorEastAsia"/>
          <w:b w:val="0"/>
          <w:bCs w:val="0"/>
          <w:szCs w:val="21"/>
          <w:highlight w:val="none"/>
        </w:rPr>
        <w:t>投标费用</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_Toc29121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20</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22024AD">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_Toc9607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5.</w:t>
      </w:r>
      <w:r>
        <w:rPr>
          <w:rFonts w:hint="eastAsia" w:asciiTheme="minorEastAsia" w:hAnsiTheme="minorEastAsia" w:eastAsiaTheme="minorEastAsia" w:cstheme="minorEastAsia"/>
          <w:b w:val="0"/>
          <w:bCs w:val="0"/>
          <w:szCs w:val="21"/>
          <w:highlight w:val="none"/>
        </w:rPr>
        <w:t>知识产权</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_Toc9607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21</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57B3DACD">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_Toc26720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6.</w:t>
      </w:r>
      <w:r>
        <w:rPr>
          <w:rFonts w:hint="eastAsia" w:asciiTheme="minorEastAsia" w:hAnsiTheme="minorEastAsia" w:eastAsiaTheme="minorEastAsia" w:cstheme="minorEastAsia"/>
          <w:b w:val="0"/>
          <w:bCs w:val="0"/>
          <w:szCs w:val="21"/>
          <w:highlight w:val="none"/>
        </w:rPr>
        <w:t>关于联合体投标</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_Toc26720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21</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73CEDE05">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_Toc1603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7.</w:t>
      </w:r>
      <w:r>
        <w:rPr>
          <w:rFonts w:hint="eastAsia" w:asciiTheme="minorEastAsia" w:hAnsiTheme="minorEastAsia" w:eastAsiaTheme="minorEastAsia" w:cstheme="minorEastAsia"/>
          <w:b w:val="0"/>
          <w:bCs w:val="0"/>
          <w:szCs w:val="21"/>
          <w:highlight w:val="none"/>
        </w:rPr>
        <w:t>关于分支机构投标</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_Toc1603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22</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203EFEC">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_Toc13953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lang w:val="en-US" w:eastAsia="zh-CN" w:bidi="ar-SA"/>
        </w:rPr>
        <w:t>8.</w:t>
      </w:r>
      <w:r>
        <w:rPr>
          <w:rFonts w:hint="eastAsia" w:asciiTheme="minorEastAsia" w:hAnsiTheme="minorEastAsia" w:eastAsiaTheme="minorEastAsia" w:cstheme="minorEastAsia"/>
          <w:b w:val="0"/>
          <w:bCs w:val="0"/>
          <w:szCs w:val="21"/>
          <w:highlight w:val="none"/>
        </w:rPr>
        <w:t>踏勘现场</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_Toc13953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22</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19A4898A">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_Toc4226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rPr>
        <w:t xml:space="preserve">二、 </w:t>
      </w:r>
      <w:r>
        <w:rPr>
          <w:rFonts w:hint="eastAsia" w:asciiTheme="minorEastAsia" w:hAnsiTheme="minorEastAsia" w:eastAsiaTheme="minorEastAsia" w:cstheme="minorEastAsia"/>
          <w:b w:val="0"/>
          <w:bCs w:val="0"/>
          <w:highlight w:val="none"/>
        </w:rPr>
        <w:t>采购文件</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_Toc4226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22</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7E4AEBBE">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_Toc26882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9.</w:t>
      </w:r>
      <w:r>
        <w:rPr>
          <w:rFonts w:hint="eastAsia" w:asciiTheme="minorEastAsia" w:hAnsiTheme="minorEastAsia" w:eastAsiaTheme="minorEastAsia" w:cstheme="minorEastAsia"/>
          <w:b w:val="0"/>
          <w:bCs w:val="0"/>
          <w:szCs w:val="21"/>
          <w:highlight w:val="none"/>
        </w:rPr>
        <w:t>采购文件的组成</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_Toc26882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22</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2443EEA5">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_Toc30700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10.</w:t>
      </w:r>
      <w:r>
        <w:rPr>
          <w:rFonts w:hint="eastAsia" w:asciiTheme="minorEastAsia" w:hAnsiTheme="minorEastAsia" w:eastAsiaTheme="minorEastAsia" w:cstheme="minorEastAsia"/>
          <w:b w:val="0"/>
          <w:bCs w:val="0"/>
          <w:szCs w:val="21"/>
          <w:highlight w:val="none"/>
        </w:rPr>
        <w:t>采购文件的澄清或修改</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_Toc30700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22</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3CD23027">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_Toc24096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rPr>
        <w:t xml:space="preserve">三、 </w:t>
      </w:r>
      <w:r>
        <w:rPr>
          <w:rFonts w:hint="eastAsia" w:asciiTheme="minorEastAsia" w:hAnsiTheme="minorEastAsia" w:eastAsiaTheme="minorEastAsia" w:cstheme="minorEastAsia"/>
          <w:b w:val="0"/>
          <w:bCs w:val="0"/>
          <w:highlight w:val="none"/>
        </w:rPr>
        <w:t>投标文件的编制</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_Toc24096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23</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7D1CBC95">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_Toc7703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11.</w:t>
      </w:r>
      <w:r>
        <w:rPr>
          <w:rFonts w:hint="eastAsia" w:asciiTheme="minorEastAsia" w:hAnsiTheme="minorEastAsia" w:eastAsiaTheme="minorEastAsia" w:cstheme="minorEastAsia"/>
          <w:b w:val="0"/>
          <w:bCs w:val="0"/>
          <w:szCs w:val="21"/>
          <w:highlight w:val="none"/>
        </w:rPr>
        <w:t>投标文件的语言及度量衡单位</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_Toc7703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23</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A316DF8">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_Toc17448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12.</w:t>
      </w:r>
      <w:r>
        <w:rPr>
          <w:rFonts w:hint="eastAsia" w:asciiTheme="minorEastAsia" w:hAnsiTheme="minorEastAsia" w:eastAsiaTheme="minorEastAsia" w:cstheme="minorEastAsia"/>
          <w:b w:val="0"/>
          <w:bCs w:val="0"/>
          <w:szCs w:val="21"/>
          <w:highlight w:val="none"/>
        </w:rPr>
        <w:t>投标文件的组成</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_Toc17448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23</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BC69666">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_Toc9990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13.</w:t>
      </w:r>
      <w:r>
        <w:rPr>
          <w:rFonts w:hint="eastAsia" w:asciiTheme="minorEastAsia" w:hAnsiTheme="minorEastAsia" w:eastAsiaTheme="minorEastAsia" w:cstheme="minorEastAsia"/>
          <w:b w:val="0"/>
          <w:bCs w:val="0"/>
          <w:szCs w:val="21"/>
          <w:highlight w:val="none"/>
        </w:rPr>
        <w:t>投标文件编制</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_Toc9990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23</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E4A62BD">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_Toc10858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14.</w:t>
      </w:r>
      <w:r>
        <w:rPr>
          <w:rFonts w:hint="eastAsia" w:asciiTheme="minorEastAsia" w:hAnsiTheme="minorEastAsia" w:eastAsiaTheme="minorEastAsia" w:cstheme="minorEastAsia"/>
          <w:b w:val="0"/>
          <w:bCs w:val="0"/>
          <w:szCs w:val="21"/>
          <w:highlight w:val="none"/>
        </w:rPr>
        <w:t>投标报价说明</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_Toc10858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24</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1FCD8D6D">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_Toc23224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15.</w:t>
      </w:r>
      <w:r>
        <w:rPr>
          <w:rFonts w:hint="eastAsia" w:asciiTheme="minorEastAsia" w:hAnsiTheme="minorEastAsia" w:eastAsiaTheme="minorEastAsia" w:cstheme="minorEastAsia"/>
          <w:b w:val="0"/>
          <w:bCs w:val="0"/>
          <w:szCs w:val="21"/>
          <w:highlight w:val="none"/>
        </w:rPr>
        <w:t>投标人所提供的服务或货物的证明文件</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_Toc23224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24</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4D75310B">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_Toc7952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16.</w:t>
      </w:r>
      <w:r>
        <w:rPr>
          <w:rFonts w:hint="eastAsia" w:asciiTheme="minorEastAsia" w:hAnsiTheme="minorEastAsia" w:eastAsiaTheme="minorEastAsia" w:cstheme="minorEastAsia"/>
          <w:b w:val="0"/>
          <w:bCs w:val="0"/>
          <w:szCs w:val="21"/>
          <w:highlight w:val="none"/>
        </w:rPr>
        <w:t>投标有效期</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_Toc7952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24</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11CD651D">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_Toc26775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17.</w:t>
      </w:r>
      <w:r>
        <w:rPr>
          <w:rFonts w:hint="eastAsia" w:asciiTheme="minorEastAsia" w:hAnsiTheme="minorEastAsia" w:eastAsiaTheme="minorEastAsia" w:cstheme="minorEastAsia"/>
          <w:b w:val="0"/>
          <w:bCs w:val="0"/>
          <w:szCs w:val="21"/>
          <w:highlight w:val="none"/>
        </w:rPr>
        <w:t>投标保证金</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_Toc26775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24</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2F7CA38E">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_Toc16774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rPr>
        <w:t xml:space="preserve">四、 </w:t>
      </w:r>
      <w:r>
        <w:rPr>
          <w:rFonts w:hint="eastAsia" w:asciiTheme="minorEastAsia" w:hAnsiTheme="minorEastAsia" w:eastAsiaTheme="minorEastAsia" w:cstheme="minorEastAsia"/>
          <w:b w:val="0"/>
          <w:bCs w:val="0"/>
          <w:highlight w:val="none"/>
        </w:rPr>
        <w:t>投标文件的递交</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_Toc16774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25</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302102ED">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_Toc8167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18.</w:t>
      </w:r>
      <w:r>
        <w:rPr>
          <w:rFonts w:hint="eastAsia" w:asciiTheme="minorEastAsia" w:hAnsiTheme="minorEastAsia" w:eastAsiaTheme="minorEastAsia" w:cstheme="minorEastAsia"/>
          <w:b w:val="0"/>
          <w:bCs w:val="0"/>
          <w:szCs w:val="21"/>
          <w:highlight w:val="none"/>
        </w:rPr>
        <w:t>投标文件的装订，签署，密封和标记</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_Toc8167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25</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459277E7">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_Toc22631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19.</w:t>
      </w:r>
      <w:r>
        <w:rPr>
          <w:rFonts w:hint="eastAsia" w:asciiTheme="minorEastAsia" w:hAnsiTheme="minorEastAsia" w:eastAsiaTheme="minorEastAsia" w:cstheme="minorEastAsia"/>
          <w:b w:val="0"/>
          <w:bCs w:val="0"/>
          <w:szCs w:val="21"/>
          <w:highlight w:val="none"/>
        </w:rPr>
        <w:t>迟交的投标文件</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_Toc22631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27</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5274A6BB">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_Toc22292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20.</w:t>
      </w:r>
      <w:r>
        <w:rPr>
          <w:rFonts w:hint="eastAsia" w:asciiTheme="minorEastAsia" w:hAnsiTheme="minorEastAsia" w:eastAsiaTheme="minorEastAsia" w:cstheme="minorEastAsia"/>
          <w:b w:val="0"/>
          <w:bCs w:val="0"/>
          <w:szCs w:val="21"/>
          <w:highlight w:val="none"/>
        </w:rPr>
        <w:t>投标样品（如需提交）</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_Toc22292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27</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37BB3F5">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_Toc11650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21.</w:t>
      </w:r>
      <w:r>
        <w:rPr>
          <w:rFonts w:hint="eastAsia" w:asciiTheme="minorEastAsia" w:hAnsiTheme="minorEastAsia" w:eastAsiaTheme="minorEastAsia" w:cstheme="minorEastAsia"/>
          <w:b w:val="0"/>
          <w:bCs w:val="0"/>
          <w:szCs w:val="21"/>
          <w:highlight w:val="none"/>
        </w:rPr>
        <w:t>投标截止期</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_Toc11650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27</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0F21F8E">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_Toc2762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22.</w:t>
      </w:r>
      <w:r>
        <w:rPr>
          <w:rFonts w:hint="eastAsia" w:asciiTheme="minorEastAsia" w:hAnsiTheme="minorEastAsia" w:eastAsiaTheme="minorEastAsia" w:cstheme="minorEastAsia"/>
          <w:b w:val="0"/>
          <w:bCs w:val="0"/>
          <w:szCs w:val="21"/>
          <w:highlight w:val="none"/>
        </w:rPr>
        <w:t>投标文件的补充、修改与撤回</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_Toc2762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27</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3B744C0F">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_Toc2417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rPr>
        <w:t xml:space="preserve">五、 </w:t>
      </w:r>
      <w:r>
        <w:rPr>
          <w:rFonts w:hint="eastAsia" w:asciiTheme="minorEastAsia" w:hAnsiTheme="minorEastAsia" w:eastAsiaTheme="minorEastAsia" w:cstheme="minorEastAsia"/>
          <w:b w:val="0"/>
          <w:bCs w:val="0"/>
          <w:highlight w:val="none"/>
        </w:rPr>
        <w:t>开标与评标</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_Toc2417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28</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78BC78FD">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_Toc24942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23.</w:t>
      </w:r>
      <w:r>
        <w:rPr>
          <w:rFonts w:hint="eastAsia" w:asciiTheme="minorEastAsia" w:hAnsiTheme="minorEastAsia" w:eastAsiaTheme="minorEastAsia" w:cstheme="minorEastAsia"/>
          <w:b w:val="0"/>
          <w:bCs w:val="0"/>
          <w:szCs w:val="21"/>
          <w:highlight w:val="none"/>
        </w:rPr>
        <w:t>开标</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_Toc24942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28</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29E96C6E">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_Toc22350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24.</w:t>
      </w:r>
      <w:r>
        <w:rPr>
          <w:rFonts w:hint="eastAsia" w:asciiTheme="minorEastAsia" w:hAnsiTheme="minorEastAsia" w:eastAsiaTheme="minorEastAsia" w:cstheme="minorEastAsia"/>
          <w:b w:val="0"/>
          <w:bCs w:val="0"/>
          <w:szCs w:val="21"/>
          <w:highlight w:val="none"/>
        </w:rPr>
        <w:t>评标委员会及评标方法</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_Toc22350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28</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F46E7D4">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_Toc20245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25.</w:t>
      </w:r>
      <w:r>
        <w:rPr>
          <w:rFonts w:hint="eastAsia" w:asciiTheme="minorEastAsia" w:hAnsiTheme="minorEastAsia" w:eastAsiaTheme="minorEastAsia" w:cstheme="minorEastAsia"/>
          <w:b w:val="0"/>
          <w:bCs w:val="0"/>
          <w:szCs w:val="21"/>
          <w:highlight w:val="none"/>
        </w:rPr>
        <w:t>评审原则及评标过程的保密</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_Toc20245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29</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7D642F3">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_Toc8887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lang w:val="en-US" w:eastAsia="zh-CN" w:bidi="ar-SA"/>
        </w:rPr>
        <w:t>26.</w:t>
      </w:r>
      <w:r>
        <w:rPr>
          <w:rFonts w:hint="eastAsia" w:asciiTheme="minorEastAsia" w:hAnsiTheme="minorEastAsia" w:eastAsiaTheme="minorEastAsia" w:cstheme="minorEastAsia"/>
          <w:b w:val="0"/>
          <w:bCs w:val="0"/>
          <w:szCs w:val="21"/>
          <w:highlight w:val="none"/>
        </w:rPr>
        <w:t>评标程序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_Toc8887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29</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7A2A61D6">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_Toc24922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27.</w:t>
      </w:r>
      <w:r>
        <w:rPr>
          <w:rFonts w:hint="eastAsia" w:asciiTheme="minorEastAsia" w:hAnsiTheme="minorEastAsia" w:eastAsiaTheme="minorEastAsia" w:cstheme="minorEastAsia"/>
          <w:b w:val="0"/>
          <w:bCs w:val="0"/>
          <w:szCs w:val="21"/>
          <w:highlight w:val="none"/>
        </w:rPr>
        <w:t>纪律和保密事项</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_Toc24922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31</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5096E9FD">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_Toc31114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rPr>
        <w:t xml:space="preserve">六、 </w:t>
      </w:r>
      <w:r>
        <w:rPr>
          <w:rFonts w:hint="eastAsia" w:asciiTheme="minorEastAsia" w:hAnsiTheme="minorEastAsia" w:eastAsiaTheme="minorEastAsia" w:cstheme="minorEastAsia"/>
          <w:b w:val="0"/>
          <w:bCs w:val="0"/>
          <w:highlight w:val="none"/>
        </w:rPr>
        <w:t>授予合同</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_Toc31114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31</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CA882BE">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_Toc29350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28.</w:t>
      </w:r>
      <w:r>
        <w:rPr>
          <w:rFonts w:hint="eastAsia" w:asciiTheme="minorEastAsia" w:hAnsiTheme="minorEastAsia" w:eastAsiaTheme="minorEastAsia" w:cstheme="minorEastAsia"/>
          <w:b w:val="0"/>
          <w:bCs w:val="0"/>
          <w:szCs w:val="21"/>
          <w:highlight w:val="none"/>
        </w:rPr>
        <w:t>合同授予标准</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_Toc29350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31</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6B5A5335">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_Toc18559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29.</w:t>
      </w:r>
      <w:r>
        <w:rPr>
          <w:rFonts w:hint="eastAsia" w:asciiTheme="minorEastAsia" w:hAnsiTheme="minorEastAsia" w:eastAsiaTheme="minorEastAsia" w:cstheme="minorEastAsia"/>
          <w:b w:val="0"/>
          <w:bCs w:val="0"/>
          <w:szCs w:val="21"/>
          <w:highlight w:val="none"/>
        </w:rPr>
        <w:t>发布中标结果</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_Toc18559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32</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1B8D13A">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_Toc12509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30.</w:t>
      </w:r>
      <w:r>
        <w:rPr>
          <w:rFonts w:hint="eastAsia" w:asciiTheme="minorEastAsia" w:hAnsiTheme="minorEastAsia" w:eastAsiaTheme="minorEastAsia" w:cstheme="minorEastAsia"/>
          <w:b w:val="0"/>
          <w:bCs w:val="0"/>
          <w:szCs w:val="21"/>
          <w:highlight w:val="none"/>
        </w:rPr>
        <w:t>资格后审</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_Toc12509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32</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1452520A">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_Toc29107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31.</w:t>
      </w:r>
      <w:r>
        <w:rPr>
          <w:rFonts w:hint="eastAsia" w:asciiTheme="minorEastAsia" w:hAnsiTheme="minorEastAsia" w:eastAsiaTheme="minorEastAsia" w:cstheme="minorEastAsia"/>
          <w:b w:val="0"/>
          <w:bCs w:val="0"/>
          <w:szCs w:val="21"/>
          <w:highlight w:val="none"/>
        </w:rPr>
        <w:t>合同的签订与履行</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_Toc29107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32</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96AF347">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_Toc23117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32.</w:t>
      </w:r>
      <w:r>
        <w:rPr>
          <w:rFonts w:hint="eastAsia" w:asciiTheme="minorEastAsia" w:hAnsiTheme="minorEastAsia" w:eastAsiaTheme="minorEastAsia" w:cstheme="minorEastAsia"/>
          <w:b w:val="0"/>
          <w:bCs w:val="0"/>
          <w:szCs w:val="21"/>
          <w:highlight w:val="none"/>
        </w:rPr>
        <w:t>履约担保</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_Toc23117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33</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4D579094">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_Toc5214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33.</w:t>
      </w:r>
      <w:r>
        <w:rPr>
          <w:rFonts w:hint="eastAsia" w:asciiTheme="minorEastAsia" w:hAnsiTheme="minorEastAsia" w:eastAsiaTheme="minorEastAsia" w:cstheme="minorEastAsia"/>
          <w:b w:val="0"/>
          <w:bCs w:val="0"/>
          <w:szCs w:val="21"/>
          <w:highlight w:val="none"/>
        </w:rPr>
        <w:t>预付款保函（适用于预付款支付）</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_Toc5214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34</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59E735BF">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_Toc27393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rPr>
        <w:t xml:space="preserve">七、 </w:t>
      </w:r>
      <w:r>
        <w:rPr>
          <w:rFonts w:hint="eastAsia" w:asciiTheme="minorEastAsia" w:hAnsiTheme="minorEastAsia" w:eastAsiaTheme="minorEastAsia" w:cstheme="minorEastAsia"/>
          <w:b w:val="0"/>
          <w:bCs w:val="0"/>
          <w:highlight w:val="none"/>
        </w:rPr>
        <w:t>异议</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_Toc27393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34</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6ADF236C">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_Toc30528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34.</w:t>
      </w:r>
      <w:r>
        <w:rPr>
          <w:rFonts w:hint="eastAsia" w:asciiTheme="minorEastAsia" w:hAnsiTheme="minorEastAsia" w:eastAsiaTheme="minorEastAsia" w:cstheme="minorEastAsia"/>
          <w:b w:val="0"/>
          <w:bCs w:val="0"/>
          <w:szCs w:val="21"/>
          <w:highlight w:val="none"/>
        </w:rPr>
        <w:t>异议</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_Toc30528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34</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74E3065C">
      <w:pPr>
        <w:pStyle w:val="17"/>
        <w:tabs>
          <w:tab w:val="right" w:leader="dot" w:pos="8306"/>
          <w:tab w:val="clear" w:pos="8296"/>
        </w:tabs>
        <w:ind w:left="0" w:leftChars="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_Toc1531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rPr>
        <w:t xml:space="preserve">八、 </w:t>
      </w:r>
      <w:r>
        <w:rPr>
          <w:rFonts w:hint="eastAsia" w:asciiTheme="minorEastAsia" w:hAnsiTheme="minorEastAsia" w:eastAsiaTheme="minorEastAsia" w:cstheme="minorEastAsia"/>
          <w:b w:val="0"/>
          <w:bCs w:val="0"/>
          <w:highlight w:val="none"/>
        </w:rPr>
        <w:t>其他</w:t>
      </w:r>
      <w:r>
        <w:rPr>
          <w:rFonts w:hint="eastAsia" w:asciiTheme="minorEastAsia" w:hAnsiTheme="minorEastAsia" w:eastAsiaTheme="minorEastAsia" w:cstheme="minorEastAsia"/>
          <w:b w:val="0"/>
          <w:bCs w:val="0"/>
        </w:rPr>
        <w:tab/>
      </w: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PAGEREF _Toc1531 \h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rPr>
        <w:t>35</w:t>
      </w:r>
      <w:r>
        <w:rPr>
          <w:rFonts w:hint="eastAsia" w:asciiTheme="minorEastAsia" w:hAnsiTheme="minorEastAsia" w:eastAsiaTheme="minorEastAsia" w:cstheme="minorEastAsia"/>
          <w:b w:val="0"/>
          <w:bCs w:val="0"/>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53229B7D">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_Toc21398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vanish/>
          <w:szCs w:val="21"/>
          <w:lang w:val="en-US" w:eastAsia="zh-CN" w:bidi="ar-SA"/>
        </w:rPr>
        <w:t>35.</w:t>
      </w:r>
      <w:r>
        <w:rPr>
          <w:rFonts w:hint="eastAsia" w:asciiTheme="minorEastAsia" w:hAnsiTheme="minorEastAsia" w:eastAsiaTheme="minorEastAsia" w:cstheme="minorEastAsia"/>
          <w:b w:val="0"/>
          <w:bCs w:val="0"/>
          <w:szCs w:val="21"/>
          <w:highlight w:val="none"/>
        </w:rPr>
        <w:t>采购文件的解释权</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_Toc21398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35</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1040B651">
      <w:pPr>
        <w:pStyle w:val="27"/>
        <w:tabs>
          <w:tab w:val="right" w:leader="dot" w:pos="8306"/>
          <w:tab w:val="clear" w:pos="8296"/>
        </w:tabs>
        <w:ind w:left="0"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HYPERLINK \l _Toc214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lang w:val="en-US" w:eastAsia="zh-CN" w:bidi="ar-SA"/>
        </w:rPr>
        <w:t xml:space="preserve">第五部分 </w:t>
      </w:r>
      <w:r>
        <w:rPr>
          <w:rFonts w:hint="eastAsia" w:asciiTheme="minorEastAsia" w:hAnsiTheme="minorEastAsia" w:eastAsiaTheme="minorEastAsia" w:cstheme="minorEastAsia"/>
          <w:b w:val="0"/>
          <w:bCs w:val="0"/>
          <w:sz w:val="21"/>
          <w:szCs w:val="21"/>
          <w:highlight w:val="none"/>
        </w:rPr>
        <w:t>合同条款格式</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PAGEREF _Toc214 \h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36</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14:paraId="12D483E3">
      <w:pPr>
        <w:pStyle w:val="27"/>
        <w:tabs>
          <w:tab w:val="right" w:leader="dot" w:pos="8306"/>
          <w:tab w:val="clear" w:pos="8296"/>
        </w:tabs>
        <w:ind w:left="0"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HYPERLINK \l _Toc27792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第六部分</w:t>
      </w:r>
      <w:r>
        <w:rPr>
          <w:rFonts w:hint="eastAsia" w:asciiTheme="minorEastAsia" w:hAnsiTheme="minorEastAsia" w:eastAsiaTheme="minorEastAsia" w:cstheme="minorEastAsia"/>
          <w:b w:val="0"/>
          <w:bCs w:val="0"/>
          <w:sz w:val="21"/>
          <w:szCs w:val="21"/>
          <w:highlight w:val="none"/>
          <w:lang w:val="en-US" w:eastAsia="zh-CN"/>
        </w:rPr>
        <w:t xml:space="preserve"> </w:t>
      </w:r>
      <w:r>
        <w:rPr>
          <w:rFonts w:hint="eastAsia" w:asciiTheme="minorEastAsia" w:hAnsiTheme="minorEastAsia" w:eastAsiaTheme="minorEastAsia" w:cstheme="minorEastAsia"/>
          <w:b w:val="0"/>
          <w:bCs w:val="0"/>
          <w:sz w:val="21"/>
          <w:szCs w:val="21"/>
          <w:highlight w:val="none"/>
        </w:rPr>
        <w:t>附件－投标文件格式</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PAGEREF _Toc27792 \h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49</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14:paraId="666E79DA">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_Toc28129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投标文件目录</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_Toc28129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49</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12A93F6C">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_Toc32674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评分标准索引表</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_Toc32674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50</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6A03920E">
      <w:pPr>
        <w:pStyle w:val="27"/>
        <w:tabs>
          <w:tab w:val="right" w:leader="dot" w:pos="8306"/>
          <w:tab w:val="clear" w:pos="8296"/>
        </w:tabs>
        <w:ind w:left="0"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HYPERLINK \l _Toc8119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lang w:val="en-US" w:eastAsia="zh-CN"/>
        </w:rPr>
        <w:t>价格</w:t>
      </w:r>
      <w:r>
        <w:rPr>
          <w:rFonts w:hint="eastAsia" w:asciiTheme="minorEastAsia" w:hAnsiTheme="minorEastAsia" w:eastAsiaTheme="minorEastAsia" w:cstheme="minorEastAsia"/>
          <w:b w:val="0"/>
          <w:bCs w:val="0"/>
          <w:sz w:val="21"/>
          <w:szCs w:val="21"/>
          <w:highlight w:val="none"/>
        </w:rPr>
        <w:t>文件</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PAGEREF _Toc8119 \h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51</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14:paraId="7C8B85C2">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_Toc15393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1</w:t>
      </w:r>
      <w:r>
        <w:rPr>
          <w:rFonts w:hint="eastAsia" w:asciiTheme="minorEastAsia" w:hAnsiTheme="minorEastAsia" w:eastAsiaTheme="minorEastAsia" w:cstheme="minorEastAsia"/>
          <w:b w:val="0"/>
          <w:bCs w:val="0"/>
          <w:szCs w:val="21"/>
          <w:highlight w:val="none"/>
        </w:rPr>
        <w:t>.开标格式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_Toc15393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52</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7AE3E48">
      <w:pPr>
        <w:pStyle w:val="27"/>
        <w:tabs>
          <w:tab w:val="right" w:leader="dot" w:pos="8306"/>
          <w:tab w:val="clear" w:pos="8296"/>
        </w:tabs>
        <w:ind w:left="0"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HYPERLINK \l _Toc15062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商务文件</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PAGEREF _Toc15062 \h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54</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14:paraId="7ACDBBDA">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_Toc9486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2</w:t>
      </w:r>
      <w:r>
        <w:rPr>
          <w:rFonts w:hint="eastAsia" w:asciiTheme="minorEastAsia" w:hAnsiTheme="minorEastAsia" w:eastAsiaTheme="minorEastAsia" w:cstheme="minorEastAsia"/>
          <w:b w:val="0"/>
          <w:bCs w:val="0"/>
          <w:szCs w:val="21"/>
          <w:highlight w:val="none"/>
        </w:rPr>
        <w:t>.投标书格式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_Toc9486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55</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60727621">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_Toc19662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3</w:t>
      </w:r>
      <w:r>
        <w:rPr>
          <w:rFonts w:hint="eastAsia" w:asciiTheme="minorEastAsia" w:hAnsiTheme="minorEastAsia" w:eastAsiaTheme="minorEastAsia" w:cstheme="minorEastAsia"/>
          <w:b w:val="0"/>
          <w:bCs w:val="0"/>
          <w:szCs w:val="21"/>
          <w:highlight w:val="none"/>
        </w:rPr>
        <w:t>. 法定代表人证明书格式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_Toc19662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56</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2115D1BD">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_Toc5634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4</w:t>
      </w:r>
      <w:r>
        <w:rPr>
          <w:rFonts w:hint="eastAsia" w:asciiTheme="minorEastAsia" w:hAnsiTheme="minorEastAsia" w:eastAsiaTheme="minorEastAsia" w:cstheme="minorEastAsia"/>
          <w:b w:val="0"/>
          <w:bCs w:val="0"/>
          <w:szCs w:val="21"/>
          <w:highlight w:val="none"/>
        </w:rPr>
        <w:t>.法定代表人授权书格式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_Toc5634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57</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22524198">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_Toc24057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5</w:t>
      </w:r>
      <w:r>
        <w:rPr>
          <w:rFonts w:hint="eastAsia" w:asciiTheme="minorEastAsia" w:hAnsiTheme="minorEastAsia" w:eastAsiaTheme="minorEastAsia" w:cstheme="minorEastAsia"/>
          <w:b w:val="0"/>
          <w:bCs w:val="0"/>
          <w:szCs w:val="21"/>
          <w:highlight w:val="none"/>
        </w:rPr>
        <w:t>.资格申明</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_Toc24057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58</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1C03AE1D">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_Toc11404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6</w:t>
      </w:r>
      <w:r>
        <w:rPr>
          <w:rFonts w:hint="eastAsia" w:asciiTheme="minorEastAsia" w:hAnsiTheme="minorEastAsia" w:eastAsiaTheme="minorEastAsia" w:cstheme="minorEastAsia"/>
          <w:b w:val="0"/>
          <w:bCs w:val="0"/>
          <w:szCs w:val="21"/>
          <w:highlight w:val="none"/>
        </w:rPr>
        <w:t>.营业执照</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_Toc11404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59</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7E4BE6BC">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_Toc23003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7</w:t>
      </w:r>
      <w:r>
        <w:rPr>
          <w:rFonts w:hint="eastAsia" w:asciiTheme="minorEastAsia" w:hAnsiTheme="minorEastAsia" w:eastAsiaTheme="minorEastAsia" w:cstheme="minorEastAsia"/>
          <w:b w:val="0"/>
          <w:bCs w:val="0"/>
          <w:szCs w:val="21"/>
          <w:highlight w:val="none"/>
        </w:rPr>
        <w:t>.相关资质证明文件</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_Toc23003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60</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1C042B47">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_Toc8587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8</w:t>
      </w:r>
      <w:r>
        <w:rPr>
          <w:rFonts w:hint="eastAsia" w:asciiTheme="minorEastAsia" w:hAnsiTheme="minorEastAsia" w:eastAsiaTheme="minorEastAsia" w:cstheme="minorEastAsia"/>
          <w:b w:val="0"/>
          <w:bCs w:val="0"/>
          <w:szCs w:val="21"/>
          <w:highlight w:val="none"/>
        </w:rPr>
        <w:t>.在经营活动中没有重大违法记录的书面声明格式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_Toc8587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61</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637333A8">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_Toc19352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9</w:t>
      </w:r>
      <w:r>
        <w:rPr>
          <w:rFonts w:hint="eastAsia" w:asciiTheme="minorEastAsia" w:hAnsiTheme="minorEastAsia" w:eastAsiaTheme="minorEastAsia" w:cstheme="minorEastAsia"/>
          <w:b w:val="0"/>
          <w:bCs w:val="0"/>
          <w:szCs w:val="21"/>
          <w:highlight w:val="none"/>
        </w:rPr>
        <w:t>.承诺书格式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_Toc19352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62</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2733EE69">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_Toc14917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附件1</w:t>
      </w:r>
      <w:r>
        <w:rPr>
          <w:rFonts w:hint="eastAsia" w:asciiTheme="minorEastAsia" w:hAnsiTheme="minorEastAsia" w:eastAsiaTheme="minorEastAsia" w:cstheme="minorEastAsia"/>
          <w:b w:val="0"/>
          <w:bCs w:val="0"/>
          <w:szCs w:val="21"/>
          <w:highlight w:val="none"/>
          <w:lang w:val="en-US" w:eastAsia="zh-CN"/>
        </w:rPr>
        <w:t>0</w:t>
      </w:r>
      <w:r>
        <w:rPr>
          <w:rFonts w:hint="eastAsia" w:asciiTheme="minorEastAsia" w:hAnsiTheme="minorEastAsia" w:eastAsiaTheme="minorEastAsia" w:cstheme="minorEastAsia"/>
          <w:b w:val="0"/>
          <w:bCs w:val="0"/>
          <w:szCs w:val="21"/>
          <w:highlight w:val="none"/>
        </w:rPr>
        <w:t>.商务需求条款偏离表格式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_Toc14917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63</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57D28628">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_Toc5936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附件1</w:t>
      </w:r>
      <w:r>
        <w:rPr>
          <w:rFonts w:hint="eastAsia" w:asciiTheme="minorEastAsia" w:hAnsiTheme="minorEastAsia" w:eastAsiaTheme="minorEastAsia" w:cstheme="minorEastAsia"/>
          <w:b w:val="0"/>
          <w:bCs w:val="0"/>
          <w:szCs w:val="21"/>
          <w:highlight w:val="none"/>
          <w:lang w:val="en-US" w:eastAsia="zh-CN"/>
        </w:rPr>
        <w:t>1</w:t>
      </w:r>
      <w:r>
        <w:rPr>
          <w:rFonts w:hint="eastAsia" w:asciiTheme="minorEastAsia" w:hAnsiTheme="minorEastAsia" w:eastAsiaTheme="minorEastAsia" w:cstheme="minorEastAsia"/>
          <w:b w:val="0"/>
          <w:bCs w:val="0"/>
          <w:szCs w:val="21"/>
          <w:highlight w:val="none"/>
        </w:rPr>
        <w:t>.业绩表</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_Toc5936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64</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2011C4AC">
      <w:pPr>
        <w:pStyle w:val="27"/>
        <w:tabs>
          <w:tab w:val="right" w:leader="dot" w:pos="8306"/>
          <w:tab w:val="clear" w:pos="8296"/>
        </w:tabs>
        <w:ind w:left="0"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HYPERLINK \l _Toc30539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技术文件</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PAGEREF _Toc30539 \h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65</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14:paraId="11FF6001">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_Toc23889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12</w:t>
      </w:r>
      <w:r>
        <w:rPr>
          <w:rFonts w:hint="eastAsia" w:asciiTheme="minorEastAsia" w:hAnsiTheme="minorEastAsia" w:eastAsiaTheme="minorEastAsia" w:cstheme="minorEastAsia"/>
          <w:b w:val="0"/>
          <w:bCs w:val="0"/>
          <w:szCs w:val="21"/>
          <w:highlight w:val="none"/>
        </w:rPr>
        <w:t>. 技术规格偏离表格式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_Toc23889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66</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50400775">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_Toc5997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13.</w:t>
      </w:r>
      <w:r>
        <w:rPr>
          <w:rFonts w:hint="eastAsia" w:asciiTheme="minorEastAsia" w:hAnsiTheme="minorEastAsia" w:eastAsiaTheme="minorEastAsia" w:cstheme="minorEastAsia"/>
          <w:b w:val="0"/>
          <w:bCs w:val="0"/>
          <w:kern w:val="0"/>
          <w:szCs w:val="21"/>
          <w:highlight w:val="none"/>
        </w:rPr>
        <w:t>实质性条款（★号条款）响应一览表</w:t>
      </w:r>
      <w:r>
        <w:rPr>
          <w:rFonts w:hint="eastAsia" w:asciiTheme="minorEastAsia" w:hAnsiTheme="minorEastAsia" w:eastAsiaTheme="minorEastAsia" w:cstheme="minorEastAsia"/>
          <w:b w:val="0"/>
          <w:bCs w:val="0"/>
          <w:kern w:val="0"/>
          <w:szCs w:val="21"/>
          <w:highlight w:val="none"/>
          <w:lang w:val="en-US" w:eastAsia="zh-CN"/>
        </w:rPr>
        <w:t>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_Toc5997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67</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38FBD9F3">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_Toc26368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14</w:t>
      </w:r>
      <w:r>
        <w:rPr>
          <w:rFonts w:hint="eastAsia" w:asciiTheme="minorEastAsia" w:hAnsiTheme="minorEastAsia" w:eastAsiaTheme="minorEastAsia" w:cstheme="minorEastAsia"/>
          <w:b w:val="0"/>
          <w:bCs w:val="0"/>
          <w:szCs w:val="21"/>
          <w:highlight w:val="none"/>
        </w:rPr>
        <w:t>.项目实施方案格式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_Toc26368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68</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77FDAE83">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_Toc30530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附件1</w:t>
      </w:r>
      <w:r>
        <w:rPr>
          <w:rFonts w:hint="eastAsia" w:asciiTheme="minorEastAsia" w:hAnsiTheme="minorEastAsia" w:eastAsiaTheme="minorEastAsia" w:cstheme="minorEastAsia"/>
          <w:b w:val="0"/>
          <w:bCs w:val="0"/>
          <w:szCs w:val="21"/>
          <w:highlight w:val="none"/>
          <w:lang w:val="en-US" w:eastAsia="zh-CN"/>
        </w:rPr>
        <w:t>5</w:t>
      </w:r>
      <w:r>
        <w:rPr>
          <w:rFonts w:hint="eastAsia" w:asciiTheme="minorEastAsia" w:hAnsiTheme="minorEastAsia" w:eastAsiaTheme="minorEastAsia" w:cstheme="minorEastAsia"/>
          <w:b w:val="0"/>
          <w:bCs w:val="0"/>
          <w:szCs w:val="21"/>
          <w:highlight w:val="none"/>
        </w:rPr>
        <w:t>.实施本项目的有关人员资料表格式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_Toc30530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69</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79418FC5">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_Toc8055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附件1</w:t>
      </w:r>
      <w:r>
        <w:rPr>
          <w:rFonts w:hint="eastAsia" w:asciiTheme="minorEastAsia" w:hAnsiTheme="minorEastAsia" w:eastAsiaTheme="minorEastAsia" w:cstheme="minorEastAsia"/>
          <w:b w:val="0"/>
          <w:bCs w:val="0"/>
          <w:szCs w:val="21"/>
          <w:highlight w:val="none"/>
          <w:lang w:val="en-US" w:eastAsia="zh-CN"/>
        </w:rPr>
        <w:t>6</w:t>
      </w:r>
      <w:r>
        <w:rPr>
          <w:rFonts w:hint="eastAsia" w:asciiTheme="minorEastAsia" w:hAnsiTheme="minorEastAsia" w:eastAsiaTheme="minorEastAsia" w:cstheme="minorEastAsia"/>
          <w:b w:val="0"/>
          <w:bCs w:val="0"/>
          <w:szCs w:val="21"/>
          <w:highlight w:val="none"/>
        </w:rPr>
        <w:t>.投标保证金汇入情况说明格式</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_Toc8055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70</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670D0F97">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_Toc23066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rPr>
        <w:t>1</w:t>
      </w:r>
      <w:r>
        <w:rPr>
          <w:rFonts w:hint="eastAsia" w:asciiTheme="minorEastAsia" w:hAnsiTheme="minorEastAsia" w:eastAsiaTheme="minorEastAsia" w:cstheme="minorEastAsia"/>
          <w:b w:val="0"/>
          <w:bCs w:val="0"/>
          <w:szCs w:val="21"/>
          <w:highlight w:val="none"/>
          <w:lang w:val="en-US" w:eastAsia="zh-CN"/>
        </w:rPr>
        <w:t>7</w:t>
      </w:r>
      <w:r>
        <w:rPr>
          <w:rFonts w:hint="eastAsia" w:asciiTheme="minorEastAsia" w:hAnsiTheme="minorEastAsia" w:eastAsiaTheme="minorEastAsia" w:cstheme="minorEastAsia"/>
          <w:b w:val="0"/>
          <w:bCs w:val="0"/>
          <w:szCs w:val="21"/>
          <w:highlight w:val="none"/>
        </w:rPr>
        <w:t>.不可撤销履约保函</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_Toc23066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72</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AD72F39">
      <w:pPr>
        <w:pStyle w:val="24"/>
        <w:tabs>
          <w:tab w:val="right" w:leader="dot" w:pos="8306"/>
          <w:tab w:val="clear" w:pos="8296"/>
        </w:tabs>
        <w:ind w:left="0" w:leftChars="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_Toc5594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18</w:t>
      </w:r>
      <w:r>
        <w:rPr>
          <w:rFonts w:hint="eastAsia" w:asciiTheme="minorEastAsia" w:hAnsiTheme="minorEastAsia" w:eastAsiaTheme="minorEastAsia" w:cstheme="minorEastAsia"/>
          <w:b w:val="0"/>
          <w:bCs w:val="0"/>
          <w:szCs w:val="21"/>
          <w:highlight w:val="none"/>
        </w:rPr>
        <w:t>.预付款保函（适用于预付款支付）</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_Toc5594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73</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535FB282">
      <w:pPr>
        <w:pStyle w:val="27"/>
        <w:tabs>
          <w:tab w:val="right" w:leader="dot" w:pos="8306"/>
          <w:tab w:val="clear" w:pos="8296"/>
        </w:tabs>
        <w:ind w:left="0" w:lef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sz w:val="21"/>
          <w:szCs w:val="21"/>
          <w:highlight w:val="none"/>
        </w:rPr>
        <w:instrText xml:space="preserve"> HYPERLINK \l _Toc20304 </w:instrText>
      </w:r>
      <w:r>
        <w:rPr>
          <w:rFonts w:hint="eastAsia" w:asciiTheme="minorEastAsia" w:hAnsiTheme="minorEastAsia" w:eastAsiaTheme="minorEastAsia" w:cstheme="minorEastAsia"/>
          <w:b w:val="0"/>
          <w:bCs w:val="0"/>
          <w:sz w:val="21"/>
          <w:szCs w:val="21"/>
          <w:highlight w:val="none"/>
        </w:rPr>
        <w:fldChar w:fldCharType="separate"/>
      </w:r>
      <w:r>
        <w:rPr>
          <w:rFonts w:hint="eastAsia" w:asciiTheme="minorEastAsia" w:hAnsiTheme="minorEastAsia" w:eastAsiaTheme="minorEastAsia" w:cstheme="minorEastAsia"/>
          <w:b w:val="0"/>
          <w:bCs w:val="0"/>
          <w:sz w:val="21"/>
          <w:szCs w:val="21"/>
          <w:highlight w:val="none"/>
        </w:rPr>
        <w:t>唱标信封</w:t>
      </w: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PAGEREF _Toc20304 \h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74</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14:paraId="109B193A">
      <w:pPr>
        <w:pStyle w:val="24"/>
        <w:tabs>
          <w:tab w:val="right" w:leader="dot" w:pos="8306"/>
          <w:tab w:val="clear" w:pos="8296"/>
        </w:tabs>
        <w:ind w:left="0" w:leftChars="0"/>
      </w:pPr>
      <w:r>
        <w:rPr>
          <w:rFonts w:hint="eastAsia" w:asciiTheme="minorEastAsia" w:hAnsiTheme="minorEastAsia" w:eastAsiaTheme="minorEastAsia" w:cstheme="minorEastAsia"/>
          <w:b w:val="0"/>
          <w:bCs w:val="0"/>
          <w:color w:val="auto"/>
          <w:szCs w:val="21"/>
          <w:highlight w:val="none"/>
        </w:rPr>
        <w:fldChar w:fldCharType="begin"/>
      </w:r>
      <w:r>
        <w:rPr>
          <w:rFonts w:hint="eastAsia" w:asciiTheme="minorEastAsia" w:hAnsiTheme="minorEastAsia" w:eastAsiaTheme="minorEastAsia" w:cstheme="minorEastAsia"/>
          <w:b w:val="0"/>
          <w:bCs w:val="0"/>
          <w:szCs w:val="21"/>
          <w:highlight w:val="none"/>
        </w:rPr>
        <w:instrText xml:space="preserve"> HYPERLINK \l _Toc3512 </w:instrText>
      </w:r>
      <w:r>
        <w:rPr>
          <w:rFonts w:hint="eastAsia" w:asciiTheme="minorEastAsia" w:hAnsiTheme="minorEastAsia" w:eastAsiaTheme="minorEastAsia" w:cstheme="minorEastAsia"/>
          <w:b w:val="0"/>
          <w:bCs w:val="0"/>
          <w:szCs w:val="21"/>
          <w:highlight w:val="none"/>
        </w:rPr>
        <w:fldChar w:fldCharType="separate"/>
      </w:r>
      <w:r>
        <w:rPr>
          <w:rFonts w:hint="eastAsia" w:asciiTheme="minorEastAsia" w:hAnsiTheme="minorEastAsia" w:eastAsiaTheme="minorEastAsia" w:cstheme="minorEastAsia"/>
          <w:b w:val="0"/>
          <w:bCs w:val="0"/>
          <w:szCs w:val="21"/>
          <w:highlight w:val="none"/>
        </w:rPr>
        <w:t>附件</w:t>
      </w:r>
      <w:r>
        <w:rPr>
          <w:rFonts w:hint="eastAsia" w:asciiTheme="minorEastAsia" w:hAnsiTheme="minorEastAsia" w:eastAsiaTheme="minorEastAsia" w:cstheme="minorEastAsia"/>
          <w:b w:val="0"/>
          <w:bCs w:val="0"/>
          <w:szCs w:val="21"/>
          <w:highlight w:val="none"/>
          <w:lang w:val="en-US" w:eastAsia="zh-CN"/>
        </w:rPr>
        <w:t>19</w:t>
      </w:r>
      <w:r>
        <w:rPr>
          <w:rFonts w:hint="eastAsia" w:asciiTheme="minorEastAsia" w:hAnsiTheme="minorEastAsia" w:eastAsiaTheme="minorEastAsia" w:cstheme="minorEastAsia"/>
          <w:b w:val="0"/>
          <w:bCs w:val="0"/>
          <w:szCs w:val="21"/>
          <w:highlight w:val="none"/>
        </w:rPr>
        <w:t>.唱标信封内装（内容务必与投标文件正本一致）</w:t>
      </w:r>
      <w:r>
        <w:rPr>
          <w:rFonts w:hint="eastAsia" w:asciiTheme="minorEastAsia" w:hAnsiTheme="minorEastAsia" w:eastAsiaTheme="minorEastAsia" w:cstheme="minorEastAsia"/>
          <w:b w:val="0"/>
          <w:bCs w:val="0"/>
          <w:szCs w:val="21"/>
        </w:rPr>
        <w:tab/>
      </w:r>
      <w:r>
        <w:rPr>
          <w:rFonts w:hint="eastAsia" w:asciiTheme="minorEastAsia" w:hAnsiTheme="minorEastAsia" w:eastAsiaTheme="minorEastAsia" w:cstheme="minorEastAsia"/>
          <w:b w:val="0"/>
          <w:bCs w:val="0"/>
          <w:szCs w:val="21"/>
        </w:rPr>
        <w:fldChar w:fldCharType="begin"/>
      </w:r>
      <w:r>
        <w:rPr>
          <w:rFonts w:hint="eastAsia" w:asciiTheme="minorEastAsia" w:hAnsiTheme="minorEastAsia" w:eastAsiaTheme="minorEastAsia" w:cstheme="minorEastAsia"/>
          <w:b w:val="0"/>
          <w:bCs w:val="0"/>
          <w:szCs w:val="21"/>
        </w:rPr>
        <w:instrText xml:space="preserve"> PAGEREF _Toc3512 \h </w:instrText>
      </w:r>
      <w:r>
        <w:rPr>
          <w:rFonts w:hint="eastAsia" w:asciiTheme="minorEastAsia" w:hAnsiTheme="minorEastAsia" w:eastAsiaTheme="minorEastAsia" w:cstheme="minorEastAsia"/>
          <w:b w:val="0"/>
          <w:bCs w:val="0"/>
          <w:szCs w:val="21"/>
        </w:rPr>
        <w:fldChar w:fldCharType="separate"/>
      </w:r>
      <w:r>
        <w:rPr>
          <w:rFonts w:hint="eastAsia" w:asciiTheme="minorEastAsia" w:hAnsiTheme="minorEastAsia" w:eastAsiaTheme="minorEastAsia" w:cstheme="minorEastAsia"/>
          <w:b w:val="0"/>
          <w:bCs w:val="0"/>
          <w:szCs w:val="21"/>
        </w:rPr>
        <w:t>75</w:t>
      </w:r>
      <w:r>
        <w:rPr>
          <w:rFonts w:hint="eastAsia" w:asciiTheme="minorEastAsia" w:hAnsiTheme="minorEastAsia" w:eastAsiaTheme="minorEastAsia" w:cstheme="minorEastAsia"/>
          <w:b w:val="0"/>
          <w:bCs w:val="0"/>
          <w:szCs w:val="21"/>
        </w:rPr>
        <w:fldChar w:fldCharType="end"/>
      </w:r>
      <w:r>
        <w:rPr>
          <w:rFonts w:hint="eastAsia" w:asciiTheme="minorEastAsia" w:hAnsiTheme="minorEastAsia" w:eastAsiaTheme="minorEastAsia" w:cstheme="minorEastAsia"/>
          <w:b w:val="0"/>
          <w:bCs w:val="0"/>
          <w:color w:val="auto"/>
          <w:szCs w:val="21"/>
          <w:highlight w:val="none"/>
        </w:rPr>
        <w:fldChar w:fldCharType="end"/>
      </w:r>
    </w:p>
    <w:p w14:paraId="09D743BF">
      <w:pPr>
        <w:pStyle w:val="2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p w14:paraId="4711663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1215D4D">
      <w:pPr>
        <w:pStyle w:val="3"/>
        <w:spacing w:before="0" w:after="0" w:line="240" w:lineRule="auto"/>
        <w:rPr>
          <w:rFonts w:hint="eastAsia" w:ascii="宋体" w:hAnsi="宋体" w:eastAsia="宋体" w:cs="宋体"/>
          <w:color w:val="auto"/>
          <w:sz w:val="28"/>
          <w:szCs w:val="28"/>
          <w:highlight w:val="none"/>
        </w:rPr>
      </w:pPr>
      <w:bookmarkStart w:id="0" w:name="_Toc15265"/>
      <w:bookmarkStart w:id="1" w:name="_Toc28821"/>
      <w:r>
        <w:rPr>
          <w:rFonts w:hint="eastAsia" w:ascii="宋体" w:hAnsi="宋体" w:eastAsia="宋体" w:cs="宋体"/>
          <w:color w:val="auto"/>
          <w:sz w:val="28"/>
          <w:szCs w:val="28"/>
          <w:highlight w:val="none"/>
        </w:rPr>
        <w:t>第一部分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投标邀请</w:t>
      </w:r>
      <w:bookmarkEnd w:id="0"/>
      <w:bookmarkEnd w:id="1"/>
    </w:p>
    <w:p w14:paraId="05CC56E5">
      <w:pPr>
        <w:pStyle w:val="4"/>
        <w:spacing w:before="0" w:after="0" w:line="360" w:lineRule="auto"/>
        <w:jc w:val="center"/>
        <w:rPr>
          <w:rFonts w:hint="eastAsia" w:ascii="宋体" w:hAnsi="宋体" w:eastAsia="宋体" w:cs="宋体"/>
          <w:color w:val="auto"/>
          <w:highlight w:val="none"/>
        </w:rPr>
      </w:pPr>
      <w:bookmarkStart w:id="2" w:name="_Toc30920"/>
      <w:bookmarkStart w:id="3" w:name="_Toc12780"/>
      <w:r>
        <w:rPr>
          <w:rFonts w:hint="eastAsia" w:ascii="宋体" w:hAnsi="宋体" w:eastAsia="宋体" w:cs="宋体"/>
          <w:color w:val="auto"/>
          <w:highlight w:val="none"/>
        </w:rPr>
        <w:t>投标邀请书</w:t>
      </w:r>
      <w:bookmarkEnd w:id="2"/>
      <w:bookmarkEnd w:id="3"/>
    </w:p>
    <w:p w14:paraId="14208D91">
      <w:pPr>
        <w:ind w:firstLine="422" w:firstLineChars="200"/>
        <w:rPr>
          <w:rFonts w:hint="eastAsia" w:ascii="宋体" w:hAnsi="宋体" w:eastAsia="宋体" w:cs="宋体"/>
          <w:color w:val="auto"/>
          <w:szCs w:val="21"/>
          <w:highlight w:val="none"/>
        </w:rPr>
      </w:pPr>
      <w:r>
        <w:rPr>
          <w:rFonts w:hint="eastAsia" w:ascii="宋体" w:hAnsi="宋体" w:cs="宋体"/>
          <w:b/>
          <w:bCs/>
          <w:color w:val="auto"/>
          <w:szCs w:val="21"/>
          <w:highlight w:val="none"/>
          <w:u w:val="single"/>
          <w:lang w:eastAsia="zh-CN"/>
        </w:rPr>
        <w:t>广州宏达工程顾问集团有限公司</w:t>
      </w:r>
      <w:r>
        <w:rPr>
          <w:rFonts w:hint="eastAsia" w:ascii="宋体" w:hAnsi="宋体" w:eastAsia="宋体" w:cs="宋体"/>
          <w:color w:val="auto"/>
          <w:szCs w:val="21"/>
          <w:highlight w:val="none"/>
        </w:rPr>
        <w:t>（以下简称“采购代理机构”）受</w:t>
      </w:r>
      <w:r>
        <w:rPr>
          <w:rFonts w:hint="eastAsia" w:ascii="宋体" w:hAnsi="宋体" w:eastAsia="宋体" w:cs="宋体"/>
          <w:b/>
          <w:color w:val="auto"/>
          <w:szCs w:val="21"/>
          <w:highlight w:val="none"/>
          <w:u w:val="single"/>
          <w:lang w:eastAsia="zh-CN"/>
        </w:rPr>
        <w:t>东莞市新东元环保投资有限公司</w:t>
      </w:r>
      <w:r>
        <w:rPr>
          <w:rFonts w:hint="eastAsia" w:ascii="宋体" w:hAnsi="宋体" w:eastAsia="宋体" w:cs="宋体"/>
          <w:color w:val="auto"/>
          <w:szCs w:val="21"/>
          <w:highlight w:val="none"/>
        </w:rPr>
        <w:t>（以下简称“采购人”）委托，现就</w:t>
      </w:r>
      <w:r>
        <w:rPr>
          <w:rFonts w:hint="eastAsia" w:ascii="宋体" w:hAnsi="宋体" w:cs="宋体"/>
          <w:b/>
          <w:color w:val="auto"/>
          <w:szCs w:val="21"/>
          <w:highlight w:val="none"/>
          <w:u w:val="single"/>
          <w:lang w:eastAsia="zh-CN"/>
        </w:rPr>
        <w:t>东莞市海心沙资源综合利用中心环保热电厂2026年度液碱采购项目</w:t>
      </w:r>
      <w:r>
        <w:rPr>
          <w:rFonts w:hint="eastAsia" w:ascii="宋体" w:hAnsi="宋体" w:eastAsia="宋体" w:cs="宋体"/>
          <w:color w:val="auto"/>
          <w:szCs w:val="21"/>
          <w:highlight w:val="none"/>
        </w:rPr>
        <w:t>（项目编号：</w:t>
      </w:r>
      <w:r>
        <w:rPr>
          <w:rFonts w:hint="eastAsia" w:ascii="宋体" w:hAnsi="宋体" w:cs="宋体"/>
          <w:b/>
          <w:bCs/>
          <w:color w:val="auto"/>
          <w:szCs w:val="21"/>
          <w:highlight w:val="none"/>
          <w:lang w:eastAsia="zh-CN"/>
        </w:rPr>
        <w:t>XDY-GK-2026-001</w:t>
      </w:r>
      <w:r>
        <w:rPr>
          <w:rFonts w:hint="eastAsia" w:ascii="宋体" w:hAnsi="宋体" w:eastAsia="宋体" w:cs="宋体"/>
          <w:color w:val="auto"/>
          <w:szCs w:val="21"/>
          <w:highlight w:val="none"/>
        </w:rPr>
        <w:t>）进行国内公开采购，欢迎符合采购文件要求的国内投标人参加投标。</w:t>
      </w:r>
      <w:bookmarkStart w:id="251" w:name="_GoBack"/>
      <w:bookmarkEnd w:id="251"/>
      <w:r>
        <w:rPr>
          <w:rFonts w:hint="eastAsia" w:ascii="宋体" w:hAnsi="宋体" w:eastAsia="宋体" w:cs="宋体"/>
          <w:color w:val="auto"/>
          <w:szCs w:val="21"/>
          <w:highlight w:val="none"/>
        </w:rPr>
        <w:t>有关事项如下：</w:t>
      </w:r>
    </w:p>
    <w:p w14:paraId="238CE9C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一、采购项目概况</w:t>
      </w:r>
    </w:p>
    <w:p w14:paraId="5630BD4D">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1、采购项目名称：</w:t>
      </w:r>
      <w:r>
        <w:rPr>
          <w:rFonts w:hint="eastAsia" w:ascii="宋体" w:hAnsi="宋体" w:cs="宋体"/>
          <w:b/>
          <w:color w:val="auto"/>
          <w:szCs w:val="21"/>
          <w:highlight w:val="none"/>
          <w:u w:val="single"/>
          <w:lang w:eastAsia="zh-CN"/>
        </w:rPr>
        <w:t>东莞市海心沙资源综合利用中心环保热电厂2026年度液碱采购项目</w:t>
      </w:r>
    </w:p>
    <w:p w14:paraId="09BA88C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、项目内容</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158"/>
        <w:gridCol w:w="1027"/>
        <w:gridCol w:w="4186"/>
      </w:tblGrid>
      <w:tr w14:paraId="78A2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51" w:type="dxa"/>
            <w:vAlign w:val="center"/>
          </w:tcPr>
          <w:p w14:paraId="0404E87D">
            <w:pPr>
              <w:spacing w:line="240" w:lineRule="auto"/>
              <w:jc w:val="center"/>
              <w:rPr>
                <w:rFonts w:hint="eastAsia" w:ascii="宋体" w:hAnsi="宋体" w:eastAsia="宋体" w:cs="宋体"/>
                <w:b w:val="0"/>
                <w:bCs w:val="0"/>
                <w:color w:val="auto"/>
                <w:kern w:val="28"/>
                <w:szCs w:val="21"/>
                <w:highlight w:val="none"/>
                <w:lang w:eastAsia="zh-CN"/>
              </w:rPr>
            </w:pPr>
            <w:r>
              <w:rPr>
                <w:rFonts w:hint="eastAsia" w:ascii="宋体" w:hAnsi="宋体" w:cs="宋体"/>
                <w:b w:val="0"/>
                <w:bCs w:val="0"/>
                <w:color w:val="auto"/>
                <w:kern w:val="28"/>
                <w:szCs w:val="21"/>
                <w:highlight w:val="none"/>
                <w:lang w:val="en-US" w:eastAsia="zh-CN"/>
              </w:rPr>
              <w:t>序号</w:t>
            </w:r>
          </w:p>
        </w:tc>
        <w:tc>
          <w:tcPr>
            <w:tcW w:w="2158" w:type="dxa"/>
            <w:vAlign w:val="center"/>
          </w:tcPr>
          <w:p w14:paraId="4916542F">
            <w:pPr>
              <w:spacing w:line="240" w:lineRule="auto"/>
              <w:jc w:val="center"/>
              <w:rPr>
                <w:rFonts w:hint="eastAsia" w:ascii="宋体" w:hAnsi="宋体" w:eastAsia="宋体" w:cs="宋体"/>
                <w:b w:val="0"/>
                <w:bCs w:val="0"/>
                <w:color w:val="auto"/>
                <w:kern w:val="28"/>
                <w:szCs w:val="21"/>
                <w:highlight w:val="none"/>
              </w:rPr>
            </w:pPr>
            <w:r>
              <w:rPr>
                <w:rFonts w:hint="eastAsia" w:ascii="宋体" w:hAnsi="宋体" w:eastAsia="宋体" w:cs="宋体"/>
                <w:b w:val="0"/>
                <w:bCs w:val="0"/>
                <w:color w:val="auto"/>
                <w:kern w:val="28"/>
                <w:szCs w:val="21"/>
                <w:highlight w:val="none"/>
                <w:lang w:val="en-US" w:eastAsia="zh-CN"/>
              </w:rPr>
              <w:t>采购</w:t>
            </w:r>
            <w:r>
              <w:rPr>
                <w:rFonts w:hint="eastAsia" w:ascii="宋体" w:hAnsi="宋体" w:eastAsia="宋体" w:cs="宋体"/>
                <w:b w:val="0"/>
                <w:bCs w:val="0"/>
                <w:color w:val="auto"/>
                <w:kern w:val="28"/>
                <w:szCs w:val="21"/>
                <w:highlight w:val="none"/>
              </w:rPr>
              <w:t>内容</w:t>
            </w:r>
          </w:p>
        </w:tc>
        <w:tc>
          <w:tcPr>
            <w:tcW w:w="1027" w:type="dxa"/>
            <w:vAlign w:val="center"/>
          </w:tcPr>
          <w:p w14:paraId="1F8397D1">
            <w:pPr>
              <w:widowControl/>
              <w:spacing w:line="400" w:lineRule="exact"/>
              <w:jc w:val="center"/>
              <w:textAlignment w:val="bottom"/>
              <w:rPr>
                <w:rFonts w:hint="eastAsia" w:ascii="宋体" w:hAnsi="宋体" w:eastAsia="宋体" w:cs="宋体"/>
                <w:b w:val="0"/>
                <w:bCs w:val="0"/>
                <w:color w:val="auto"/>
                <w:kern w:val="28"/>
                <w:szCs w:val="21"/>
                <w:highlight w:val="none"/>
                <w:lang w:val="en-US" w:eastAsia="zh-CN"/>
              </w:rPr>
            </w:pPr>
            <w:r>
              <w:rPr>
                <w:rFonts w:hint="eastAsia" w:ascii="宋体" w:hAnsi="宋体" w:eastAsia="宋体" w:cs="宋体"/>
                <w:b w:val="0"/>
                <w:bCs w:val="0"/>
                <w:color w:val="auto"/>
                <w:kern w:val="28"/>
                <w:szCs w:val="21"/>
                <w:highlight w:val="none"/>
                <w:lang w:val="en-US" w:eastAsia="zh-CN"/>
              </w:rPr>
              <w:t>单位</w:t>
            </w:r>
          </w:p>
        </w:tc>
        <w:tc>
          <w:tcPr>
            <w:tcW w:w="4186" w:type="dxa"/>
            <w:vAlign w:val="center"/>
          </w:tcPr>
          <w:p w14:paraId="3D63A9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单价最高限价</w:t>
            </w:r>
          </w:p>
          <w:p w14:paraId="5E559BF7">
            <w:pPr>
              <w:widowControl/>
              <w:spacing w:line="400" w:lineRule="exact"/>
              <w:jc w:val="center"/>
              <w:textAlignment w:val="bottom"/>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kern w:val="2"/>
                <w:szCs w:val="21"/>
                <w:highlight w:val="none"/>
              </w:rPr>
              <w:t>（元/吨）</w:t>
            </w:r>
          </w:p>
        </w:tc>
      </w:tr>
      <w:tr w14:paraId="0B42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79E88E68">
            <w:pPr>
              <w:spacing w:line="240" w:lineRule="auto"/>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w:t>
            </w:r>
          </w:p>
        </w:tc>
        <w:tc>
          <w:tcPr>
            <w:tcW w:w="2158" w:type="dxa"/>
            <w:vAlign w:val="center"/>
          </w:tcPr>
          <w:p w14:paraId="47FBF14B">
            <w:pPr>
              <w:spacing w:line="240" w:lineRule="auto"/>
              <w:jc w:val="center"/>
              <w:rPr>
                <w:rFonts w:hint="eastAsia" w:ascii="宋体" w:hAnsi="宋体" w:eastAsia="宋体" w:cs="宋体"/>
                <w:b w:val="0"/>
                <w:bCs w:val="0"/>
                <w:color w:val="auto"/>
                <w:szCs w:val="21"/>
                <w:highlight w:val="none"/>
                <w:lang w:eastAsia="zh-CN"/>
              </w:rPr>
            </w:pPr>
            <w:r>
              <w:rPr>
                <w:rFonts w:hint="eastAsia" w:ascii="宋体" w:hAnsi="宋体" w:cs="宋体"/>
                <w:bCs/>
                <w:szCs w:val="21"/>
              </w:rPr>
              <w:t>液碱</w:t>
            </w:r>
          </w:p>
        </w:tc>
        <w:tc>
          <w:tcPr>
            <w:tcW w:w="1027" w:type="dxa"/>
            <w:vAlign w:val="center"/>
          </w:tcPr>
          <w:p w14:paraId="31B26B78">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吨</w:t>
            </w:r>
          </w:p>
        </w:tc>
        <w:tc>
          <w:tcPr>
            <w:tcW w:w="4186" w:type="dxa"/>
            <w:vAlign w:val="center"/>
          </w:tcPr>
          <w:p w14:paraId="08958D9A">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液碱</w:t>
            </w:r>
            <w:r>
              <w:rPr>
                <w:rFonts w:hint="eastAsia" w:ascii="宋体" w:hAnsi="宋体" w:cs="宋体"/>
                <w:b w:val="0"/>
                <w:bCs w:val="0"/>
                <w:color w:val="auto"/>
                <w:szCs w:val="21"/>
                <w:highlight w:val="none"/>
                <w:lang w:val="en-US" w:eastAsia="zh-CN"/>
              </w:rPr>
              <w:t>1062</w:t>
            </w:r>
            <w:r>
              <w:rPr>
                <w:rFonts w:hint="eastAsia" w:ascii="宋体" w:hAnsi="宋体" w:eastAsia="宋体" w:cs="宋体"/>
                <w:b w:val="0"/>
                <w:bCs w:val="0"/>
                <w:color w:val="auto"/>
                <w:szCs w:val="21"/>
                <w:highlight w:val="none"/>
              </w:rPr>
              <w:t>元/吨（含税）</w:t>
            </w:r>
          </w:p>
        </w:tc>
      </w:tr>
    </w:tbl>
    <w:p w14:paraId="0E6920D8">
      <w:pPr>
        <w:spacing w:beforeLines="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r>
        <w:rPr>
          <w:rFonts w:hint="eastAsia" w:ascii="宋体" w:hAnsi="宋体" w:eastAsia="宋体" w:cs="宋体"/>
          <w:color w:val="auto"/>
          <w:highlight w:val="none"/>
        </w:rPr>
        <w:t>本项目采用辅料单价及暂定总价报价，以暂定总价报价进行投标报价评审，并要求投标人在明细报价表填报辅料单价报价，投标人在明细报价表中填报的辅料明细报价超出采购文件的任一单价最高限价的将被视为非实质性响应而予以投标无效处理。</w:t>
      </w:r>
    </w:p>
    <w:p w14:paraId="326B38EC">
      <w:pPr>
        <w:keepNext w:val="0"/>
        <w:keepLines w:val="0"/>
        <w:pageBreakBefore w:val="0"/>
        <w:widowControl/>
        <w:numPr>
          <w:ilvl w:val="0"/>
          <w:numId w:val="1"/>
        </w:numPr>
        <w:kinsoku/>
        <w:wordWrap/>
        <w:overflowPunct/>
        <w:topLinePunct w:val="0"/>
        <w:autoSpaceDE/>
        <w:autoSpaceDN/>
        <w:bidi w:val="0"/>
        <w:adjustRightInd w:val="0"/>
        <w:snapToGrid w:val="0"/>
        <w:spacing w:before="0" w:beforeLines="0"/>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项目需求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详细内容请参阅采购文件第三部分《用户需求书》。</w:t>
      </w:r>
    </w:p>
    <w:p w14:paraId="5BEF487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二、投标人资格要求</w:t>
      </w:r>
    </w:p>
    <w:p w14:paraId="24B4B44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投标人须为在中华人民共和国境内登记注册的具有独立承担民事责任能力的法人或其他组织【提供</w:t>
      </w:r>
      <w:r>
        <w:rPr>
          <w:rFonts w:hint="eastAsia" w:ascii="宋体" w:hAnsi="宋体" w:cs="宋体"/>
          <w:color w:val="auto"/>
          <w:szCs w:val="21"/>
          <w:highlight w:val="none"/>
          <w:lang w:val="en-US" w:eastAsia="zh-CN"/>
        </w:rPr>
        <w:t>合法有效的</w:t>
      </w:r>
      <w:r>
        <w:rPr>
          <w:rFonts w:hint="eastAsia" w:ascii="宋体" w:hAnsi="宋体" w:eastAsia="宋体" w:cs="宋体"/>
          <w:color w:val="auto"/>
          <w:szCs w:val="21"/>
          <w:highlight w:val="none"/>
        </w:rPr>
        <w:t>《营业执照》复印件（加盖公章）或《事业单位法人证书》复印件（加盖公章）或其他主体证书复印件（加盖公章）】。</w:t>
      </w:r>
    </w:p>
    <w:p w14:paraId="754F3A0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1BF3EAB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投标人的单位负责人为同一人或者存在直接控股、管理关系的不同投标人，不得参加同一合同项下的采购活动。</w:t>
      </w:r>
    </w:p>
    <w:p w14:paraId="0126B03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14:paraId="4492BCB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未被列入东实集团及下属企业相关领域黑名单。</w:t>
      </w:r>
    </w:p>
    <w:p w14:paraId="71FB21FC">
      <w:pPr>
        <w:pStyle w:val="13"/>
        <w:adjustRightInd/>
        <w:spacing w:before="0" w:line="360" w:lineRule="auto"/>
        <w:ind w:left="0"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投标人须为所投产品生产厂家或授权经销商（提供</w:t>
      </w:r>
      <w:r>
        <w:rPr>
          <w:rFonts w:hint="eastAsia" w:cs="宋体"/>
          <w:color w:val="auto"/>
          <w:sz w:val="21"/>
          <w:szCs w:val="21"/>
          <w:highlight w:val="none"/>
          <w:lang w:val="en-US" w:eastAsia="zh-CN"/>
        </w:rPr>
        <w:t>合法且在有效期内的</w:t>
      </w:r>
      <w:r>
        <w:rPr>
          <w:rFonts w:hint="eastAsia" w:ascii="宋体" w:hAnsi="宋体" w:eastAsia="宋体" w:cs="宋体"/>
          <w:color w:val="auto"/>
          <w:sz w:val="21"/>
          <w:szCs w:val="21"/>
          <w:highlight w:val="none"/>
          <w:shd w:val="clear" w:color="auto" w:fill="FFFFFF"/>
        </w:rPr>
        <w:t>相关证明文件复印件加盖投标人公章）：</w:t>
      </w:r>
    </w:p>
    <w:p w14:paraId="2B514D88">
      <w:pPr>
        <w:pStyle w:val="14"/>
        <w:spacing w:before="0" w:after="0" w:line="360" w:lineRule="auto"/>
        <w:ind w:left="0"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①如投标人为</w:t>
      </w:r>
      <w:r>
        <w:rPr>
          <w:rFonts w:hint="eastAsia" w:ascii="宋体" w:hAnsi="宋体" w:eastAsia="宋体" w:cs="宋体"/>
          <w:color w:val="auto"/>
          <w:sz w:val="21"/>
          <w:szCs w:val="21"/>
          <w:highlight w:val="none"/>
          <w:shd w:val="clear" w:color="auto" w:fill="FFFFFF"/>
        </w:rPr>
        <w:t>所投产品生产厂家的，须提供</w:t>
      </w:r>
      <w:r>
        <w:rPr>
          <w:rFonts w:hint="eastAsia" w:cs="宋体"/>
          <w:color w:val="auto"/>
          <w:sz w:val="21"/>
          <w:szCs w:val="21"/>
          <w:highlight w:val="none"/>
          <w:shd w:val="clear" w:color="auto" w:fill="FFFFFF"/>
          <w:lang w:val="en-US" w:eastAsia="zh-CN"/>
        </w:rPr>
        <w:t>在有效期内的</w:t>
      </w:r>
      <w:r>
        <w:rPr>
          <w:rFonts w:hint="eastAsia" w:ascii="宋体" w:hAnsi="宋体" w:eastAsia="宋体" w:cs="宋体"/>
          <w:color w:val="auto"/>
          <w:sz w:val="21"/>
          <w:szCs w:val="21"/>
          <w:highlight w:val="none"/>
          <w:shd w:val="clear" w:color="auto" w:fill="FFFFFF"/>
        </w:rPr>
        <w:t>危险化学品安全生产许可证；许可范围均须包含本次拟投货物（</w:t>
      </w:r>
      <w:r>
        <w:rPr>
          <w:rFonts w:hint="eastAsia" w:ascii="宋体" w:hAnsi="宋体" w:eastAsia="宋体" w:cs="宋体"/>
          <w:color w:val="auto"/>
          <w:sz w:val="21"/>
          <w:szCs w:val="21"/>
          <w:highlight w:val="none"/>
        </w:rPr>
        <w:t>提供</w:t>
      </w:r>
      <w:r>
        <w:rPr>
          <w:rFonts w:hint="eastAsia" w:cs="宋体"/>
          <w:color w:val="auto"/>
          <w:sz w:val="21"/>
          <w:szCs w:val="21"/>
          <w:highlight w:val="none"/>
          <w:lang w:val="en-US" w:eastAsia="zh-CN"/>
        </w:rPr>
        <w:t>合法且在有效期内的</w:t>
      </w:r>
      <w:r>
        <w:rPr>
          <w:rFonts w:hint="eastAsia" w:ascii="宋体" w:hAnsi="宋体" w:eastAsia="宋体" w:cs="宋体"/>
          <w:color w:val="auto"/>
          <w:sz w:val="21"/>
          <w:szCs w:val="21"/>
          <w:highlight w:val="none"/>
        </w:rPr>
        <w:t>相关证明文件复印件加盖投标人公章</w:t>
      </w:r>
      <w:r>
        <w:rPr>
          <w:rFonts w:hint="eastAsia" w:ascii="宋体" w:hAnsi="宋体" w:eastAsia="宋体" w:cs="宋体"/>
          <w:color w:val="auto"/>
          <w:sz w:val="21"/>
          <w:szCs w:val="21"/>
          <w:highlight w:val="none"/>
          <w:shd w:val="clear" w:color="auto" w:fill="FFFFFF"/>
        </w:rPr>
        <w:t>）；</w:t>
      </w:r>
    </w:p>
    <w:p w14:paraId="72EF6FF1">
      <w:pPr>
        <w:pStyle w:val="39"/>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②如投标人为</w:t>
      </w:r>
      <w:r>
        <w:rPr>
          <w:rFonts w:hint="eastAsia" w:ascii="宋体" w:hAnsi="宋体" w:eastAsia="宋体" w:cs="宋体"/>
          <w:color w:val="auto"/>
          <w:sz w:val="21"/>
          <w:szCs w:val="21"/>
          <w:highlight w:val="none"/>
          <w:shd w:val="clear" w:color="auto" w:fill="FFFFFF"/>
        </w:rPr>
        <w:t>所投产品授权经销商的，须提供</w:t>
      </w:r>
      <w:r>
        <w:rPr>
          <w:rFonts w:hint="eastAsia" w:cs="宋体"/>
          <w:color w:val="auto"/>
          <w:sz w:val="21"/>
          <w:szCs w:val="21"/>
          <w:highlight w:val="none"/>
          <w:shd w:val="clear" w:color="auto" w:fill="FFFFFF"/>
          <w:lang w:val="en-US" w:eastAsia="zh-CN"/>
        </w:rPr>
        <w:t>在有效期内的</w:t>
      </w:r>
      <w:r>
        <w:rPr>
          <w:rFonts w:hint="eastAsia" w:ascii="宋体" w:hAnsi="宋体" w:eastAsia="宋体" w:cs="宋体"/>
          <w:color w:val="auto"/>
          <w:sz w:val="21"/>
          <w:szCs w:val="21"/>
          <w:highlight w:val="none"/>
          <w:shd w:val="clear" w:color="auto" w:fill="FFFFFF"/>
        </w:rPr>
        <w:t>许可范围均须包含本次拟投货物的危险化学品经营许可证，授权经销类供应商还需提供所投产品的经销授权书或合同等证明文件（提供</w:t>
      </w:r>
      <w:r>
        <w:rPr>
          <w:rFonts w:hint="eastAsia" w:cs="宋体"/>
          <w:color w:val="auto"/>
          <w:sz w:val="21"/>
          <w:szCs w:val="21"/>
          <w:highlight w:val="none"/>
          <w:lang w:val="en-US" w:eastAsia="zh-CN"/>
        </w:rPr>
        <w:t>合法且在有效期内的</w:t>
      </w:r>
      <w:r>
        <w:rPr>
          <w:rFonts w:hint="eastAsia" w:ascii="宋体" w:hAnsi="宋体" w:eastAsia="宋体" w:cs="宋体"/>
          <w:color w:val="auto"/>
          <w:sz w:val="21"/>
          <w:szCs w:val="21"/>
          <w:highlight w:val="none"/>
          <w:shd w:val="clear" w:color="auto" w:fill="FFFFFF"/>
        </w:rPr>
        <w:t>相关证明文件复印件加盖投标人公章）。</w:t>
      </w:r>
    </w:p>
    <w:p w14:paraId="27A1719B">
      <w:pPr>
        <w:pStyle w:val="14"/>
        <w:spacing w:before="0" w:after="0" w:line="360" w:lineRule="auto"/>
        <w:ind w:left="0"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须具有满足本项目的运输能力（自有危险化学品运输资质或与有危险化学品运输资质的单位有稳定的合作关系，提供签订的运输合同），须具有履行合同所必需的专用运输车1辆或以上，并配备相应数量的驾驶员，提供车辆自有或租赁合同及车辆允许运营的证明材料（包括但不限于道路运输经营许可证、机动车行驶证、驾驶证和道路危险货物运输押运人员从业资格证等</w:t>
      </w:r>
      <w:r>
        <w:rPr>
          <w:rFonts w:hint="eastAsia" w:cs="宋体"/>
          <w:color w:val="auto"/>
          <w:sz w:val="21"/>
          <w:szCs w:val="21"/>
          <w:highlight w:val="none"/>
          <w:lang w:val="en-US" w:eastAsia="zh-CN"/>
        </w:rPr>
        <w:t>合法且在有效期内的</w:t>
      </w:r>
      <w:r>
        <w:rPr>
          <w:rFonts w:hint="eastAsia" w:ascii="宋体" w:hAnsi="宋体" w:eastAsia="宋体" w:cs="宋体"/>
          <w:color w:val="auto"/>
          <w:sz w:val="21"/>
          <w:szCs w:val="21"/>
          <w:highlight w:val="none"/>
        </w:rPr>
        <w:t>复印件加盖投标人公章）。</w:t>
      </w:r>
    </w:p>
    <w:p w14:paraId="1DB63890">
      <w:pPr>
        <w:pStyle w:val="14"/>
        <w:spacing w:before="0" w:after="0" w:line="360" w:lineRule="auto"/>
        <w:ind w:left="0"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、投标人202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年1月1日至招标公告发布之日（以合同签订时间为准）至少具有工业企业液碱业绩合同2份，且每份不小于1000吨的供货合同</w:t>
      </w:r>
      <w:bookmarkStart w:id="4" w:name="_Hlk104292509"/>
      <w:r>
        <w:rPr>
          <w:rFonts w:hint="eastAsia" w:ascii="宋体" w:hAnsi="宋体" w:eastAsia="宋体" w:cs="宋体"/>
          <w:color w:val="auto"/>
          <w:sz w:val="21"/>
          <w:szCs w:val="21"/>
          <w:highlight w:val="none"/>
        </w:rPr>
        <w:t>【需提供合同关键页及供货期限内任意一期发票</w:t>
      </w:r>
      <w:bookmarkEnd w:id="4"/>
      <w:r>
        <w:rPr>
          <w:rFonts w:hint="eastAsia" w:ascii="宋体" w:hAnsi="宋体" w:eastAsia="宋体" w:cs="宋体"/>
          <w:color w:val="auto"/>
          <w:sz w:val="21"/>
          <w:szCs w:val="21"/>
          <w:highlight w:val="none"/>
        </w:rPr>
        <w:t>；复印件加盖投标人公章。如投标人合同关键页不能体现供货量的，则除上述材料外还需提供供货量证明（签字确认的送货单或相关验收证明材料或由买方出具的证明文件）】。</w:t>
      </w:r>
    </w:p>
    <w:p w14:paraId="0DD95D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、本项目不接受联合体。</w:t>
      </w:r>
    </w:p>
    <w:p w14:paraId="61BB0C30">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三、获取采购文件方式及要求</w:t>
      </w:r>
    </w:p>
    <w:p w14:paraId="765DD81A">
      <w:pPr>
        <w:wordWrap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1、采购文件下载地址：</w:t>
      </w:r>
      <w:r>
        <w:rPr>
          <w:rFonts w:hint="eastAsia" w:ascii="宋体" w:hAnsi="宋体" w:eastAsia="宋体" w:cs="宋体"/>
          <w:color w:val="auto"/>
          <w:szCs w:val="21"/>
          <w:highlight w:val="none"/>
          <w:u w:val="single"/>
        </w:rPr>
        <w:t>中国招标投标公共服务平台（http://www.cebpubservice.com/）、东莞实业投资控股集团有限公司-招标采购栏目（http://www.dgsy.com.cn/）、广东东实环境股份有限公司（</w:t>
      </w:r>
      <w:r>
        <w:rPr>
          <w:rFonts w:hint="eastAsia" w:ascii="宋体" w:hAnsi="宋体" w:eastAsia="宋体" w:cs="宋体"/>
          <w:color w:val="auto"/>
          <w:sz w:val="21"/>
          <w:szCs w:val="21"/>
          <w:highlight w:val="none"/>
          <w:u w:val="single"/>
        </w:rPr>
        <w:t>www.dsenvironment.cn</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广州宏达工程顾问集团有限公司</w:t>
      </w:r>
      <w:r>
        <w:rPr>
          <w:rFonts w:hint="eastAsia" w:ascii="宋体" w:hAnsi="宋体" w:eastAsia="宋体" w:cs="宋体"/>
          <w:color w:val="auto"/>
          <w:szCs w:val="21"/>
          <w:highlight w:val="none"/>
          <w:u w:val="single"/>
        </w:rPr>
        <w:t>网站（</w:t>
      </w:r>
      <w:r>
        <w:rPr>
          <w:rFonts w:hint="eastAsia" w:ascii="宋体" w:hAnsi="宋体" w:eastAsia="宋体" w:cs="宋体"/>
          <w:bCs/>
          <w:color w:val="000000" w:themeColor="text1"/>
          <w:sz w:val="21"/>
          <w:szCs w:val="21"/>
          <w:u w:val="single"/>
          <w:lang w:eastAsia="zh-CN"/>
          <w14:textFill>
            <w14:solidFill>
              <w14:schemeClr w14:val="tx1"/>
            </w14:solidFill>
          </w14:textFill>
        </w:rPr>
        <w:t>http://www.wangtat.com.cn/</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本项目不进行实名登记报名。</w:t>
      </w:r>
    </w:p>
    <w:p w14:paraId="5846382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获取方式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网上下载</w:t>
      </w:r>
      <w:r>
        <w:rPr>
          <w:rFonts w:hint="eastAsia" w:ascii="宋体" w:hAnsi="宋体" w:eastAsia="宋体" w:cs="宋体"/>
          <w:color w:val="auto"/>
          <w:szCs w:val="21"/>
          <w:highlight w:val="none"/>
        </w:rPr>
        <w:t>。</w:t>
      </w:r>
    </w:p>
    <w:p w14:paraId="18907ACC">
      <w:pPr>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bCs/>
          <w:color w:val="auto"/>
          <w:sz w:val="21"/>
          <w:szCs w:val="21"/>
          <w:highlight w:val="none"/>
        </w:rPr>
        <w:t>请将投标保证金汇入至采购文件指定的账户。投标保证金需在距递交投标文件截止时间之前到账</w:t>
      </w:r>
      <w:r>
        <w:rPr>
          <w:rFonts w:hint="eastAsia" w:ascii="宋体" w:hAnsi="宋体" w:eastAsia="宋体" w:cs="宋体"/>
          <w:bCs/>
          <w:color w:val="auto"/>
          <w:sz w:val="21"/>
          <w:szCs w:val="21"/>
          <w:highlight w:val="none"/>
          <w:lang w:eastAsia="zh-CN"/>
        </w:rPr>
        <w:t>。</w:t>
      </w:r>
    </w:p>
    <w:p w14:paraId="5422C279">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四、投标文件的递交</w:t>
      </w:r>
    </w:p>
    <w:p w14:paraId="74B6FED0">
      <w:pPr>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1、</w:t>
      </w:r>
      <w:r>
        <w:rPr>
          <w:rFonts w:hint="eastAsia" w:ascii="宋体" w:hAnsi="宋体" w:eastAsia="宋体" w:cs="宋体"/>
          <w:b/>
          <w:bCs/>
          <w:color w:val="auto"/>
          <w:szCs w:val="21"/>
          <w:highlight w:val="none"/>
        </w:rPr>
        <w:t>递交投标文件时间：</w:t>
      </w:r>
      <w:r>
        <w:rPr>
          <w:rFonts w:hint="eastAsia" w:ascii="宋体" w:hAnsi="宋体" w:cs="宋体"/>
          <w:b/>
          <w:bCs/>
          <w:color w:val="auto"/>
          <w:szCs w:val="21"/>
          <w:highlight w:val="none"/>
          <w:u w:val="none"/>
          <w:lang w:eastAsia="zh-CN"/>
        </w:rPr>
        <w:t>2026</w:t>
      </w:r>
      <w:r>
        <w:rPr>
          <w:rFonts w:hint="eastAsia" w:ascii="宋体" w:hAnsi="宋体" w:eastAsia="宋体" w:cs="宋体"/>
          <w:b/>
          <w:bCs/>
          <w:color w:val="auto"/>
          <w:szCs w:val="21"/>
          <w:highlight w:val="none"/>
          <w:u w:val="none"/>
        </w:rPr>
        <w:t>年</w:t>
      </w:r>
      <w:r>
        <w:rPr>
          <w:rFonts w:hint="eastAsia" w:ascii="宋体" w:hAnsi="宋体" w:cs="宋体"/>
          <w:b/>
          <w:bCs/>
          <w:color w:val="auto"/>
          <w:szCs w:val="21"/>
          <w:highlight w:val="none"/>
          <w:u w:val="none"/>
          <w:lang w:val="en-US" w:eastAsia="zh-CN"/>
        </w:rPr>
        <w:t xml:space="preserve"> 5 </w:t>
      </w:r>
      <w:r>
        <w:rPr>
          <w:rFonts w:hint="eastAsia" w:ascii="宋体" w:hAnsi="宋体" w:eastAsia="宋体" w:cs="宋体"/>
          <w:b/>
          <w:bCs/>
          <w:color w:val="auto"/>
          <w:szCs w:val="21"/>
          <w:highlight w:val="none"/>
          <w:u w:val="none"/>
        </w:rPr>
        <w:t>月</w:t>
      </w:r>
      <w:r>
        <w:rPr>
          <w:rFonts w:hint="eastAsia" w:ascii="宋体" w:hAnsi="宋体" w:cs="宋体"/>
          <w:b/>
          <w:bCs/>
          <w:color w:val="auto"/>
          <w:szCs w:val="21"/>
          <w:highlight w:val="none"/>
          <w:u w:val="none"/>
          <w:lang w:val="en-US" w:eastAsia="zh-CN"/>
        </w:rPr>
        <w:t xml:space="preserve"> 14 </w:t>
      </w:r>
      <w:r>
        <w:rPr>
          <w:rFonts w:hint="eastAsia" w:ascii="宋体" w:hAnsi="宋体" w:eastAsia="宋体" w:cs="宋体"/>
          <w:b/>
          <w:bCs/>
          <w:color w:val="auto"/>
          <w:szCs w:val="21"/>
          <w:highlight w:val="none"/>
          <w:u w:val="none"/>
        </w:rPr>
        <w:t>日（北京时间）</w:t>
      </w:r>
      <w:r>
        <w:rPr>
          <w:rFonts w:hint="eastAsia" w:ascii="宋体" w:hAnsi="宋体" w:cs="宋体"/>
          <w:b/>
          <w:bCs/>
          <w:color w:val="auto"/>
          <w:szCs w:val="21"/>
          <w:highlight w:val="none"/>
          <w:u w:val="none"/>
          <w:lang w:val="en-US" w:eastAsia="zh-CN"/>
        </w:rPr>
        <w:t>14</w:t>
      </w:r>
      <w:r>
        <w:rPr>
          <w:rFonts w:hint="eastAsia" w:ascii="宋体" w:hAnsi="宋体" w:eastAsia="宋体" w:cs="宋体"/>
          <w:b/>
          <w:bCs/>
          <w:color w:val="auto"/>
          <w:szCs w:val="21"/>
          <w:highlight w:val="none"/>
          <w:u w:val="none"/>
        </w:rPr>
        <w:t>:</w:t>
      </w:r>
      <w:r>
        <w:rPr>
          <w:rFonts w:hint="eastAsia" w:ascii="宋体" w:hAnsi="宋体" w:cs="宋体"/>
          <w:b/>
          <w:bCs/>
          <w:color w:val="auto"/>
          <w:szCs w:val="21"/>
          <w:highlight w:val="none"/>
          <w:u w:val="none"/>
          <w:lang w:val="en-US" w:eastAsia="zh-CN"/>
        </w:rPr>
        <w:t>0</w:t>
      </w:r>
      <w:r>
        <w:rPr>
          <w:rFonts w:hint="eastAsia" w:ascii="宋体" w:hAnsi="宋体" w:eastAsia="宋体" w:cs="宋体"/>
          <w:b/>
          <w:bCs/>
          <w:color w:val="auto"/>
          <w:szCs w:val="21"/>
          <w:highlight w:val="none"/>
          <w:u w:val="none"/>
          <w:lang w:val="en-US" w:eastAsia="zh-CN"/>
        </w:rPr>
        <w:t>0</w:t>
      </w:r>
      <w:r>
        <w:rPr>
          <w:rFonts w:hint="eastAsia" w:ascii="宋体" w:hAnsi="宋体" w:eastAsia="宋体" w:cs="宋体"/>
          <w:b/>
          <w:bCs/>
          <w:color w:val="auto"/>
          <w:szCs w:val="21"/>
          <w:highlight w:val="none"/>
          <w:u w:val="none"/>
        </w:rPr>
        <w:t>-</w:t>
      </w:r>
      <w:r>
        <w:rPr>
          <w:rFonts w:hint="eastAsia" w:ascii="宋体" w:hAnsi="宋体" w:cs="宋体"/>
          <w:b/>
          <w:bCs/>
          <w:color w:val="auto"/>
          <w:szCs w:val="21"/>
          <w:highlight w:val="none"/>
          <w:u w:val="none"/>
          <w:lang w:val="en-US" w:eastAsia="zh-CN"/>
        </w:rPr>
        <w:t>14</w:t>
      </w:r>
      <w:r>
        <w:rPr>
          <w:rFonts w:hint="eastAsia" w:ascii="宋体" w:hAnsi="宋体" w:eastAsia="宋体" w:cs="宋体"/>
          <w:b/>
          <w:bCs/>
          <w:color w:val="auto"/>
          <w:szCs w:val="21"/>
          <w:highlight w:val="none"/>
          <w:u w:val="none"/>
        </w:rPr>
        <w:t>:</w:t>
      </w:r>
      <w:r>
        <w:rPr>
          <w:rFonts w:hint="eastAsia" w:ascii="宋体" w:hAnsi="宋体" w:cs="宋体"/>
          <w:b/>
          <w:bCs/>
          <w:color w:val="auto"/>
          <w:szCs w:val="21"/>
          <w:highlight w:val="none"/>
          <w:u w:val="none"/>
          <w:lang w:val="en-US" w:eastAsia="zh-CN"/>
        </w:rPr>
        <w:t>3</w:t>
      </w:r>
      <w:r>
        <w:rPr>
          <w:rFonts w:hint="eastAsia" w:ascii="宋体" w:hAnsi="宋体" w:eastAsia="宋体" w:cs="宋体"/>
          <w:b/>
          <w:bCs/>
          <w:color w:val="auto"/>
          <w:szCs w:val="21"/>
          <w:highlight w:val="none"/>
          <w:u w:val="none"/>
          <w:lang w:val="en-US" w:eastAsia="zh-CN"/>
        </w:rPr>
        <w:t>0</w:t>
      </w:r>
      <w:r>
        <w:rPr>
          <w:rFonts w:hint="eastAsia" w:ascii="宋体" w:hAnsi="宋体" w:eastAsia="宋体" w:cs="宋体"/>
          <w:color w:val="auto"/>
          <w:szCs w:val="21"/>
          <w:highlight w:val="none"/>
          <w:u w:val="none"/>
        </w:rPr>
        <w:t>。</w:t>
      </w:r>
    </w:p>
    <w:p w14:paraId="506C3BA5">
      <w:pPr>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none"/>
        </w:rPr>
        <w:t>2、</w:t>
      </w:r>
      <w:r>
        <w:rPr>
          <w:rFonts w:hint="eastAsia" w:ascii="宋体" w:hAnsi="宋体" w:eastAsia="宋体" w:cs="宋体"/>
          <w:b/>
          <w:bCs/>
          <w:color w:val="auto"/>
          <w:szCs w:val="21"/>
          <w:highlight w:val="none"/>
          <w:u w:val="none"/>
        </w:rPr>
        <w:t>递交投标文件截止及开标时间：</w:t>
      </w:r>
      <w:r>
        <w:rPr>
          <w:rFonts w:hint="eastAsia" w:ascii="宋体" w:hAnsi="宋体" w:cs="宋体"/>
          <w:b/>
          <w:bCs/>
          <w:color w:val="auto"/>
          <w:szCs w:val="21"/>
          <w:highlight w:val="none"/>
          <w:u w:val="none"/>
          <w:lang w:eastAsia="zh-CN"/>
        </w:rPr>
        <w:t>2026</w:t>
      </w:r>
      <w:r>
        <w:rPr>
          <w:rFonts w:hint="eastAsia" w:ascii="宋体" w:hAnsi="宋体" w:eastAsia="宋体" w:cs="宋体"/>
          <w:b/>
          <w:bCs/>
          <w:color w:val="auto"/>
          <w:szCs w:val="21"/>
          <w:highlight w:val="none"/>
          <w:u w:val="none"/>
        </w:rPr>
        <w:t>年</w:t>
      </w:r>
      <w:r>
        <w:rPr>
          <w:rFonts w:hint="eastAsia" w:ascii="宋体" w:hAnsi="宋体" w:cs="宋体"/>
          <w:b/>
          <w:bCs/>
          <w:color w:val="auto"/>
          <w:szCs w:val="21"/>
          <w:highlight w:val="none"/>
          <w:u w:val="none"/>
          <w:lang w:val="en-US" w:eastAsia="zh-CN"/>
        </w:rPr>
        <w:t xml:space="preserve"> 5 </w:t>
      </w:r>
      <w:r>
        <w:rPr>
          <w:rFonts w:hint="eastAsia" w:ascii="宋体" w:hAnsi="宋体" w:eastAsia="宋体" w:cs="宋体"/>
          <w:b/>
          <w:bCs/>
          <w:color w:val="auto"/>
          <w:szCs w:val="21"/>
          <w:highlight w:val="none"/>
          <w:u w:val="none"/>
        </w:rPr>
        <w:t>月</w:t>
      </w:r>
      <w:r>
        <w:rPr>
          <w:rFonts w:hint="eastAsia" w:ascii="宋体" w:hAnsi="宋体" w:cs="宋体"/>
          <w:b/>
          <w:bCs/>
          <w:color w:val="auto"/>
          <w:szCs w:val="21"/>
          <w:highlight w:val="none"/>
          <w:u w:val="none"/>
          <w:lang w:val="en-US" w:eastAsia="zh-CN"/>
        </w:rPr>
        <w:t xml:space="preserve"> 14 </w:t>
      </w:r>
      <w:r>
        <w:rPr>
          <w:rFonts w:hint="eastAsia" w:ascii="宋体" w:hAnsi="宋体" w:eastAsia="宋体" w:cs="宋体"/>
          <w:b/>
          <w:bCs/>
          <w:color w:val="auto"/>
          <w:szCs w:val="21"/>
          <w:highlight w:val="none"/>
          <w:u w:val="none"/>
        </w:rPr>
        <w:t>日</w:t>
      </w:r>
      <w:r>
        <w:rPr>
          <w:rFonts w:hint="eastAsia" w:ascii="宋体" w:hAnsi="宋体" w:cs="宋体"/>
          <w:b/>
          <w:bCs/>
          <w:color w:val="auto"/>
          <w:szCs w:val="21"/>
          <w:highlight w:val="none"/>
          <w:u w:val="none"/>
          <w:lang w:val="en-US" w:eastAsia="zh-CN"/>
        </w:rPr>
        <w:t>14</w:t>
      </w:r>
      <w:r>
        <w:rPr>
          <w:rFonts w:hint="eastAsia" w:ascii="宋体" w:hAnsi="宋体" w:eastAsia="宋体" w:cs="宋体"/>
          <w:b/>
          <w:bCs/>
          <w:color w:val="auto"/>
          <w:szCs w:val="21"/>
          <w:highlight w:val="none"/>
          <w:u w:val="none"/>
        </w:rPr>
        <w:t>:</w:t>
      </w:r>
      <w:r>
        <w:rPr>
          <w:rFonts w:hint="eastAsia" w:ascii="宋体" w:hAnsi="宋体" w:cs="宋体"/>
          <w:b/>
          <w:bCs/>
          <w:color w:val="auto"/>
          <w:szCs w:val="21"/>
          <w:highlight w:val="none"/>
          <w:u w:val="none"/>
          <w:lang w:val="en-US" w:eastAsia="zh-CN"/>
        </w:rPr>
        <w:t>3</w:t>
      </w:r>
      <w:r>
        <w:rPr>
          <w:rFonts w:hint="eastAsia" w:ascii="宋体" w:hAnsi="宋体" w:eastAsia="宋体" w:cs="宋体"/>
          <w:b/>
          <w:bCs/>
          <w:color w:val="auto"/>
          <w:szCs w:val="21"/>
          <w:highlight w:val="none"/>
          <w:u w:val="none"/>
          <w:lang w:val="en-US" w:eastAsia="zh-CN"/>
        </w:rPr>
        <w:t>0</w:t>
      </w:r>
      <w:r>
        <w:rPr>
          <w:rFonts w:hint="eastAsia" w:ascii="宋体" w:hAnsi="宋体" w:eastAsia="宋体" w:cs="宋体"/>
          <w:b/>
          <w:bCs/>
          <w:color w:val="auto"/>
          <w:szCs w:val="21"/>
          <w:highlight w:val="none"/>
          <w:u w:val="none"/>
        </w:rPr>
        <w:t>（北京时间）</w:t>
      </w:r>
      <w:r>
        <w:rPr>
          <w:rFonts w:hint="eastAsia" w:ascii="宋体" w:hAnsi="宋体" w:eastAsia="宋体" w:cs="宋体"/>
          <w:color w:val="auto"/>
          <w:szCs w:val="21"/>
          <w:highlight w:val="none"/>
        </w:rPr>
        <w:t>，所有投标文件应于截止时间之前递交，迟交或以电报、传真形式的投标文件将拒绝接收。</w:t>
      </w:r>
    </w:p>
    <w:p w14:paraId="427173F6">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3、开标地点：</w:t>
      </w:r>
      <w:r>
        <w:rPr>
          <w:rFonts w:hint="eastAsia" w:ascii="宋体" w:hAnsi="宋体"/>
          <w:color w:val="000000" w:themeColor="text1"/>
          <w:szCs w:val="21"/>
          <w:lang w:eastAsia="zh-CN"/>
          <w14:textFill>
            <w14:solidFill>
              <w14:schemeClr w14:val="tx1"/>
            </w14:solidFill>
          </w14:textFill>
        </w:rPr>
        <w:t>广东省东莞市南城街道宏图路105号1栋313室</w:t>
      </w:r>
    </w:p>
    <w:p w14:paraId="64041E50">
      <w:pPr>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届时请投标人的法定代表人或其授权代表务必携带有效身份证明出席开标会</w:t>
      </w:r>
      <w:r>
        <w:rPr>
          <w:rFonts w:hint="eastAsia" w:ascii="宋体" w:hAnsi="宋体" w:eastAsia="宋体" w:cs="宋体"/>
          <w:bCs/>
          <w:color w:val="auto"/>
          <w:szCs w:val="21"/>
          <w:highlight w:val="none"/>
        </w:rPr>
        <w:t>。</w:t>
      </w:r>
    </w:p>
    <w:p w14:paraId="15AAB3DC">
      <w:pPr>
        <w:pStyle w:val="4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30C0797B">
      <w:pPr>
        <w:pStyle w:val="4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（1）逾期送达或者未送达指定地点的；</w:t>
      </w:r>
    </w:p>
    <w:p w14:paraId="1CA04984">
      <w:pPr>
        <w:pStyle w:val="4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（2）未按采购文件要求密封的。</w:t>
      </w:r>
    </w:p>
    <w:p w14:paraId="316EFC6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五、发布公告的媒介</w:t>
      </w:r>
    </w:p>
    <w:p w14:paraId="4EB927BC">
      <w:pPr>
        <w:pStyle w:val="4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46D29358">
      <w:pPr>
        <w:pStyle w:val="4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中国招标投标公共服务平台（http://www.cebpubservice.com/）、东莞实业投资控股集团有限公司-招标采购栏目（http://www.dgsy.com.cn/）、广东东实环境股份有限公司（www.dsenvironment.cn）、</w:t>
      </w:r>
      <w:r>
        <w:rPr>
          <w:rFonts w:hint="eastAsia" w:ascii="宋体" w:hAnsi="宋体" w:eastAsia="宋体" w:cs="宋体"/>
          <w:color w:val="auto"/>
          <w:sz w:val="21"/>
          <w:szCs w:val="21"/>
          <w:highlight w:val="none"/>
          <w:u w:val="single"/>
          <w:lang w:eastAsia="zh-CN"/>
        </w:rPr>
        <w:t>广州宏达工程顾问集团有限公司</w:t>
      </w:r>
      <w:r>
        <w:rPr>
          <w:rFonts w:hint="eastAsia" w:ascii="宋体" w:hAnsi="宋体" w:eastAsia="宋体" w:cs="宋体"/>
          <w:color w:val="auto"/>
          <w:sz w:val="21"/>
          <w:szCs w:val="21"/>
          <w:highlight w:val="none"/>
          <w:u w:val="single"/>
        </w:rPr>
        <w:t>网站（</w:t>
      </w:r>
      <w:r>
        <w:rPr>
          <w:rFonts w:hint="eastAsia" w:ascii="宋体" w:hAnsi="宋体" w:eastAsia="宋体" w:cs="宋体"/>
          <w:color w:val="auto"/>
          <w:sz w:val="21"/>
          <w:szCs w:val="21"/>
          <w:highlight w:val="none"/>
          <w:u w:val="single"/>
          <w:lang w:eastAsia="zh-CN"/>
        </w:rPr>
        <w:t>http://www.wangtat.com.cn/</w:t>
      </w:r>
      <w:r>
        <w:rPr>
          <w:rFonts w:hint="eastAsia" w:ascii="宋体" w:hAnsi="宋体" w:eastAsia="宋体" w:cs="宋体"/>
          <w:color w:val="auto"/>
          <w:sz w:val="21"/>
          <w:szCs w:val="21"/>
          <w:highlight w:val="none"/>
          <w:u w:val="single"/>
        </w:rPr>
        <w:t>）。</w:t>
      </w:r>
    </w:p>
    <w:p w14:paraId="31A2008F">
      <w:pPr>
        <w:pStyle w:val="4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1204A19F">
      <w:pPr>
        <w:pStyle w:val="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240A2D9D">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六、采购人及采购代理机构的名称、地址和联系方法</w:t>
      </w:r>
    </w:p>
    <w:p w14:paraId="4F291CC6">
      <w:pPr>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采购人名称：</w:t>
      </w:r>
      <w:r>
        <w:rPr>
          <w:rFonts w:hint="eastAsia" w:ascii="宋体" w:hAnsi="宋体" w:eastAsia="宋体" w:cs="宋体"/>
          <w:bCs/>
          <w:color w:val="auto"/>
          <w:szCs w:val="21"/>
          <w:highlight w:val="none"/>
          <w:lang w:eastAsia="zh-CN"/>
        </w:rPr>
        <w:t>东莞市新东元环保投资有限公司</w:t>
      </w:r>
    </w:p>
    <w:p w14:paraId="5F1A6A25">
      <w:pPr>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采购人联系人：</w:t>
      </w:r>
      <w:r>
        <w:rPr>
          <w:rFonts w:hint="eastAsia" w:ascii="宋体" w:hAnsi="宋体" w:eastAsia="宋体" w:cs="宋体"/>
          <w:bCs/>
          <w:color w:val="auto"/>
          <w:szCs w:val="21"/>
          <w:highlight w:val="none"/>
          <w:lang w:val="en-US" w:eastAsia="zh-CN"/>
        </w:rPr>
        <w:t>徐</w:t>
      </w:r>
      <w:r>
        <w:rPr>
          <w:rFonts w:hint="eastAsia" w:ascii="宋体" w:hAnsi="宋体" w:eastAsia="宋体" w:cs="宋体"/>
          <w:bCs/>
          <w:color w:val="auto"/>
          <w:szCs w:val="21"/>
          <w:highlight w:val="none"/>
          <w:lang w:eastAsia="zh-CN"/>
        </w:rPr>
        <w:t>工</w:t>
      </w:r>
    </w:p>
    <w:p w14:paraId="58CBCB8C">
      <w:pPr>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采购人地址：</w:t>
      </w:r>
      <w:r>
        <w:rPr>
          <w:rFonts w:hint="eastAsia" w:ascii="宋体" w:hAnsi="宋体" w:eastAsia="宋体" w:cs="宋体"/>
          <w:bCs/>
          <w:color w:val="auto"/>
          <w:szCs w:val="21"/>
          <w:highlight w:val="none"/>
          <w:lang w:eastAsia="zh-CN"/>
        </w:rPr>
        <w:t>东莞市麻涌镇大步村海心沙岛</w:t>
      </w:r>
    </w:p>
    <w:p w14:paraId="4891BBA0">
      <w:pPr>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采购人联系电话：</w:t>
      </w:r>
      <w:r>
        <w:rPr>
          <w:rFonts w:hint="eastAsia" w:ascii="宋体" w:hAnsi="宋体" w:cs="宋体"/>
          <w:bCs/>
          <w:color w:val="auto"/>
          <w:szCs w:val="21"/>
          <w:highlight w:val="none"/>
          <w:lang w:eastAsia="zh-CN"/>
        </w:rPr>
        <w:t>0769-81219261-6010</w:t>
      </w:r>
    </w:p>
    <w:p w14:paraId="7D1855CB">
      <w:pPr>
        <w:ind w:firstLine="420" w:firstLineChars="200"/>
        <w:rPr>
          <w:rFonts w:hint="eastAsia" w:ascii="宋体" w:hAnsi="宋体" w:eastAsia="宋体" w:cs="宋体"/>
          <w:color w:val="auto"/>
          <w:szCs w:val="21"/>
          <w:highlight w:val="none"/>
        </w:rPr>
      </w:pPr>
    </w:p>
    <w:p w14:paraId="733EA244">
      <w:pPr>
        <w:keepNext w:val="0"/>
        <w:keepLines w:val="0"/>
        <w:pageBreakBefore w:val="0"/>
        <w:widowControl/>
        <w:kinsoku/>
        <w:overflowPunct/>
        <w:topLinePunct w:val="0"/>
        <w:autoSpaceDE/>
        <w:autoSpaceDN/>
        <w:bidi w:val="0"/>
        <w:spacing w:line="384" w:lineRule="exact"/>
        <w:ind w:firstLine="420" w:firstLineChars="200"/>
        <w:textAlignment w:val="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采购代理机构名称：</w:t>
      </w:r>
      <w:r>
        <w:rPr>
          <w:rFonts w:hint="eastAsia" w:ascii="宋体" w:hAnsi="宋体"/>
          <w:color w:val="000000" w:themeColor="text1"/>
          <w:szCs w:val="21"/>
          <w:lang w:eastAsia="zh-CN"/>
          <w14:textFill>
            <w14:solidFill>
              <w14:schemeClr w14:val="tx1"/>
            </w14:solidFill>
          </w14:textFill>
        </w:rPr>
        <w:t>广州宏达工程顾问集团有限公司</w:t>
      </w:r>
    </w:p>
    <w:p w14:paraId="2479EBC9">
      <w:pPr>
        <w:keepNext w:val="0"/>
        <w:keepLines w:val="0"/>
        <w:pageBreakBefore w:val="0"/>
        <w:widowControl/>
        <w:kinsoku/>
        <w:overflowPunct/>
        <w:topLinePunct w:val="0"/>
        <w:autoSpaceDE/>
        <w:autoSpaceDN/>
        <w:bidi w:val="0"/>
        <w:spacing w:line="384" w:lineRule="exact"/>
        <w:ind w:firstLine="420" w:firstLineChars="200"/>
        <w:textAlignment w:val="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采购代理机构地址：</w:t>
      </w:r>
      <w:r>
        <w:rPr>
          <w:rFonts w:hint="eastAsia" w:ascii="宋体" w:hAnsi="宋体"/>
          <w:color w:val="000000" w:themeColor="text1"/>
          <w:szCs w:val="21"/>
          <w:lang w:eastAsia="zh-CN"/>
          <w14:textFill>
            <w14:solidFill>
              <w14:schemeClr w14:val="tx1"/>
            </w14:solidFill>
          </w14:textFill>
        </w:rPr>
        <w:t>广东省东莞市南城街道宏图路105号1栋313室</w:t>
      </w:r>
    </w:p>
    <w:p w14:paraId="1D79C158">
      <w:pPr>
        <w:keepNext w:val="0"/>
        <w:keepLines w:val="0"/>
        <w:pageBreakBefore w:val="0"/>
        <w:widowControl/>
        <w:kinsoku/>
        <w:overflowPunct/>
        <w:topLinePunct w:val="0"/>
        <w:autoSpaceDE/>
        <w:autoSpaceDN/>
        <w:bidi w:val="0"/>
        <w:spacing w:line="384" w:lineRule="exact"/>
        <w:ind w:firstLine="420" w:firstLineChars="200"/>
        <w:textAlignment w:val="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采购代理机构联系人：</w:t>
      </w:r>
      <w:r>
        <w:rPr>
          <w:rFonts w:hint="eastAsia" w:ascii="宋体" w:hAnsi="宋体"/>
          <w:color w:val="000000" w:themeColor="text1"/>
          <w:szCs w:val="21"/>
          <w:lang w:val="en-US" w:eastAsia="zh-CN"/>
          <w14:textFill>
            <w14:solidFill>
              <w14:schemeClr w14:val="tx1"/>
            </w14:solidFill>
          </w14:textFill>
        </w:rPr>
        <w:t>杨</w:t>
      </w:r>
      <w:r>
        <w:rPr>
          <w:rFonts w:hint="eastAsia" w:ascii="宋体" w:hAnsi="宋体"/>
          <w:color w:val="000000" w:themeColor="text1"/>
          <w:szCs w:val="21"/>
          <w:lang w:eastAsia="zh-CN"/>
          <w14:textFill>
            <w14:solidFill>
              <w14:schemeClr w14:val="tx1"/>
            </w14:solidFill>
          </w14:textFill>
        </w:rPr>
        <w:t>小姐</w:t>
      </w:r>
    </w:p>
    <w:p w14:paraId="448A4E84">
      <w:pPr>
        <w:keepNext w:val="0"/>
        <w:keepLines w:val="0"/>
        <w:pageBreakBefore w:val="0"/>
        <w:widowControl/>
        <w:kinsoku/>
        <w:overflowPunct/>
        <w:topLinePunct w:val="0"/>
        <w:autoSpaceDE/>
        <w:autoSpaceDN/>
        <w:bidi w:val="0"/>
        <w:spacing w:line="384" w:lineRule="exact"/>
        <w:ind w:firstLine="420" w:firstLineChars="200"/>
        <w:textAlignment w:val="auto"/>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采购代理机构联系电话：</w:t>
      </w:r>
      <w:r>
        <w:rPr>
          <w:rFonts w:hint="eastAsia" w:ascii="宋体" w:hAnsi="宋体"/>
          <w:color w:val="000000" w:themeColor="text1"/>
          <w:szCs w:val="21"/>
          <w:lang w:eastAsia="zh-CN"/>
          <w14:textFill>
            <w14:solidFill>
              <w14:schemeClr w14:val="tx1"/>
            </w14:solidFill>
          </w14:textFill>
        </w:rPr>
        <w:t>0769-28056866</w:t>
      </w:r>
      <w:r>
        <w:rPr>
          <w:rFonts w:hint="eastAsia" w:ascii="宋体" w:hAnsi="宋体"/>
          <w:color w:val="000000" w:themeColor="text1"/>
          <w:szCs w:val="21"/>
          <w:lang w:val="en-US" w:eastAsia="zh-CN"/>
          <w14:textFill>
            <w14:solidFill>
              <w14:schemeClr w14:val="tx1"/>
            </w14:solidFill>
          </w14:textFill>
        </w:rPr>
        <w:t>-807</w:t>
      </w:r>
    </w:p>
    <w:p w14:paraId="0B92BA56">
      <w:pPr>
        <w:keepNext w:val="0"/>
        <w:keepLines w:val="0"/>
        <w:pageBreakBefore w:val="0"/>
        <w:widowControl/>
        <w:kinsoku/>
        <w:overflowPunct/>
        <w:topLinePunct w:val="0"/>
        <w:autoSpaceDE/>
        <w:autoSpaceDN/>
        <w:bidi w:val="0"/>
        <w:spacing w:line="384" w:lineRule="exact"/>
        <w:ind w:firstLine="420" w:firstLineChars="200"/>
        <w:textAlignment w:val="auto"/>
        <w:rPr>
          <w:rFonts w:hint="eastAsia" w:ascii="宋体" w:hAnsi="宋体"/>
          <w:color w:val="000000" w:themeColor="text1"/>
          <w:szCs w:val="21"/>
          <w:u w:val="non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采购代理机构邮箱：</w:t>
      </w:r>
      <w:r>
        <w:rPr>
          <w:rFonts w:hint="eastAsia" w:ascii="宋体" w:hAnsi="宋体"/>
          <w:color w:val="000000" w:themeColor="text1"/>
          <w:szCs w:val="21"/>
          <w:u w:val="none"/>
          <w:lang w:eastAsia="zh-CN"/>
          <w14:textFill>
            <w14:solidFill>
              <w14:schemeClr w14:val="tx1"/>
            </w14:solidFill>
          </w14:textFill>
        </w:rPr>
        <w:t>dgwangtat@163.com</w:t>
      </w:r>
    </w:p>
    <w:p w14:paraId="25149A32">
      <w:pPr>
        <w:ind w:firstLine="420" w:firstLineChars="200"/>
        <w:rPr>
          <w:rFonts w:hint="eastAsia" w:ascii="宋体" w:hAnsi="宋体" w:eastAsia="宋体" w:cs="宋体"/>
          <w:color w:val="auto"/>
          <w:highlight w:val="none"/>
        </w:rPr>
      </w:pPr>
    </w:p>
    <w:p w14:paraId="46C5B11D">
      <w:pPr>
        <w:keepNext w:val="0"/>
        <w:keepLines w:val="0"/>
        <w:pageBreakBefore w:val="0"/>
        <w:widowControl/>
        <w:kinsoku/>
        <w:wordWrap/>
        <w:overflowPunct/>
        <w:topLinePunct w:val="0"/>
        <w:autoSpaceDE/>
        <w:autoSpaceDN/>
        <w:bidi w:val="0"/>
        <w:adjustRightInd/>
        <w:snapToGrid/>
        <w:spacing w:line="400" w:lineRule="exact"/>
        <w:ind w:right="0" w:rightChars="0"/>
        <w:jc w:val="righ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广州宏达工程顾问集团有限公司</w:t>
      </w:r>
    </w:p>
    <w:p w14:paraId="6A82556F">
      <w:pPr>
        <w:keepNext w:val="0"/>
        <w:keepLines w:val="0"/>
        <w:pageBreakBefore w:val="0"/>
        <w:widowControl/>
        <w:kinsoku/>
        <w:wordWrap w:val="0"/>
        <w:overflowPunct/>
        <w:topLinePunct w:val="0"/>
        <w:autoSpaceDE/>
        <w:autoSpaceDN/>
        <w:bidi w:val="0"/>
        <w:adjustRightInd/>
        <w:snapToGrid/>
        <w:spacing w:line="384" w:lineRule="exact"/>
        <w:ind w:left="0" w:leftChars="0" w:right="-25" w:rightChars="-12" w:firstLine="0" w:firstLineChars="0"/>
        <w:jc w:val="right"/>
        <w:textAlignment w:val="auto"/>
        <w:rPr>
          <w:rFonts w:hint="default" w:ascii="宋体" w:hAnsi="宋体" w:eastAsia="宋体" w:cs="宋体"/>
          <w:bCs/>
          <w:color w:val="auto"/>
          <w:sz w:val="21"/>
          <w:szCs w:val="21"/>
          <w:lang w:val="en-US" w:eastAsia="zh-CN"/>
        </w:rPr>
      </w:pPr>
      <w:r>
        <w:rPr>
          <w:rFonts w:hint="eastAsia" w:ascii="宋体" w:hAnsi="宋体" w:eastAsia="宋体" w:cs="宋体"/>
          <w:color w:val="auto"/>
          <w:sz w:val="21"/>
          <w:szCs w:val="21"/>
          <w:highlight w:val="none"/>
          <w:lang w:val="en-US" w:eastAsia="zh-CN"/>
        </w:rPr>
        <w:t xml:space="preserve">2026年 4 月 </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 xml:space="preserve"> 日</w:t>
      </w:r>
    </w:p>
    <w:p w14:paraId="19CE8A36">
      <w:pPr>
        <w:ind w:left="6205" w:leftChars="2755"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4F070BAB">
      <w:pPr>
        <w:pStyle w:val="3"/>
        <w:spacing w:before="0" w:after="0" w:line="240" w:lineRule="auto"/>
        <w:rPr>
          <w:rFonts w:hint="eastAsia" w:ascii="宋体" w:hAnsi="宋体" w:eastAsia="宋体" w:cs="宋体"/>
          <w:color w:val="auto"/>
          <w:sz w:val="28"/>
          <w:szCs w:val="28"/>
          <w:highlight w:val="none"/>
        </w:rPr>
      </w:pPr>
      <w:bookmarkStart w:id="5" w:name="_Toc4758"/>
      <w:bookmarkStart w:id="6" w:name="_Toc25850"/>
      <w:r>
        <w:rPr>
          <w:rFonts w:hint="eastAsia" w:ascii="宋体" w:hAnsi="宋体" w:eastAsia="宋体" w:cs="宋体"/>
          <w:color w:val="auto"/>
          <w:sz w:val="28"/>
          <w:szCs w:val="28"/>
          <w:highlight w:val="none"/>
        </w:rPr>
        <w:t>第二部分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相关资料表格</w:t>
      </w:r>
      <w:bookmarkEnd w:id="5"/>
      <w:bookmarkEnd w:id="6"/>
    </w:p>
    <w:p w14:paraId="578E5B60">
      <w:pPr>
        <w:pStyle w:val="4"/>
        <w:spacing w:before="0" w:after="0" w:line="240" w:lineRule="auto"/>
        <w:jc w:val="center"/>
        <w:rPr>
          <w:rFonts w:hint="eastAsia" w:ascii="宋体" w:hAnsi="宋体" w:eastAsia="宋体" w:cs="宋体"/>
          <w:color w:val="auto"/>
          <w:sz w:val="24"/>
          <w:szCs w:val="24"/>
          <w:highlight w:val="none"/>
        </w:rPr>
      </w:pPr>
      <w:bookmarkStart w:id="7" w:name="_Toc15539"/>
      <w:bookmarkStart w:id="8" w:name="_Toc12588"/>
      <w:bookmarkStart w:id="9" w:name="_Toc31223"/>
      <w:bookmarkStart w:id="10" w:name="_Toc12826"/>
      <w:r>
        <w:rPr>
          <w:rFonts w:hint="eastAsia" w:ascii="宋体" w:hAnsi="宋体" w:eastAsia="宋体" w:cs="宋体"/>
          <w:color w:val="auto"/>
          <w:sz w:val="24"/>
          <w:szCs w:val="24"/>
          <w:highlight w:val="none"/>
        </w:rPr>
        <w:t>附表一：投标资料表</w:t>
      </w:r>
      <w:bookmarkEnd w:id="7"/>
      <w:bookmarkEnd w:id="8"/>
    </w:p>
    <w:tbl>
      <w:tblPr>
        <w:tblStyle w:val="31"/>
        <w:tblW w:w="499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96"/>
        <w:gridCol w:w="2235"/>
        <w:gridCol w:w="5329"/>
      </w:tblGrid>
      <w:tr w14:paraId="2C18B9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476" w:type="pct"/>
            <w:tcBorders>
              <w:tl2br w:val="nil"/>
              <w:tr2bl w:val="nil"/>
            </w:tcBorders>
            <w:vAlign w:val="center"/>
          </w:tcPr>
          <w:p w14:paraId="197B116A">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523" w:type="pct"/>
            <w:gridSpan w:val="2"/>
            <w:tcBorders>
              <w:tl2br w:val="nil"/>
              <w:tr2bl w:val="nil"/>
            </w:tcBorders>
            <w:vAlign w:val="center"/>
          </w:tcPr>
          <w:p w14:paraId="493623AF">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r>
      <w:tr w14:paraId="13B50D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5000" w:type="pct"/>
            <w:gridSpan w:val="3"/>
            <w:tcBorders>
              <w:tl2br w:val="nil"/>
              <w:tr2bl w:val="nil"/>
            </w:tcBorders>
            <w:vAlign w:val="center"/>
          </w:tcPr>
          <w:p w14:paraId="4BBE16A9">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一、说明</w:t>
            </w:r>
          </w:p>
        </w:tc>
      </w:tr>
      <w:tr w14:paraId="56CD48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476" w:type="pct"/>
            <w:vMerge w:val="restart"/>
            <w:tcBorders>
              <w:tl2br w:val="nil"/>
              <w:tr2bl w:val="nil"/>
            </w:tcBorders>
            <w:vAlign w:val="center"/>
          </w:tcPr>
          <w:p w14:paraId="3771CFCB">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523" w:type="pct"/>
            <w:gridSpan w:val="2"/>
            <w:tcBorders>
              <w:tl2br w:val="nil"/>
              <w:tr2bl w:val="nil"/>
            </w:tcBorders>
            <w:vAlign w:val="center"/>
          </w:tcPr>
          <w:p w14:paraId="2619C38F">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投标报价</w:t>
            </w:r>
          </w:p>
        </w:tc>
      </w:tr>
      <w:tr w14:paraId="3FD7AA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continue"/>
            <w:tcBorders>
              <w:tl2br w:val="nil"/>
              <w:tr2bl w:val="nil"/>
            </w:tcBorders>
            <w:vAlign w:val="center"/>
          </w:tcPr>
          <w:p w14:paraId="2099DECB">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67A6FFCC">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1.本采购项目为固定单价承包项目，合同价款包括投标人为完成采购项目所需的一切含成本、费用、税金、利润及项目过程中一切可遇见和不可遇见的所有费用。</w:t>
            </w:r>
          </w:p>
          <w:p w14:paraId="38EEDAF1">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2.若投标人对某些项目未报价，则应认为已包括在其它项目的单价和合价内。</w:t>
            </w:r>
          </w:p>
          <w:p w14:paraId="5BFC2DCC">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3.投标人的优惠条件应在投标文件中详细予以说明，并与投标报价表一同密封，否则，评标委员会在评审时均将不予考虑。</w:t>
            </w:r>
          </w:p>
          <w:p w14:paraId="7B5758A5">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4.本项目暂定采购预算为人民币</w:t>
            </w:r>
            <w:r>
              <w:rPr>
                <w:rFonts w:hint="eastAsia" w:ascii="宋体" w:hAnsi="宋体" w:cs="宋体"/>
                <w:b w:val="0"/>
                <w:bCs w:val="0"/>
                <w:color w:val="auto"/>
                <w:szCs w:val="21"/>
                <w:highlight w:val="none"/>
                <w:lang w:val="en-US" w:eastAsia="zh-CN"/>
              </w:rPr>
              <w:t>7,434,000‬</w:t>
            </w:r>
            <w:r>
              <w:rPr>
                <w:rFonts w:hint="eastAsia" w:ascii="宋体" w:hAnsi="宋体" w:eastAsia="宋体" w:cs="宋体"/>
                <w:b w:val="0"/>
                <w:bCs w:val="0"/>
                <w:color w:val="auto"/>
                <w:szCs w:val="21"/>
                <w:highlight w:val="none"/>
                <w:lang w:val="en-US" w:eastAsia="zh-CN"/>
              </w:rPr>
              <w:t>.00元。投标人报价超出暂定采购预算将被视为非实质性响应而予以否决投标处理。</w:t>
            </w:r>
          </w:p>
          <w:p w14:paraId="4FCA282B">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5.本项目采用辅料单价及暂定总价报价，以暂定总价报价进行投标报价评审，并要求投标人在明细报价表填报辅料单价报价，投标人在明细报价表中填报的辅料明细报价超出技术需求书规定的辅料单价最高限价的将被视为非实质性响应而予以投标无效处理。</w:t>
            </w:r>
          </w:p>
        </w:tc>
      </w:tr>
      <w:tr w14:paraId="27CA28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restart"/>
            <w:tcBorders>
              <w:tl2br w:val="nil"/>
              <w:tr2bl w:val="nil"/>
            </w:tcBorders>
            <w:vAlign w:val="center"/>
          </w:tcPr>
          <w:p w14:paraId="7FB416E9">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523" w:type="pct"/>
            <w:gridSpan w:val="2"/>
            <w:tcBorders>
              <w:tl2br w:val="nil"/>
              <w:tr2bl w:val="nil"/>
            </w:tcBorders>
            <w:vAlign w:val="center"/>
          </w:tcPr>
          <w:p w14:paraId="3999452B">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发包方式</w:t>
            </w:r>
          </w:p>
        </w:tc>
      </w:tr>
      <w:tr w14:paraId="7D04EB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continue"/>
            <w:tcBorders>
              <w:tl2br w:val="nil"/>
              <w:tr2bl w:val="nil"/>
            </w:tcBorders>
            <w:vAlign w:val="center"/>
          </w:tcPr>
          <w:p w14:paraId="6B541C19">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15CCDB74">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
                <w:bCs/>
                <w:color w:val="auto"/>
                <w:szCs w:val="21"/>
                <w:highlight w:val="none"/>
              </w:rPr>
              <w:t>固定总价包干；</w:t>
            </w:r>
          </w:p>
          <w:p w14:paraId="58CE5E56">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
                <w:bCs/>
                <w:color w:val="auto"/>
                <w:szCs w:val="21"/>
                <w:highlight w:val="none"/>
              </w:rPr>
              <w:t>固定单价暂定总价包干；</w:t>
            </w:r>
          </w:p>
          <w:p w14:paraId="1E6B050A">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bCs/>
                <w:color w:val="auto"/>
                <w:szCs w:val="21"/>
                <w:highlight w:val="none"/>
                <w:u w:val="single"/>
              </w:rPr>
            </w:pP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费率</w:t>
            </w:r>
            <w:r>
              <w:rPr>
                <w:rFonts w:hint="eastAsia" w:ascii="宋体" w:hAnsi="宋体" w:eastAsia="宋体" w:cs="宋体"/>
                <w:b/>
                <w:bCs/>
                <w:color w:val="auto"/>
                <w:szCs w:val="21"/>
                <w:highlight w:val="none"/>
                <w:u w:val="single"/>
              </w:rPr>
              <w:t xml:space="preserve">         ；</w:t>
            </w:r>
          </w:p>
          <w:p w14:paraId="129AFF10">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
                <w:bCs/>
                <w:color w:val="auto"/>
                <w:szCs w:val="21"/>
                <w:highlight w:val="none"/>
              </w:rPr>
              <w:t>其他</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p>
        </w:tc>
      </w:tr>
      <w:tr w14:paraId="5C7B0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476" w:type="pct"/>
            <w:vMerge w:val="restart"/>
            <w:tcBorders>
              <w:tl2br w:val="nil"/>
              <w:tr2bl w:val="nil"/>
            </w:tcBorders>
            <w:vAlign w:val="center"/>
          </w:tcPr>
          <w:p w14:paraId="5653FCA5">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4523" w:type="pct"/>
            <w:gridSpan w:val="2"/>
            <w:tcBorders>
              <w:tl2br w:val="nil"/>
              <w:tr2bl w:val="nil"/>
            </w:tcBorders>
            <w:vAlign w:val="center"/>
          </w:tcPr>
          <w:p w14:paraId="3E912806">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资金来源</w:t>
            </w:r>
          </w:p>
        </w:tc>
      </w:tr>
      <w:tr w14:paraId="56A6E3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continue"/>
            <w:tcBorders>
              <w:tl2br w:val="nil"/>
              <w:tr2bl w:val="nil"/>
            </w:tcBorders>
            <w:vAlign w:val="center"/>
          </w:tcPr>
          <w:p w14:paraId="5A45881C">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15979029">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u w:val="single"/>
              </w:rPr>
              <w:t>自筹资金。</w:t>
            </w:r>
          </w:p>
        </w:tc>
      </w:tr>
      <w:tr w14:paraId="60B074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476" w:type="pct"/>
            <w:vMerge w:val="restart"/>
            <w:tcBorders>
              <w:tl2br w:val="nil"/>
              <w:tr2bl w:val="nil"/>
            </w:tcBorders>
            <w:vAlign w:val="center"/>
          </w:tcPr>
          <w:p w14:paraId="3555B8BB">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4523" w:type="pct"/>
            <w:gridSpan w:val="2"/>
            <w:tcBorders>
              <w:tl2br w:val="nil"/>
              <w:tr2bl w:val="nil"/>
            </w:tcBorders>
            <w:vAlign w:val="center"/>
          </w:tcPr>
          <w:p w14:paraId="14314C9C">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踏勘现场</w:t>
            </w:r>
          </w:p>
        </w:tc>
      </w:tr>
      <w:tr w14:paraId="0D922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continue"/>
            <w:tcBorders>
              <w:tl2br w:val="nil"/>
              <w:tr2bl w:val="nil"/>
            </w:tcBorders>
            <w:vAlign w:val="center"/>
          </w:tcPr>
          <w:p w14:paraId="6055EB76">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7BCADC79">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不组织。</w:t>
            </w:r>
            <w:r>
              <w:rPr>
                <w:rFonts w:hint="eastAsia" w:ascii="宋体" w:hAnsi="宋体" w:eastAsia="宋体" w:cs="宋体"/>
                <w:bCs/>
                <w:color w:val="auto"/>
                <w:szCs w:val="21"/>
                <w:highlight w:val="none"/>
                <w:u w:val="single"/>
                <w:lang w:val="en-US" w:eastAsia="zh-CN"/>
              </w:rPr>
              <w:t>在投标截止时间前，投标人可自行联系采购人</w:t>
            </w:r>
            <w:r>
              <w:rPr>
                <w:rFonts w:hint="eastAsia" w:ascii="宋体" w:hAnsi="宋体" w:eastAsia="宋体" w:cs="宋体"/>
                <w:bCs/>
                <w:color w:val="auto"/>
                <w:szCs w:val="21"/>
                <w:highlight w:val="none"/>
                <w:u w:val="single"/>
              </w:rPr>
              <w:t>踏勘</w:t>
            </w:r>
            <w:r>
              <w:rPr>
                <w:rFonts w:hint="eastAsia" w:ascii="宋体" w:hAnsi="宋体" w:eastAsia="宋体" w:cs="宋体"/>
                <w:bCs/>
                <w:color w:val="auto"/>
                <w:szCs w:val="21"/>
                <w:highlight w:val="none"/>
                <w:u w:val="single"/>
                <w:lang w:val="en-US" w:eastAsia="zh-CN"/>
              </w:rPr>
              <w:t>现场</w:t>
            </w:r>
            <w:r>
              <w:rPr>
                <w:rFonts w:hint="eastAsia" w:ascii="宋体" w:hAnsi="宋体" w:eastAsia="宋体" w:cs="宋体"/>
                <w:bCs/>
                <w:color w:val="auto"/>
                <w:szCs w:val="21"/>
                <w:highlight w:val="none"/>
              </w:rPr>
              <w:t>。</w:t>
            </w:r>
          </w:p>
          <w:p w14:paraId="5ED7A2F5">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组织，踏勘现场时间、地点：</w:t>
            </w:r>
          </w:p>
        </w:tc>
      </w:tr>
      <w:tr w14:paraId="2EB9B4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5000" w:type="pct"/>
            <w:gridSpan w:val="3"/>
            <w:tcBorders>
              <w:tl2br w:val="nil"/>
              <w:tr2bl w:val="nil"/>
            </w:tcBorders>
            <w:vAlign w:val="center"/>
          </w:tcPr>
          <w:p w14:paraId="50420F9D">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二、投标文件的编制</w:t>
            </w:r>
          </w:p>
        </w:tc>
      </w:tr>
      <w:tr w14:paraId="6E0F08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476" w:type="pct"/>
            <w:vMerge w:val="restart"/>
            <w:tcBorders>
              <w:tl2br w:val="nil"/>
              <w:tr2bl w:val="nil"/>
            </w:tcBorders>
            <w:vAlign w:val="center"/>
          </w:tcPr>
          <w:p w14:paraId="7473992B">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4523" w:type="pct"/>
            <w:gridSpan w:val="2"/>
            <w:tcBorders>
              <w:tl2br w:val="nil"/>
              <w:tr2bl w:val="nil"/>
            </w:tcBorders>
            <w:vAlign w:val="center"/>
          </w:tcPr>
          <w:p w14:paraId="77EC4636">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投标语言</w:t>
            </w:r>
          </w:p>
        </w:tc>
      </w:tr>
      <w:tr w14:paraId="4F74FE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continue"/>
            <w:tcBorders>
              <w:tl2br w:val="nil"/>
              <w:tr2bl w:val="nil"/>
            </w:tcBorders>
            <w:vAlign w:val="center"/>
          </w:tcPr>
          <w:p w14:paraId="171FABD9">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01949DA7">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中文。</w:t>
            </w:r>
          </w:p>
        </w:tc>
      </w:tr>
      <w:tr w14:paraId="0320E5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476" w:type="pct"/>
            <w:vMerge w:val="restart"/>
            <w:tcBorders>
              <w:tl2br w:val="nil"/>
              <w:tr2bl w:val="nil"/>
            </w:tcBorders>
            <w:vAlign w:val="center"/>
          </w:tcPr>
          <w:p w14:paraId="7EA6DFB9">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4523" w:type="pct"/>
            <w:gridSpan w:val="2"/>
            <w:tcBorders>
              <w:tl2br w:val="nil"/>
              <w:tr2bl w:val="nil"/>
            </w:tcBorders>
            <w:vAlign w:val="center"/>
          </w:tcPr>
          <w:p w14:paraId="3B1CDB92">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r>
      <w:tr w14:paraId="0A928A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continue"/>
            <w:tcBorders>
              <w:tl2br w:val="nil"/>
              <w:tr2bl w:val="nil"/>
            </w:tcBorders>
            <w:vAlign w:val="center"/>
          </w:tcPr>
          <w:p w14:paraId="37E84683">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381DBEEB">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详见投标人须知。</w:t>
            </w:r>
          </w:p>
        </w:tc>
      </w:tr>
      <w:tr w14:paraId="180120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476" w:type="pct"/>
            <w:vMerge w:val="restart"/>
            <w:tcBorders>
              <w:tl2br w:val="nil"/>
              <w:tr2bl w:val="nil"/>
            </w:tcBorders>
            <w:vAlign w:val="center"/>
          </w:tcPr>
          <w:p w14:paraId="4C7CCB0C">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4523" w:type="pct"/>
            <w:gridSpan w:val="2"/>
            <w:tcBorders>
              <w:tl2br w:val="nil"/>
              <w:tr2bl w:val="nil"/>
            </w:tcBorders>
            <w:vAlign w:val="center"/>
          </w:tcPr>
          <w:p w14:paraId="28D4295E">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投标保证金</w:t>
            </w:r>
          </w:p>
        </w:tc>
      </w:tr>
      <w:tr w14:paraId="7C8804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476" w:type="pct"/>
            <w:vMerge w:val="continue"/>
            <w:tcBorders>
              <w:tl2br w:val="nil"/>
              <w:tr2bl w:val="nil"/>
            </w:tcBorders>
            <w:vAlign w:val="center"/>
          </w:tcPr>
          <w:p w14:paraId="4D86C194">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19DF67BD">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0,000.00（大写：人民币</w:t>
            </w:r>
            <w:r>
              <w:rPr>
                <w:rFonts w:hint="eastAsia" w:ascii="宋体" w:hAnsi="宋体" w:cs="宋体"/>
                <w:color w:val="auto"/>
                <w:szCs w:val="21"/>
                <w:highlight w:val="none"/>
                <w:lang w:val="en-US" w:eastAsia="zh-CN"/>
              </w:rPr>
              <w:t>壹拾肆万元整</w:t>
            </w:r>
            <w:r>
              <w:rPr>
                <w:rFonts w:hint="eastAsia" w:ascii="宋体" w:hAnsi="宋体" w:eastAsia="宋体" w:cs="宋体"/>
                <w:color w:val="auto"/>
                <w:szCs w:val="21"/>
                <w:highlight w:val="none"/>
              </w:rPr>
              <w:t>）</w:t>
            </w:r>
          </w:p>
        </w:tc>
      </w:tr>
      <w:tr w14:paraId="5E3088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476" w:type="pct"/>
            <w:vMerge w:val="continue"/>
            <w:tcBorders>
              <w:tl2br w:val="nil"/>
              <w:tr2bl w:val="nil"/>
            </w:tcBorders>
            <w:vAlign w:val="center"/>
          </w:tcPr>
          <w:p w14:paraId="4A99F501">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2E2E244C">
            <w:pPr>
              <w:keepNext w:val="0"/>
              <w:keepLines w:val="0"/>
              <w:pageBreakBefore w:val="0"/>
              <w:tabs>
                <w:tab w:val="left" w:pos="567"/>
              </w:tabs>
              <w:kinsoku/>
              <w:wordWrap/>
              <w:overflowPunct/>
              <w:topLinePunct w:val="0"/>
              <w:autoSpaceDE/>
              <w:autoSpaceDN/>
              <w:bidi w:val="0"/>
              <w:spacing w:line="420" w:lineRule="exact"/>
              <w:jc w:val="both"/>
              <w:textAlignment w:val="auto"/>
              <w:rPr>
                <w:rFonts w:hint="eastAsia" w:ascii="宋体" w:hAnsi="宋体" w:eastAsia="宋体" w:cs="宋体"/>
                <w:color w:val="auto"/>
                <w:kern w:val="2"/>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30B46761">
            <w:pPr>
              <w:keepNext w:val="0"/>
              <w:keepLines w:val="0"/>
              <w:pageBreakBefore w:val="0"/>
              <w:tabs>
                <w:tab w:val="left" w:pos="567"/>
              </w:tabs>
              <w:kinsoku/>
              <w:wordWrap/>
              <w:overflowPunct/>
              <w:topLinePunct w:val="0"/>
              <w:autoSpaceDE/>
              <w:autoSpaceDN/>
              <w:bidi w:val="0"/>
              <w:spacing w:line="420" w:lineRule="exact"/>
              <w:ind w:left="567" w:hanging="567"/>
              <w:jc w:val="both"/>
              <w:textAlignment w:val="auto"/>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投标保证金专用账户如下：</w:t>
            </w:r>
          </w:p>
          <w:p w14:paraId="3438D20E">
            <w:pPr>
              <w:keepNext w:val="0"/>
              <w:keepLines w:val="0"/>
              <w:pageBreakBefore w:val="0"/>
              <w:tabs>
                <w:tab w:val="left" w:pos="567"/>
              </w:tabs>
              <w:kinsoku/>
              <w:wordWrap/>
              <w:overflowPunct/>
              <w:topLinePunct w:val="0"/>
              <w:autoSpaceDE/>
              <w:autoSpaceDN/>
              <w:bidi w:val="0"/>
              <w:spacing w:line="420" w:lineRule="exact"/>
              <w:ind w:firstLine="420" w:firstLineChars="200"/>
              <w:jc w:val="both"/>
              <w:textAlignment w:val="auto"/>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帐户名称：</w:t>
            </w:r>
            <w:r>
              <w:rPr>
                <w:rFonts w:hint="eastAsia" w:ascii="宋体" w:hAnsi="宋体" w:eastAsia="宋体" w:cs="宋体"/>
                <w:color w:val="auto"/>
                <w:kern w:val="2"/>
                <w:szCs w:val="21"/>
                <w:highlight w:val="none"/>
                <w:u w:val="single"/>
                <w:lang w:val="zh-CN"/>
              </w:rPr>
              <w:t>东莞市新东元环保投资有限公司；</w:t>
            </w:r>
          </w:p>
          <w:p w14:paraId="4C27C34F">
            <w:pPr>
              <w:keepNext w:val="0"/>
              <w:keepLines w:val="0"/>
              <w:pageBreakBefore w:val="0"/>
              <w:tabs>
                <w:tab w:val="left" w:pos="567"/>
              </w:tabs>
              <w:kinsoku/>
              <w:wordWrap/>
              <w:overflowPunct/>
              <w:topLinePunct w:val="0"/>
              <w:autoSpaceDE/>
              <w:autoSpaceDN/>
              <w:bidi w:val="0"/>
              <w:spacing w:line="420" w:lineRule="exact"/>
              <w:ind w:firstLine="420" w:firstLineChars="200"/>
              <w:jc w:val="both"/>
              <w:textAlignment w:val="auto"/>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开户银行：</w:t>
            </w:r>
            <w:r>
              <w:rPr>
                <w:rFonts w:hint="eastAsia" w:ascii="宋体" w:hAnsi="宋体" w:eastAsia="宋体" w:cs="宋体"/>
                <w:color w:val="auto"/>
                <w:kern w:val="2"/>
                <w:szCs w:val="21"/>
                <w:highlight w:val="none"/>
                <w:u w:val="single"/>
                <w:lang w:val="zh-CN"/>
              </w:rPr>
              <w:t>中国银行股份有限公司东莞分行；</w:t>
            </w:r>
          </w:p>
          <w:p w14:paraId="34CC86B6">
            <w:pPr>
              <w:keepNext w:val="0"/>
              <w:keepLines w:val="0"/>
              <w:pageBreakBefore w:val="0"/>
              <w:tabs>
                <w:tab w:val="left" w:pos="567"/>
              </w:tabs>
              <w:kinsoku/>
              <w:wordWrap/>
              <w:overflowPunct/>
              <w:topLinePunct w:val="0"/>
              <w:autoSpaceDE/>
              <w:autoSpaceDN/>
              <w:bidi w:val="0"/>
              <w:spacing w:line="420" w:lineRule="exact"/>
              <w:ind w:firstLine="420" w:firstLineChars="200"/>
              <w:jc w:val="both"/>
              <w:textAlignment w:val="auto"/>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银行帐号：</w:t>
            </w:r>
            <w:r>
              <w:rPr>
                <w:rFonts w:hint="eastAsia" w:ascii="宋体" w:hAnsi="宋体" w:eastAsia="宋体" w:cs="宋体"/>
                <w:color w:val="auto"/>
                <w:kern w:val="2"/>
                <w:szCs w:val="21"/>
                <w:highlight w:val="none"/>
                <w:u w:val="single"/>
                <w:lang w:val="zh-CN"/>
              </w:rPr>
              <w:t>669170104633；</w:t>
            </w:r>
          </w:p>
          <w:p w14:paraId="609DC6AE">
            <w:pPr>
              <w:keepNext w:val="0"/>
              <w:keepLines w:val="0"/>
              <w:pageBreakBefore w:val="0"/>
              <w:tabs>
                <w:tab w:val="left" w:pos="567"/>
              </w:tabs>
              <w:kinsoku/>
              <w:wordWrap/>
              <w:overflowPunct/>
              <w:topLinePunct w:val="0"/>
              <w:autoSpaceDE/>
              <w:autoSpaceDN/>
              <w:bidi w:val="0"/>
              <w:spacing w:line="420" w:lineRule="exact"/>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（注：各投标人在转帐或电汇时须在用途栏上备注项目编号，及项目名称，如有字数限制项目名称可简写。）</w:t>
            </w:r>
          </w:p>
        </w:tc>
      </w:tr>
      <w:tr w14:paraId="64FC50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476" w:type="pct"/>
            <w:vMerge w:val="restart"/>
            <w:tcBorders>
              <w:tl2br w:val="nil"/>
              <w:tr2bl w:val="nil"/>
            </w:tcBorders>
            <w:vAlign w:val="center"/>
          </w:tcPr>
          <w:p w14:paraId="4038D06F">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4523" w:type="pct"/>
            <w:gridSpan w:val="2"/>
            <w:tcBorders>
              <w:tl2br w:val="nil"/>
              <w:tr2bl w:val="nil"/>
            </w:tcBorders>
            <w:vAlign w:val="center"/>
          </w:tcPr>
          <w:p w14:paraId="4C03C5EC">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投标保证金退还</w:t>
            </w:r>
          </w:p>
        </w:tc>
      </w:tr>
      <w:tr w14:paraId="7D8CA2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15" w:hRule="atLeast"/>
        </w:trPr>
        <w:tc>
          <w:tcPr>
            <w:tcW w:w="476" w:type="pct"/>
            <w:vMerge w:val="continue"/>
            <w:tcBorders>
              <w:tl2br w:val="nil"/>
              <w:tr2bl w:val="nil"/>
            </w:tcBorders>
            <w:vAlign w:val="center"/>
          </w:tcPr>
          <w:p w14:paraId="023A5DBD">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067D7F28">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zh-CN"/>
              </w:rPr>
              <w:t>未中标的投标人的保证金应当在中标通知书发出后退还，中标</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投标人的保证金应当在采购合同签订</w:t>
            </w:r>
            <w:r>
              <w:rPr>
                <w:rFonts w:hint="eastAsia" w:ascii="宋体" w:hAnsi="宋体" w:eastAsia="宋体" w:cs="宋体"/>
                <w:color w:val="auto"/>
                <w:szCs w:val="21"/>
                <w:highlight w:val="none"/>
              </w:rPr>
              <w:t>并缴纳履约保证金</w:t>
            </w:r>
            <w:r>
              <w:rPr>
                <w:rFonts w:hint="eastAsia" w:ascii="宋体" w:hAnsi="宋体" w:eastAsia="宋体" w:cs="宋体"/>
                <w:color w:val="auto"/>
                <w:szCs w:val="21"/>
                <w:highlight w:val="none"/>
                <w:lang w:val="zh-CN"/>
              </w:rPr>
              <w:t>后退还。</w:t>
            </w:r>
          </w:p>
        </w:tc>
      </w:tr>
      <w:tr w14:paraId="188E1B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476" w:type="pct"/>
            <w:vMerge w:val="restart"/>
            <w:tcBorders>
              <w:tl2br w:val="nil"/>
              <w:tr2bl w:val="nil"/>
            </w:tcBorders>
            <w:vAlign w:val="center"/>
          </w:tcPr>
          <w:p w14:paraId="307DBD0C">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4523" w:type="pct"/>
            <w:gridSpan w:val="2"/>
            <w:tcBorders>
              <w:tl2br w:val="nil"/>
              <w:tr2bl w:val="nil"/>
            </w:tcBorders>
            <w:vAlign w:val="center"/>
          </w:tcPr>
          <w:p w14:paraId="28D2040C">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投标有效期</w:t>
            </w:r>
          </w:p>
        </w:tc>
      </w:tr>
      <w:tr w14:paraId="29D482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continue"/>
            <w:tcBorders>
              <w:tl2br w:val="nil"/>
              <w:tr2bl w:val="nil"/>
            </w:tcBorders>
            <w:vAlign w:val="center"/>
          </w:tcPr>
          <w:p w14:paraId="1967E97A">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570F46FA">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九十天。</w:t>
            </w:r>
          </w:p>
        </w:tc>
      </w:tr>
      <w:tr w14:paraId="2B463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476" w:type="pct"/>
            <w:vMerge w:val="restart"/>
            <w:tcBorders>
              <w:tl2br w:val="nil"/>
              <w:tr2bl w:val="nil"/>
            </w:tcBorders>
            <w:vAlign w:val="center"/>
          </w:tcPr>
          <w:p w14:paraId="7707379E">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4523" w:type="pct"/>
            <w:gridSpan w:val="2"/>
            <w:tcBorders>
              <w:tl2br w:val="nil"/>
              <w:tr2bl w:val="nil"/>
            </w:tcBorders>
            <w:vAlign w:val="center"/>
          </w:tcPr>
          <w:p w14:paraId="4D7AB9B6">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应提交以下投标文件（投标文件由唱标信封、价格文件、商务文件、电子文档组成；价格文件、商务文件分别单独装订成册，电子文档装入唱标信封一同封装；具体编制和封装要求详见第四部分投标人须知）</w:t>
            </w:r>
          </w:p>
        </w:tc>
      </w:tr>
      <w:tr w14:paraId="06AF0B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476" w:type="pct"/>
            <w:vMerge w:val="continue"/>
            <w:tcBorders>
              <w:tl2br w:val="nil"/>
              <w:tr2bl w:val="nil"/>
            </w:tcBorders>
            <w:vAlign w:val="center"/>
          </w:tcPr>
          <w:p w14:paraId="7873F888">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1337" w:type="pct"/>
            <w:tcBorders>
              <w:tl2br w:val="nil"/>
              <w:tr2bl w:val="nil"/>
            </w:tcBorders>
            <w:vAlign w:val="center"/>
          </w:tcPr>
          <w:p w14:paraId="63789B32">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投标文件类型</w:t>
            </w:r>
          </w:p>
        </w:tc>
        <w:tc>
          <w:tcPr>
            <w:tcW w:w="3186" w:type="pct"/>
            <w:tcBorders>
              <w:tl2br w:val="nil"/>
              <w:tr2bl w:val="nil"/>
            </w:tcBorders>
            <w:vAlign w:val="center"/>
          </w:tcPr>
          <w:p w14:paraId="76F229F6">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份数</w:t>
            </w:r>
          </w:p>
        </w:tc>
      </w:tr>
      <w:tr w14:paraId="2E4D1D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476" w:type="pct"/>
            <w:vMerge w:val="continue"/>
            <w:tcBorders>
              <w:tl2br w:val="nil"/>
              <w:tr2bl w:val="nil"/>
            </w:tcBorders>
            <w:vAlign w:val="center"/>
          </w:tcPr>
          <w:p w14:paraId="3467CE39">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1337" w:type="pct"/>
            <w:tcBorders>
              <w:tl2br w:val="nil"/>
              <w:tr2bl w:val="nil"/>
            </w:tcBorders>
            <w:vAlign w:val="center"/>
          </w:tcPr>
          <w:p w14:paraId="474FEBC5">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唱标信封</w:t>
            </w:r>
          </w:p>
        </w:tc>
        <w:tc>
          <w:tcPr>
            <w:tcW w:w="3186" w:type="pct"/>
            <w:tcBorders>
              <w:tl2br w:val="nil"/>
              <w:tr2bl w:val="nil"/>
            </w:tcBorders>
            <w:vAlign w:val="center"/>
          </w:tcPr>
          <w:p w14:paraId="14C47ACF">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1</w:t>
            </w:r>
          </w:p>
        </w:tc>
      </w:tr>
      <w:tr w14:paraId="6C4B34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476" w:type="pct"/>
            <w:vMerge w:val="continue"/>
            <w:tcBorders>
              <w:tl2br w:val="nil"/>
              <w:tr2bl w:val="nil"/>
            </w:tcBorders>
            <w:vAlign w:val="center"/>
          </w:tcPr>
          <w:p w14:paraId="2988811F">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1337" w:type="pct"/>
            <w:tcBorders>
              <w:tl2br w:val="nil"/>
              <w:tr2bl w:val="nil"/>
            </w:tcBorders>
            <w:vAlign w:val="center"/>
          </w:tcPr>
          <w:p w14:paraId="5638C738">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投标文件正本</w:t>
            </w:r>
          </w:p>
        </w:tc>
        <w:tc>
          <w:tcPr>
            <w:tcW w:w="3186" w:type="pct"/>
            <w:tcBorders>
              <w:tl2br w:val="nil"/>
              <w:tr2bl w:val="nil"/>
            </w:tcBorders>
            <w:vAlign w:val="center"/>
          </w:tcPr>
          <w:p w14:paraId="19821834">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1EA55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476" w:type="pct"/>
            <w:vMerge w:val="continue"/>
            <w:tcBorders>
              <w:tl2br w:val="nil"/>
              <w:tr2bl w:val="nil"/>
            </w:tcBorders>
            <w:vAlign w:val="center"/>
          </w:tcPr>
          <w:p w14:paraId="4C59879E">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1337" w:type="pct"/>
            <w:tcBorders>
              <w:tl2br w:val="nil"/>
              <w:tr2bl w:val="nil"/>
            </w:tcBorders>
            <w:vAlign w:val="center"/>
          </w:tcPr>
          <w:p w14:paraId="3AA940A3">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投标文件副本</w:t>
            </w:r>
          </w:p>
        </w:tc>
        <w:tc>
          <w:tcPr>
            <w:tcW w:w="3186" w:type="pct"/>
            <w:tcBorders>
              <w:tl2br w:val="nil"/>
              <w:tr2bl w:val="nil"/>
            </w:tcBorders>
            <w:vAlign w:val="center"/>
          </w:tcPr>
          <w:p w14:paraId="7663112E">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cs="宋体"/>
                <w:bCs/>
                <w:color w:val="auto"/>
                <w:szCs w:val="21"/>
                <w:highlight w:val="none"/>
                <w:lang w:eastAsia="zh-CN"/>
              </w:rPr>
              <w:t>☑</w:t>
            </w:r>
            <w:r>
              <w:rPr>
                <w:rFonts w:hint="eastAsia" w:ascii="宋体" w:hAnsi="宋体" w:eastAsia="宋体" w:cs="宋体"/>
                <w:b/>
                <w:color w:val="auto"/>
                <w:szCs w:val="21"/>
                <w:highlight w:val="none"/>
              </w:rPr>
              <w:t xml:space="preserve">5 </w:t>
            </w:r>
            <w:r>
              <w:rPr>
                <w:rFonts w:hint="eastAsia" w:ascii="宋体" w:hAnsi="宋体" w:cs="宋体"/>
                <w:bCs/>
                <w:color w:val="auto"/>
                <w:szCs w:val="21"/>
                <w:highlight w:val="none"/>
                <w:lang w:eastAsia="zh-CN"/>
              </w:rPr>
              <w:t>□</w:t>
            </w:r>
            <w:r>
              <w:rPr>
                <w:rFonts w:hint="eastAsia" w:ascii="宋体" w:hAnsi="宋体" w:eastAsia="宋体" w:cs="宋体"/>
                <w:b/>
                <w:color w:val="auto"/>
                <w:szCs w:val="21"/>
                <w:highlight w:val="none"/>
              </w:rPr>
              <w:t>7</w:t>
            </w:r>
          </w:p>
        </w:tc>
      </w:tr>
      <w:tr w14:paraId="4B1E70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476" w:type="pct"/>
            <w:vMerge w:val="continue"/>
            <w:tcBorders>
              <w:tl2br w:val="nil"/>
              <w:tr2bl w:val="nil"/>
            </w:tcBorders>
            <w:vAlign w:val="center"/>
          </w:tcPr>
          <w:p w14:paraId="654A5663">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1337" w:type="pct"/>
            <w:vMerge w:val="restart"/>
            <w:tcBorders>
              <w:tl2br w:val="nil"/>
              <w:tr2bl w:val="nil"/>
            </w:tcBorders>
            <w:vAlign w:val="center"/>
          </w:tcPr>
          <w:p w14:paraId="3E41209A">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电子文档</w:t>
            </w:r>
          </w:p>
        </w:tc>
        <w:tc>
          <w:tcPr>
            <w:tcW w:w="3186" w:type="pct"/>
            <w:tcBorders>
              <w:tl2br w:val="nil"/>
              <w:tr2bl w:val="nil"/>
            </w:tcBorders>
            <w:vAlign w:val="center"/>
          </w:tcPr>
          <w:p w14:paraId="16E94FE7">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14:paraId="485B3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476" w:type="pct"/>
            <w:vMerge w:val="continue"/>
            <w:tcBorders>
              <w:tl2br w:val="nil"/>
              <w:tr2bl w:val="nil"/>
            </w:tcBorders>
            <w:vAlign w:val="center"/>
          </w:tcPr>
          <w:p w14:paraId="27F66446">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1337" w:type="pct"/>
            <w:vMerge w:val="continue"/>
            <w:tcBorders>
              <w:tl2br w:val="nil"/>
              <w:tr2bl w:val="nil"/>
            </w:tcBorders>
            <w:vAlign w:val="center"/>
          </w:tcPr>
          <w:p w14:paraId="46FF5435">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p>
        </w:tc>
        <w:tc>
          <w:tcPr>
            <w:tcW w:w="3186" w:type="pct"/>
            <w:tcBorders>
              <w:tl2br w:val="nil"/>
              <w:tr2bl w:val="nil"/>
            </w:tcBorders>
            <w:vAlign w:val="center"/>
          </w:tcPr>
          <w:p w14:paraId="6F238315">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U盘，须含盖章版PDF投标文件和WORD版投标文件各一版，文字采用WORD文档，计算表格采用 EXCEL文档。</w:t>
            </w:r>
          </w:p>
        </w:tc>
      </w:tr>
      <w:tr w14:paraId="08B31F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5000" w:type="pct"/>
            <w:gridSpan w:val="3"/>
            <w:tcBorders>
              <w:tl2br w:val="nil"/>
              <w:tr2bl w:val="nil"/>
            </w:tcBorders>
            <w:vAlign w:val="center"/>
          </w:tcPr>
          <w:p w14:paraId="1371D647">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三、开标与评标</w:t>
            </w:r>
          </w:p>
        </w:tc>
      </w:tr>
      <w:tr w14:paraId="1C7E4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476" w:type="pct"/>
            <w:vMerge w:val="restart"/>
            <w:tcBorders>
              <w:tl2br w:val="nil"/>
              <w:tr2bl w:val="nil"/>
            </w:tcBorders>
            <w:vAlign w:val="center"/>
          </w:tcPr>
          <w:p w14:paraId="35C8DD1C">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4523" w:type="pct"/>
            <w:gridSpan w:val="2"/>
            <w:tcBorders>
              <w:tl2br w:val="nil"/>
              <w:tr2bl w:val="nil"/>
            </w:tcBorders>
            <w:vAlign w:val="center"/>
          </w:tcPr>
          <w:p w14:paraId="0DC28393">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本项目评标方法</w:t>
            </w:r>
          </w:p>
        </w:tc>
      </w:tr>
      <w:tr w14:paraId="0D25CC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continue"/>
            <w:tcBorders>
              <w:tl2br w:val="nil"/>
              <w:tr2bl w:val="nil"/>
            </w:tcBorders>
            <w:vAlign w:val="center"/>
          </w:tcPr>
          <w:p w14:paraId="36E33E4A">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49E49B39">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rPr>
              <w:t>最低评标价法</w:t>
            </w:r>
            <w:r>
              <w:rPr>
                <w:rFonts w:hint="eastAsia" w:ascii="宋体" w:hAnsi="宋体" w:eastAsia="宋体" w:cs="宋体"/>
                <w:b w:val="0"/>
                <w:bCs/>
                <w:color w:val="auto"/>
                <w:szCs w:val="21"/>
                <w:highlight w:val="none"/>
                <w:lang w:eastAsia="zh-CN"/>
              </w:rPr>
              <w:t>。</w:t>
            </w:r>
          </w:p>
        </w:tc>
      </w:tr>
      <w:tr w14:paraId="28E8BE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476" w:type="pct"/>
            <w:vMerge w:val="restart"/>
            <w:tcBorders>
              <w:tl2br w:val="nil"/>
              <w:tr2bl w:val="nil"/>
            </w:tcBorders>
            <w:vAlign w:val="center"/>
          </w:tcPr>
          <w:p w14:paraId="1A4EC22E">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4523" w:type="pct"/>
            <w:gridSpan w:val="2"/>
            <w:tcBorders>
              <w:tl2br w:val="nil"/>
              <w:tr2bl w:val="nil"/>
            </w:tcBorders>
            <w:vAlign w:val="center"/>
          </w:tcPr>
          <w:p w14:paraId="385DBAE7">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定标原则</w:t>
            </w:r>
          </w:p>
        </w:tc>
      </w:tr>
      <w:tr w14:paraId="589B22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continue"/>
            <w:tcBorders>
              <w:tl2br w:val="nil"/>
              <w:tr2bl w:val="nil"/>
            </w:tcBorders>
            <w:vAlign w:val="center"/>
          </w:tcPr>
          <w:p w14:paraId="21F13139">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54FA5872">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rPr>
              <w:t>本项目的评标方法采用最低评标价法，是指投标文件满足采购文件全部实质性要求，且投标报价（暂定总价）最低的投标人为中标候选人的评审方法。评审结果按投标报价由低到高顺序排列。如最低投标报价相同，则现场给与最低报价相同的投标人二次报价的机会；如二次报价还相同，则采用现场随机抽签方式确定。投标文件满足采购文件全部实质性要求且投标报价最低（或中签）的投标人为排名第一的中标候选人，投标文件满足采购文件全部实质性要求且投标报价次低的投标人为排名第二的中标候选人，如此类推。</w:t>
            </w:r>
          </w:p>
        </w:tc>
      </w:tr>
      <w:tr w14:paraId="0E8D47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restart"/>
            <w:tcBorders>
              <w:tl2br w:val="nil"/>
              <w:tr2bl w:val="nil"/>
            </w:tcBorders>
            <w:vAlign w:val="center"/>
          </w:tcPr>
          <w:p w14:paraId="3E38FB8C">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4523" w:type="pct"/>
            <w:gridSpan w:val="2"/>
            <w:tcBorders>
              <w:tl2br w:val="nil"/>
              <w:tr2bl w:val="nil"/>
            </w:tcBorders>
            <w:vAlign w:val="center"/>
          </w:tcPr>
          <w:p w14:paraId="30CE59C7">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评标委员会</w:t>
            </w:r>
          </w:p>
        </w:tc>
      </w:tr>
      <w:tr w14:paraId="2BA82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476" w:type="pct"/>
            <w:vMerge w:val="continue"/>
            <w:tcBorders>
              <w:tl2br w:val="nil"/>
              <w:tr2bl w:val="nil"/>
            </w:tcBorders>
            <w:vAlign w:val="center"/>
          </w:tcPr>
          <w:p w14:paraId="3941A449">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7735DF9C">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评标委员会成员共</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评标委员会由采购人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代表和</w:t>
            </w:r>
            <w:r>
              <w:rPr>
                <w:rFonts w:hint="eastAsia" w:ascii="宋体" w:hAnsi="宋体" w:eastAsia="宋体" w:cs="宋体"/>
                <w:color w:val="auto"/>
                <w:szCs w:val="21"/>
                <w:highlight w:val="none"/>
              </w:rPr>
              <w:t>有关方面的</w:t>
            </w:r>
            <w:r>
              <w:rPr>
                <w:rFonts w:hint="eastAsia" w:ascii="宋体" w:hAnsi="宋体" w:eastAsia="宋体" w:cs="宋体"/>
                <w:color w:val="auto"/>
                <w:szCs w:val="21"/>
                <w:highlight w:val="none"/>
                <w:lang w:val="zh-CN"/>
              </w:rPr>
              <w:t>专家组成，其中专家不得少于成员总数的三分之二。</w:t>
            </w:r>
          </w:p>
        </w:tc>
      </w:tr>
      <w:tr w14:paraId="6DA799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5000" w:type="pct"/>
            <w:gridSpan w:val="3"/>
            <w:tcBorders>
              <w:tl2br w:val="nil"/>
              <w:tr2bl w:val="nil"/>
            </w:tcBorders>
            <w:vAlign w:val="center"/>
          </w:tcPr>
          <w:p w14:paraId="4002D958">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四、授予合同</w:t>
            </w:r>
          </w:p>
        </w:tc>
      </w:tr>
      <w:tr w14:paraId="78FED1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476" w:type="pct"/>
            <w:vMerge w:val="restart"/>
            <w:tcBorders>
              <w:tl2br w:val="nil"/>
              <w:tr2bl w:val="nil"/>
            </w:tcBorders>
            <w:vAlign w:val="center"/>
          </w:tcPr>
          <w:p w14:paraId="62A4D66E">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4523" w:type="pct"/>
            <w:gridSpan w:val="2"/>
            <w:tcBorders>
              <w:tl2br w:val="nil"/>
              <w:tr2bl w:val="nil"/>
            </w:tcBorders>
            <w:shd w:val="clear" w:color="auto" w:fill="auto"/>
            <w:vAlign w:val="center"/>
          </w:tcPr>
          <w:p w14:paraId="48D8BE76">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履约担保</w:t>
            </w:r>
          </w:p>
        </w:tc>
      </w:tr>
      <w:tr w14:paraId="7223E5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476" w:type="pct"/>
            <w:vMerge w:val="continue"/>
            <w:tcBorders>
              <w:tl2br w:val="nil"/>
              <w:tr2bl w:val="nil"/>
            </w:tcBorders>
            <w:vAlign w:val="center"/>
          </w:tcPr>
          <w:p w14:paraId="22843A20">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shd w:val="clear" w:color="auto" w:fill="auto"/>
            <w:vAlign w:val="center"/>
          </w:tcPr>
          <w:p w14:paraId="4F2D5B4B">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1.履约担保金额为：履约保证金金额为合同暂定总价的10%</w:t>
            </w:r>
            <w:r>
              <w:rPr>
                <w:rFonts w:hint="eastAsia" w:ascii="宋体" w:hAnsi="宋体" w:eastAsia="宋体" w:cs="宋体"/>
                <w:color w:val="auto"/>
                <w:szCs w:val="21"/>
                <w:highlight w:val="none"/>
                <w:lang w:eastAsia="zh-CN"/>
              </w:rPr>
              <w:t>。</w:t>
            </w:r>
          </w:p>
          <w:p w14:paraId="1FF088EF">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2.履约保证金账户信息</w:t>
            </w:r>
            <w:r>
              <w:rPr>
                <w:rFonts w:hint="eastAsia" w:ascii="宋体" w:hAnsi="宋体" w:eastAsia="宋体" w:cs="宋体"/>
                <w:color w:val="auto"/>
                <w:szCs w:val="21"/>
                <w:highlight w:val="none"/>
                <w:lang w:eastAsia="zh-CN"/>
              </w:rPr>
              <w:t>（中标结果公示后待中标单位与采购人协商确认）</w:t>
            </w:r>
          </w:p>
          <w:p w14:paraId="4BE7FE16">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在签订合同后15个日历天内提交履约担保，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4696F710">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4.履约担保期限从合同签订之日起至项目完成并双方结算完毕后，经双方签字</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天内保持有效。</w:t>
            </w:r>
          </w:p>
          <w:p w14:paraId="51A27F4C">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履约担保要求：</w:t>
            </w:r>
          </w:p>
          <w:p w14:paraId="654F160E">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14:paraId="4E0EBA84">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w:t>
            </w:r>
          </w:p>
          <w:p w14:paraId="3C1D86C2">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文件附件中提供的无条件不可撤销履约保函格式，保函担保期内若</w:t>
            </w:r>
            <w:r>
              <w:rPr>
                <w:rFonts w:hint="eastAsia" w:ascii="宋体" w:hAnsi="宋体" w:cs="宋体"/>
                <w:color w:val="auto"/>
                <w:szCs w:val="21"/>
                <w:highlight w:val="none"/>
                <w:lang w:val="en-US" w:eastAsia="zh-CN"/>
              </w:rPr>
              <w:t>合同延期</w:t>
            </w:r>
            <w:r>
              <w:rPr>
                <w:rFonts w:hint="eastAsia" w:ascii="宋体" w:hAnsi="宋体" w:eastAsia="宋体" w:cs="宋体"/>
                <w:color w:val="auto"/>
                <w:szCs w:val="21"/>
                <w:highlight w:val="none"/>
              </w:rPr>
              <w:t>，保函必须延期，办理延期手续时在银行方面所产生费用由中标人负责。</w:t>
            </w:r>
          </w:p>
          <w:p w14:paraId="23E7A867">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14:paraId="55D6EAE0">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14:paraId="40377621">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2BB986D4">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（4）为取得履约担保所需的费用，由中标人承担；若履约担保时间延长，延长费用由中标人承担。</w:t>
            </w:r>
          </w:p>
          <w:p w14:paraId="1A8DCB9D">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261A8F26">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（6）下列任何情况发生时，采购人有权行使享有的担保权利：</w:t>
            </w:r>
          </w:p>
          <w:p w14:paraId="3D78AC5C">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①中标人将本项目转让给他人，或者在投标文件中未说明，且未经采购人同意，将中标项目分包给他人的；</w:t>
            </w:r>
          </w:p>
          <w:p w14:paraId="46518F44">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②中标人在履行采购合同期间，违反有关法律法规的规定及合同约定的条款，损害了采购人的利益。</w:t>
            </w:r>
          </w:p>
          <w:p w14:paraId="7B640340">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（7）在项目完成且双方结算完毕后，中标人向采购人提交退回履约担保的申请，采购人办理履约担保退还手续。</w:t>
            </w:r>
          </w:p>
        </w:tc>
      </w:tr>
      <w:tr w14:paraId="2BC8D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7" w:hRule="atLeast"/>
        </w:trPr>
        <w:tc>
          <w:tcPr>
            <w:tcW w:w="476" w:type="pct"/>
            <w:vMerge w:val="restart"/>
            <w:tcBorders>
              <w:tl2br w:val="nil"/>
              <w:tr2bl w:val="nil"/>
            </w:tcBorders>
            <w:vAlign w:val="center"/>
          </w:tcPr>
          <w:p w14:paraId="6996CB87">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4523" w:type="pct"/>
            <w:gridSpan w:val="2"/>
            <w:tcBorders>
              <w:tl2br w:val="nil"/>
              <w:tr2bl w:val="nil"/>
            </w:tcBorders>
            <w:vAlign w:val="center"/>
          </w:tcPr>
          <w:p w14:paraId="41633105">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tc>
      </w:tr>
      <w:tr w14:paraId="058970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44" w:hRule="atLeast"/>
        </w:trPr>
        <w:tc>
          <w:tcPr>
            <w:tcW w:w="476" w:type="pct"/>
            <w:vMerge w:val="continue"/>
            <w:tcBorders>
              <w:tl2br w:val="nil"/>
              <w:tr2bl w:val="nil"/>
            </w:tcBorders>
            <w:vAlign w:val="center"/>
          </w:tcPr>
          <w:p w14:paraId="6E9FB871">
            <w:pPr>
              <w:keepNext w:val="0"/>
              <w:keepLines w:val="0"/>
              <w:pageBreakBefore w:val="0"/>
              <w:kinsoku/>
              <w:wordWrap/>
              <w:overflowPunct/>
              <w:topLinePunct w:val="0"/>
              <w:autoSpaceDE/>
              <w:autoSpaceDN/>
              <w:bidi w:val="0"/>
              <w:spacing w:line="420" w:lineRule="exact"/>
              <w:jc w:val="center"/>
              <w:textAlignment w:val="auto"/>
              <w:rPr>
                <w:rFonts w:hint="eastAsia" w:ascii="宋体" w:hAnsi="宋体" w:eastAsia="宋体" w:cs="宋体"/>
                <w:color w:val="auto"/>
                <w:szCs w:val="21"/>
                <w:highlight w:val="none"/>
              </w:rPr>
            </w:pPr>
          </w:p>
        </w:tc>
        <w:tc>
          <w:tcPr>
            <w:tcW w:w="4523" w:type="pct"/>
            <w:gridSpan w:val="2"/>
            <w:tcBorders>
              <w:tl2br w:val="nil"/>
              <w:tr2bl w:val="nil"/>
            </w:tcBorders>
            <w:vAlign w:val="center"/>
          </w:tcPr>
          <w:p w14:paraId="185A6119">
            <w:pPr>
              <w:keepNext w:val="0"/>
              <w:keepLines w:val="0"/>
              <w:pageBreakBefore w:val="0"/>
              <w:kinsoku/>
              <w:wordWrap/>
              <w:overflowPunct/>
              <w:topLinePunct w:val="0"/>
              <w:autoSpaceDE/>
              <w:autoSpaceDN/>
              <w:bidi w:val="0"/>
              <w:spacing w:line="420" w:lineRule="exact"/>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服务费由</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支付。</w:t>
            </w:r>
          </w:p>
        </w:tc>
      </w:tr>
      <w:tr w14:paraId="102F32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trPr>
        <w:tc>
          <w:tcPr>
            <w:tcW w:w="5000" w:type="pct"/>
            <w:gridSpan w:val="3"/>
            <w:tcBorders>
              <w:tl2br w:val="nil"/>
              <w:tr2bl w:val="nil"/>
            </w:tcBorders>
            <w:vAlign w:val="center"/>
          </w:tcPr>
          <w:p w14:paraId="6A73AC93">
            <w:pPr>
              <w:keepNext w:val="0"/>
              <w:keepLines w:val="0"/>
              <w:pageBreakBefore w:val="0"/>
              <w:widowControl w:val="0"/>
              <w:tabs>
                <w:tab w:val="left" w:pos="907"/>
              </w:tabs>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17762689">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93A529">
      <w:pPr>
        <w:jc w:val="center"/>
        <w:outlineLvl w:val="2"/>
        <w:rPr>
          <w:rFonts w:hint="eastAsia" w:ascii="宋体" w:hAnsi="宋体" w:eastAsia="宋体" w:cs="宋体"/>
          <w:b/>
          <w:bCs/>
          <w:color w:val="auto"/>
          <w:highlight w:val="none"/>
        </w:rPr>
      </w:pPr>
      <w:bookmarkStart w:id="11" w:name="_Toc8329"/>
      <w:r>
        <w:rPr>
          <w:rFonts w:hint="eastAsia" w:ascii="宋体" w:hAnsi="宋体" w:eastAsia="宋体" w:cs="宋体"/>
          <w:b/>
          <w:bCs/>
          <w:color w:val="auto"/>
          <w:sz w:val="24"/>
          <w:szCs w:val="24"/>
          <w:highlight w:val="none"/>
        </w:rPr>
        <w:t>附表二：</w:t>
      </w:r>
      <w:bookmarkEnd w:id="9"/>
      <w:r>
        <w:rPr>
          <w:rFonts w:hint="eastAsia" w:ascii="宋体" w:hAnsi="宋体" w:eastAsia="宋体" w:cs="宋体"/>
          <w:b/>
          <w:bCs/>
          <w:color w:val="auto"/>
          <w:sz w:val="24"/>
          <w:szCs w:val="24"/>
          <w:highlight w:val="none"/>
        </w:rPr>
        <w:t>《符合性</w:t>
      </w:r>
      <w:r>
        <w:rPr>
          <w:rFonts w:hint="eastAsia" w:ascii="宋体" w:hAnsi="宋体" w:eastAsia="宋体" w:cs="宋体"/>
          <w:b/>
          <w:bCs/>
          <w:color w:val="auto"/>
          <w:sz w:val="24"/>
          <w:szCs w:val="24"/>
          <w:highlight w:val="none"/>
          <w:lang w:val="en-US" w:eastAsia="zh-CN"/>
        </w:rPr>
        <w:t>检查</w:t>
      </w:r>
      <w:r>
        <w:rPr>
          <w:rFonts w:hint="eastAsia" w:ascii="宋体" w:hAnsi="宋体" w:eastAsia="宋体" w:cs="宋体"/>
          <w:b/>
          <w:bCs/>
          <w:color w:val="auto"/>
          <w:sz w:val="24"/>
          <w:szCs w:val="24"/>
          <w:highlight w:val="none"/>
        </w:rPr>
        <w:t>表》</w:t>
      </w:r>
      <w:bookmarkEnd w:id="10"/>
      <w:bookmarkEnd w:id="11"/>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7603"/>
      </w:tblGrid>
      <w:tr w14:paraId="5DB7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jc w:val="center"/>
        </w:trPr>
        <w:tc>
          <w:tcPr>
            <w:tcW w:w="5000" w:type="pct"/>
            <w:gridSpan w:val="2"/>
            <w:noWrap w:val="0"/>
            <w:vAlign w:val="center"/>
          </w:tcPr>
          <w:p w14:paraId="2303E1F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检查项目</w:t>
            </w:r>
          </w:p>
        </w:tc>
      </w:tr>
      <w:tr w14:paraId="4781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39" w:type="pct"/>
            <w:vMerge w:val="restart"/>
            <w:noWrap w:val="0"/>
            <w:vAlign w:val="center"/>
          </w:tcPr>
          <w:p w14:paraId="74B4637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商务符合性</w:t>
            </w:r>
          </w:p>
        </w:tc>
        <w:tc>
          <w:tcPr>
            <w:tcW w:w="4460" w:type="pct"/>
            <w:noWrap w:val="0"/>
            <w:vAlign w:val="center"/>
          </w:tcPr>
          <w:p w14:paraId="1A30354F">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eastAsia="宋体" w:cs="宋体"/>
                <w:color w:val="auto"/>
                <w:szCs w:val="21"/>
                <w:highlight w:val="none"/>
                <w:lang w:eastAsia="zh-CN"/>
              </w:rPr>
              <w:t>。</w:t>
            </w:r>
          </w:p>
        </w:tc>
      </w:tr>
      <w:tr w14:paraId="7951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39" w:type="pct"/>
            <w:vMerge w:val="continue"/>
            <w:noWrap w:val="0"/>
            <w:vAlign w:val="center"/>
          </w:tcPr>
          <w:p w14:paraId="43D9CF57">
            <w:pPr>
              <w:spacing w:line="360" w:lineRule="auto"/>
              <w:jc w:val="center"/>
              <w:rPr>
                <w:rFonts w:hint="eastAsia" w:ascii="宋体" w:hAnsi="宋体" w:eastAsia="宋体" w:cs="宋体"/>
                <w:b/>
                <w:color w:val="auto"/>
                <w:szCs w:val="21"/>
                <w:highlight w:val="none"/>
              </w:rPr>
            </w:pPr>
          </w:p>
        </w:tc>
        <w:tc>
          <w:tcPr>
            <w:tcW w:w="4460" w:type="pct"/>
            <w:noWrap w:val="0"/>
            <w:vAlign w:val="center"/>
          </w:tcPr>
          <w:p w14:paraId="46981137">
            <w:pPr>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r>
              <w:rPr>
                <w:rFonts w:hint="eastAsia" w:ascii="宋体" w:hAnsi="宋体" w:cs="宋体"/>
                <w:color w:val="auto"/>
                <w:szCs w:val="21"/>
                <w:highlight w:val="none"/>
                <w:lang w:eastAsia="zh-CN"/>
              </w:rPr>
              <w:t>。</w:t>
            </w:r>
          </w:p>
        </w:tc>
      </w:tr>
      <w:tr w14:paraId="426A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6F5AE4FC">
            <w:pPr>
              <w:spacing w:line="360" w:lineRule="auto"/>
              <w:jc w:val="center"/>
              <w:rPr>
                <w:rFonts w:hint="eastAsia" w:ascii="宋体" w:hAnsi="宋体" w:eastAsia="宋体" w:cs="宋体"/>
                <w:b/>
                <w:color w:val="auto"/>
                <w:szCs w:val="21"/>
                <w:highlight w:val="none"/>
              </w:rPr>
            </w:pPr>
          </w:p>
        </w:tc>
        <w:tc>
          <w:tcPr>
            <w:tcW w:w="4460" w:type="pct"/>
            <w:noWrap w:val="0"/>
            <w:vAlign w:val="center"/>
          </w:tcPr>
          <w:p w14:paraId="12A72020">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投标人的单位负责人为同一人或者存在直接控股、管理关系的不同投标人，不得参加同一合同项下的采购活动。</w:t>
            </w:r>
          </w:p>
        </w:tc>
      </w:tr>
      <w:tr w14:paraId="6A8E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2D0E1ED8">
            <w:pPr>
              <w:spacing w:line="360" w:lineRule="auto"/>
              <w:jc w:val="center"/>
              <w:rPr>
                <w:rFonts w:hint="eastAsia" w:ascii="宋体" w:hAnsi="宋体" w:eastAsia="宋体" w:cs="宋体"/>
                <w:b/>
                <w:color w:val="auto"/>
                <w:szCs w:val="21"/>
                <w:highlight w:val="none"/>
              </w:rPr>
            </w:pPr>
          </w:p>
        </w:tc>
        <w:tc>
          <w:tcPr>
            <w:tcW w:w="4460" w:type="pct"/>
            <w:noWrap w:val="0"/>
            <w:vAlign w:val="center"/>
          </w:tcPr>
          <w:p w14:paraId="24A2F722">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07F8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03F4A404">
            <w:pPr>
              <w:spacing w:line="360" w:lineRule="auto"/>
              <w:jc w:val="center"/>
              <w:rPr>
                <w:rFonts w:hint="eastAsia" w:ascii="宋体" w:hAnsi="宋体" w:eastAsia="宋体" w:cs="宋体"/>
                <w:b/>
                <w:color w:val="auto"/>
                <w:szCs w:val="21"/>
                <w:highlight w:val="none"/>
              </w:rPr>
            </w:pPr>
          </w:p>
        </w:tc>
        <w:tc>
          <w:tcPr>
            <w:tcW w:w="4460" w:type="pct"/>
            <w:noWrap w:val="0"/>
            <w:vAlign w:val="center"/>
          </w:tcPr>
          <w:p w14:paraId="326CA60A">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未被列入东实集团及下属企业相关领域黑名单。</w:t>
            </w:r>
          </w:p>
        </w:tc>
      </w:tr>
      <w:tr w14:paraId="7C8E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21A9346F">
            <w:pPr>
              <w:spacing w:line="360" w:lineRule="auto"/>
              <w:jc w:val="center"/>
              <w:rPr>
                <w:rFonts w:hint="eastAsia" w:ascii="宋体" w:hAnsi="宋体" w:eastAsia="宋体" w:cs="宋体"/>
                <w:b/>
                <w:color w:val="auto"/>
                <w:szCs w:val="21"/>
                <w:highlight w:val="none"/>
              </w:rPr>
            </w:pPr>
          </w:p>
        </w:tc>
        <w:tc>
          <w:tcPr>
            <w:tcW w:w="4460" w:type="pct"/>
            <w:noWrap w:val="0"/>
            <w:vAlign w:val="center"/>
          </w:tcPr>
          <w:p w14:paraId="428329C2">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符合投标人资格要求中其他要求</w:t>
            </w:r>
            <w:r>
              <w:rPr>
                <w:rFonts w:hint="eastAsia" w:ascii="宋体" w:hAnsi="宋体" w:eastAsia="宋体" w:cs="宋体"/>
                <w:color w:val="auto"/>
                <w:szCs w:val="21"/>
                <w:highlight w:val="none"/>
                <w:lang w:eastAsia="zh-CN"/>
              </w:rPr>
              <w:t>。</w:t>
            </w:r>
          </w:p>
        </w:tc>
      </w:tr>
      <w:tr w14:paraId="66E9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528F3310">
            <w:pPr>
              <w:spacing w:line="360" w:lineRule="auto"/>
              <w:jc w:val="center"/>
              <w:rPr>
                <w:rFonts w:hint="eastAsia" w:ascii="宋体" w:hAnsi="宋体" w:eastAsia="宋体" w:cs="宋体"/>
                <w:b/>
                <w:color w:val="auto"/>
                <w:szCs w:val="21"/>
                <w:highlight w:val="none"/>
              </w:rPr>
            </w:pPr>
          </w:p>
        </w:tc>
        <w:tc>
          <w:tcPr>
            <w:tcW w:w="4460" w:type="pct"/>
            <w:noWrap w:val="0"/>
            <w:vAlign w:val="center"/>
          </w:tcPr>
          <w:p w14:paraId="332E3FE2">
            <w:pPr>
              <w:spacing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投标人须为所投产品生产厂家或授权经销商（提供相关证明文件复印件加盖投标人公章）：</w:t>
            </w:r>
          </w:p>
          <w:p w14:paraId="2468514F">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①如投标人为所投产品生产厂家的，须提供在有效期内的危险化学品安全生产许可证；许可范围均须包含本次拟投货物（提供相关证明文件复印件加盖投标人公章）；</w:t>
            </w:r>
          </w:p>
          <w:p w14:paraId="709788CB">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如投标人为所投产品授权经销商的，须提供在有效期内的许可范围均须包含本次拟投货物的危险化学品经营许可证，授权经销类供应商还需提供所投产品的经销授权书或合同等证明文件（提供相关证明文件复印件加盖投标人公章）。</w:t>
            </w:r>
          </w:p>
        </w:tc>
      </w:tr>
      <w:tr w14:paraId="54BC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7626E9B1">
            <w:pPr>
              <w:spacing w:line="360" w:lineRule="auto"/>
              <w:jc w:val="center"/>
              <w:rPr>
                <w:rFonts w:hint="eastAsia" w:ascii="宋体" w:hAnsi="宋体" w:eastAsia="宋体" w:cs="宋体"/>
                <w:b/>
                <w:color w:val="auto"/>
                <w:szCs w:val="21"/>
                <w:highlight w:val="none"/>
              </w:rPr>
            </w:pPr>
          </w:p>
        </w:tc>
        <w:tc>
          <w:tcPr>
            <w:tcW w:w="4460" w:type="pct"/>
            <w:noWrap w:val="0"/>
            <w:vAlign w:val="center"/>
          </w:tcPr>
          <w:p w14:paraId="3D03FF81">
            <w:pPr>
              <w:spacing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投标人须具有满足本项目的运输能力（自有危险化学品运输资质或与有危险化学品运输资质的单位有稳定的合作关系，提供签订的运输合同），须具有履行合同所必需的专用运输车1辆或以上，并配备相应数量的驾驶员，提供车辆自有或租赁合同及车辆允许运营的证明材料（包括但不限于道路运输经营许可证、机动车行驶证、驾驶证和道路危险货物运输押运人员从业资格证等复印件加盖投标人公章）。</w:t>
            </w:r>
          </w:p>
        </w:tc>
      </w:tr>
      <w:tr w14:paraId="7736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6F670D2F">
            <w:pPr>
              <w:spacing w:line="360" w:lineRule="auto"/>
              <w:jc w:val="center"/>
              <w:rPr>
                <w:rFonts w:hint="eastAsia" w:ascii="宋体" w:hAnsi="宋体" w:eastAsia="宋体" w:cs="宋体"/>
                <w:b/>
                <w:color w:val="auto"/>
                <w:szCs w:val="21"/>
                <w:highlight w:val="none"/>
              </w:rPr>
            </w:pPr>
          </w:p>
        </w:tc>
        <w:tc>
          <w:tcPr>
            <w:tcW w:w="4460" w:type="pct"/>
            <w:noWrap w:val="0"/>
            <w:vAlign w:val="center"/>
          </w:tcPr>
          <w:p w14:paraId="16F69B21">
            <w:pPr>
              <w:spacing w:line="24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投标人2023年1月1日至招标公告发布之日（以合同签订时间为准）至少具有工业企业液碱业绩合同2份，且每份不小于1000吨的供货合同【需提供合同关键页及供货期限内任意一期发票；复印件加盖投标人公章。如投标人合同关键页不能体现供货量的，则除上述材料外还需提供供货量证明（签字确认的送货单或相关验收证明材料或由买方出具的证明文件）】。</w:t>
            </w:r>
          </w:p>
        </w:tc>
      </w:tr>
      <w:tr w14:paraId="4D68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3E49440B">
            <w:pPr>
              <w:spacing w:line="360" w:lineRule="auto"/>
              <w:jc w:val="center"/>
              <w:rPr>
                <w:rFonts w:hint="eastAsia" w:ascii="宋体" w:hAnsi="宋体" w:eastAsia="宋体" w:cs="宋体"/>
                <w:b/>
                <w:color w:val="auto"/>
                <w:szCs w:val="21"/>
                <w:highlight w:val="none"/>
              </w:rPr>
            </w:pPr>
          </w:p>
        </w:tc>
        <w:tc>
          <w:tcPr>
            <w:tcW w:w="4460" w:type="pct"/>
            <w:noWrap w:val="0"/>
            <w:vAlign w:val="center"/>
          </w:tcPr>
          <w:p w14:paraId="71CB22AC">
            <w:pPr>
              <w:spacing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本项目不接受联合体</w:t>
            </w:r>
          </w:p>
        </w:tc>
      </w:tr>
      <w:tr w14:paraId="6A89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9" w:type="pct"/>
            <w:vMerge w:val="continue"/>
            <w:noWrap w:val="0"/>
            <w:textDirection w:val="tbRlV"/>
            <w:vAlign w:val="center"/>
          </w:tcPr>
          <w:p w14:paraId="04856AFB">
            <w:pPr>
              <w:spacing w:line="360" w:lineRule="auto"/>
              <w:jc w:val="center"/>
              <w:rPr>
                <w:rFonts w:hint="eastAsia" w:ascii="宋体" w:hAnsi="宋体" w:eastAsia="宋体" w:cs="宋体"/>
                <w:b/>
                <w:color w:val="auto"/>
                <w:szCs w:val="21"/>
                <w:highlight w:val="none"/>
              </w:rPr>
            </w:pPr>
          </w:p>
        </w:tc>
        <w:tc>
          <w:tcPr>
            <w:tcW w:w="4460" w:type="pct"/>
            <w:noWrap w:val="0"/>
            <w:vAlign w:val="center"/>
          </w:tcPr>
          <w:p w14:paraId="23464D94">
            <w:pPr>
              <w:spacing w:line="24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bidi="ar"/>
              </w:rPr>
              <w:t>投标人按照采购文件要求提交投标保证金</w:t>
            </w:r>
            <w:r>
              <w:rPr>
                <w:rFonts w:hint="eastAsia" w:ascii="宋体" w:hAnsi="宋体" w:eastAsia="宋体" w:cs="宋体"/>
                <w:color w:val="auto"/>
                <w:szCs w:val="21"/>
                <w:highlight w:val="none"/>
                <w:lang w:eastAsia="zh-CN" w:bidi="ar"/>
              </w:rPr>
              <w:t>。</w:t>
            </w:r>
          </w:p>
        </w:tc>
      </w:tr>
      <w:tr w14:paraId="3B1C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9" w:type="pct"/>
            <w:vMerge w:val="restart"/>
            <w:noWrap w:val="0"/>
            <w:vAlign w:val="center"/>
          </w:tcPr>
          <w:p w14:paraId="6EC187C5">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技术符合性</w:t>
            </w:r>
          </w:p>
        </w:tc>
        <w:tc>
          <w:tcPr>
            <w:tcW w:w="4460" w:type="pct"/>
            <w:noWrap w:val="0"/>
            <w:vAlign w:val="center"/>
          </w:tcPr>
          <w:p w14:paraId="00E900EB">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满足采购文件质保期要求。</w:t>
            </w:r>
          </w:p>
        </w:tc>
      </w:tr>
      <w:tr w14:paraId="3D78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39" w:type="pct"/>
            <w:vMerge w:val="continue"/>
            <w:noWrap w:val="0"/>
            <w:textDirection w:val="tbRlV"/>
            <w:vAlign w:val="center"/>
          </w:tcPr>
          <w:p w14:paraId="7839C487">
            <w:pPr>
              <w:spacing w:line="360" w:lineRule="auto"/>
              <w:jc w:val="center"/>
              <w:rPr>
                <w:rFonts w:hint="eastAsia" w:ascii="宋体" w:hAnsi="宋体" w:eastAsia="宋体" w:cs="宋体"/>
                <w:b/>
                <w:bCs/>
                <w:color w:val="auto"/>
                <w:szCs w:val="21"/>
                <w:highlight w:val="none"/>
              </w:rPr>
            </w:pPr>
          </w:p>
        </w:tc>
        <w:tc>
          <w:tcPr>
            <w:tcW w:w="4460" w:type="pct"/>
            <w:noWrap w:val="0"/>
            <w:vAlign w:val="center"/>
          </w:tcPr>
          <w:p w14:paraId="6BCBBA0C">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满足采购文件的投标有效期的要求。</w:t>
            </w:r>
          </w:p>
        </w:tc>
      </w:tr>
      <w:tr w14:paraId="17F6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539" w:type="pct"/>
            <w:vMerge w:val="continue"/>
            <w:noWrap w:val="0"/>
            <w:vAlign w:val="center"/>
          </w:tcPr>
          <w:p w14:paraId="41CDBAB2">
            <w:pPr>
              <w:spacing w:line="360" w:lineRule="auto"/>
              <w:rPr>
                <w:rFonts w:hint="eastAsia" w:ascii="宋体" w:hAnsi="宋体" w:eastAsia="宋体" w:cs="宋体"/>
                <w:color w:val="auto"/>
                <w:szCs w:val="21"/>
                <w:highlight w:val="none"/>
              </w:rPr>
            </w:pPr>
          </w:p>
        </w:tc>
        <w:tc>
          <w:tcPr>
            <w:tcW w:w="4460" w:type="pct"/>
            <w:noWrap w:val="0"/>
            <w:vAlign w:val="center"/>
          </w:tcPr>
          <w:p w14:paraId="05D68D8D">
            <w:pPr>
              <w:spacing w:line="24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采购文件中带“★”号为重要和关键性的要求或参数，无对其不满足的。</w:t>
            </w:r>
          </w:p>
        </w:tc>
      </w:tr>
      <w:tr w14:paraId="6494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539" w:type="pct"/>
            <w:vMerge w:val="continue"/>
            <w:noWrap w:val="0"/>
            <w:vAlign w:val="center"/>
          </w:tcPr>
          <w:p w14:paraId="2AC4506A">
            <w:pPr>
              <w:spacing w:line="360" w:lineRule="auto"/>
              <w:rPr>
                <w:rFonts w:hint="eastAsia" w:ascii="宋体" w:hAnsi="宋体" w:eastAsia="宋体" w:cs="宋体"/>
                <w:color w:val="auto"/>
                <w:szCs w:val="21"/>
                <w:highlight w:val="none"/>
              </w:rPr>
            </w:pPr>
          </w:p>
        </w:tc>
        <w:tc>
          <w:tcPr>
            <w:tcW w:w="4460" w:type="pct"/>
            <w:noWrap w:val="0"/>
            <w:vAlign w:val="center"/>
          </w:tcPr>
          <w:p w14:paraId="6B749383">
            <w:pPr>
              <w:spacing w:line="24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r>
              <w:rPr>
                <w:rFonts w:hint="eastAsia" w:ascii="宋体" w:hAnsi="宋体" w:eastAsia="宋体" w:cs="宋体"/>
                <w:color w:val="auto"/>
                <w:szCs w:val="21"/>
                <w:highlight w:val="none"/>
              </w:rPr>
              <w:t>未出现</w:t>
            </w:r>
            <w:r>
              <w:rPr>
                <w:rFonts w:hint="eastAsia" w:ascii="宋体" w:hAnsi="宋体" w:eastAsia="宋体" w:cs="宋体"/>
                <w:color w:val="auto"/>
                <w:szCs w:val="21"/>
                <w:highlight w:val="none"/>
                <w:lang w:bidi="ar"/>
              </w:rPr>
              <w:t>法律、法规和</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文件规定的其他无效情形。</w:t>
            </w:r>
          </w:p>
        </w:tc>
      </w:tr>
      <w:tr w14:paraId="5523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39" w:type="pct"/>
            <w:vMerge w:val="restart"/>
            <w:noWrap w:val="0"/>
            <w:vAlign w:val="center"/>
          </w:tcPr>
          <w:p w14:paraId="6501D9D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价格符合性</w:t>
            </w:r>
          </w:p>
        </w:tc>
        <w:tc>
          <w:tcPr>
            <w:tcW w:w="4460" w:type="pct"/>
            <w:noWrap w:val="0"/>
            <w:vAlign w:val="center"/>
          </w:tcPr>
          <w:p w14:paraId="6669B83E">
            <w:pPr>
              <w:pStyle w:val="20"/>
              <w:spacing w:line="24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投标报价未超过本项目任一单价最高限价。</w:t>
            </w:r>
          </w:p>
        </w:tc>
      </w:tr>
      <w:tr w14:paraId="5FDE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39" w:type="pct"/>
            <w:vMerge w:val="continue"/>
            <w:noWrap w:val="0"/>
            <w:vAlign w:val="center"/>
          </w:tcPr>
          <w:p w14:paraId="4AC28061">
            <w:pPr>
              <w:spacing w:line="360" w:lineRule="auto"/>
              <w:jc w:val="center"/>
              <w:rPr>
                <w:rFonts w:hint="eastAsia" w:ascii="宋体" w:hAnsi="宋体" w:eastAsia="宋体" w:cs="宋体"/>
                <w:b/>
                <w:bCs/>
                <w:color w:val="auto"/>
                <w:szCs w:val="21"/>
                <w:highlight w:val="none"/>
              </w:rPr>
            </w:pPr>
          </w:p>
        </w:tc>
        <w:tc>
          <w:tcPr>
            <w:tcW w:w="4460" w:type="pct"/>
            <w:noWrap w:val="0"/>
            <w:vAlign w:val="center"/>
          </w:tcPr>
          <w:p w14:paraId="09A80F95">
            <w:pPr>
              <w:pStyle w:val="20"/>
              <w:spacing w:line="24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报价格式正确，必须含有开标一览表。</w:t>
            </w:r>
          </w:p>
        </w:tc>
      </w:tr>
      <w:tr w14:paraId="43CF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39" w:type="pct"/>
            <w:vMerge w:val="continue"/>
            <w:noWrap w:val="0"/>
            <w:vAlign w:val="center"/>
          </w:tcPr>
          <w:p w14:paraId="56A0E883">
            <w:pPr>
              <w:spacing w:line="360" w:lineRule="auto"/>
              <w:jc w:val="center"/>
              <w:rPr>
                <w:rFonts w:hint="eastAsia" w:ascii="宋体" w:hAnsi="宋体" w:eastAsia="宋体" w:cs="宋体"/>
                <w:b/>
                <w:bCs/>
                <w:color w:val="auto"/>
                <w:szCs w:val="21"/>
                <w:highlight w:val="none"/>
              </w:rPr>
            </w:pPr>
          </w:p>
        </w:tc>
        <w:tc>
          <w:tcPr>
            <w:tcW w:w="4460" w:type="pct"/>
            <w:noWrap w:val="0"/>
            <w:vAlign w:val="center"/>
          </w:tcPr>
          <w:p w14:paraId="66533A4E">
            <w:pPr>
              <w:pStyle w:val="20"/>
              <w:spacing w:line="24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投标报价合理、经济、完整，无重大缺漏项。</w:t>
            </w:r>
          </w:p>
        </w:tc>
      </w:tr>
      <w:tr w14:paraId="566D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39" w:type="pct"/>
            <w:vMerge w:val="continue"/>
            <w:noWrap w:val="0"/>
            <w:vAlign w:val="center"/>
          </w:tcPr>
          <w:p w14:paraId="3217655D">
            <w:pPr>
              <w:spacing w:line="360" w:lineRule="auto"/>
              <w:jc w:val="center"/>
              <w:rPr>
                <w:rFonts w:hint="eastAsia" w:ascii="宋体" w:hAnsi="宋体" w:eastAsia="宋体" w:cs="宋体"/>
                <w:b/>
                <w:bCs/>
                <w:color w:val="auto"/>
                <w:szCs w:val="21"/>
                <w:highlight w:val="none"/>
              </w:rPr>
            </w:pPr>
          </w:p>
        </w:tc>
        <w:tc>
          <w:tcPr>
            <w:tcW w:w="4460" w:type="pct"/>
            <w:noWrap w:val="0"/>
            <w:vAlign w:val="center"/>
          </w:tcPr>
          <w:p w14:paraId="1393D60C">
            <w:pPr>
              <w:pStyle w:val="20"/>
              <w:spacing w:line="24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投标报价未低于企业自身成本价。</w:t>
            </w:r>
          </w:p>
        </w:tc>
      </w:tr>
      <w:tr w14:paraId="3595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39" w:type="pct"/>
            <w:vMerge w:val="continue"/>
            <w:noWrap w:val="0"/>
            <w:vAlign w:val="center"/>
          </w:tcPr>
          <w:p w14:paraId="112BCCE2">
            <w:pPr>
              <w:spacing w:line="360" w:lineRule="auto"/>
              <w:jc w:val="center"/>
              <w:rPr>
                <w:rFonts w:hint="eastAsia" w:ascii="宋体" w:hAnsi="宋体" w:eastAsia="宋体" w:cs="宋体"/>
                <w:b/>
                <w:bCs/>
                <w:color w:val="auto"/>
                <w:szCs w:val="21"/>
                <w:highlight w:val="none"/>
              </w:rPr>
            </w:pPr>
          </w:p>
        </w:tc>
        <w:tc>
          <w:tcPr>
            <w:tcW w:w="4460" w:type="pct"/>
            <w:noWrap w:val="0"/>
            <w:vAlign w:val="center"/>
          </w:tcPr>
          <w:p w14:paraId="6D529F3C">
            <w:pPr>
              <w:pStyle w:val="20"/>
              <w:spacing w:line="336"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投标报价和方案必须是准确唯一的。</w:t>
            </w:r>
          </w:p>
        </w:tc>
      </w:tr>
    </w:tbl>
    <w:p w14:paraId="7B038EE8">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771BADF">
      <w:pPr>
        <w:pStyle w:val="3"/>
        <w:spacing w:before="0" w:after="0" w:line="240" w:lineRule="auto"/>
        <w:rPr>
          <w:rFonts w:hint="eastAsia" w:ascii="宋体" w:hAnsi="宋体" w:eastAsia="宋体" w:cs="宋体"/>
          <w:color w:val="auto"/>
          <w:sz w:val="36"/>
          <w:szCs w:val="36"/>
          <w:highlight w:val="none"/>
        </w:rPr>
      </w:pPr>
      <w:bookmarkStart w:id="12" w:name="_Toc32238"/>
      <w:bookmarkStart w:id="13" w:name="_Toc13360"/>
      <w:r>
        <w:rPr>
          <w:rFonts w:hint="eastAsia" w:ascii="宋体" w:hAnsi="宋体" w:eastAsia="宋体" w:cs="宋体"/>
          <w:color w:val="auto"/>
          <w:sz w:val="28"/>
          <w:szCs w:val="28"/>
          <w:highlight w:val="none"/>
        </w:rPr>
        <w:t>第三部分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用户需求书</w:t>
      </w:r>
      <w:bookmarkEnd w:id="12"/>
      <w:bookmarkEnd w:id="13"/>
    </w:p>
    <w:p w14:paraId="6A8A7712">
      <w:pPr>
        <w:pStyle w:val="4"/>
        <w:spacing w:before="0" w:after="0" w:line="360" w:lineRule="auto"/>
        <w:jc w:val="center"/>
        <w:rPr>
          <w:rFonts w:hint="eastAsia" w:ascii="宋体" w:hAnsi="宋体" w:eastAsia="宋体" w:cs="宋体"/>
          <w:color w:val="auto"/>
          <w:highlight w:val="none"/>
        </w:rPr>
      </w:pPr>
      <w:bookmarkStart w:id="14" w:name="_Toc1593"/>
      <w:bookmarkStart w:id="15" w:name="_Toc16526"/>
      <w:bookmarkStart w:id="16" w:name="_Toc31537"/>
      <w:bookmarkStart w:id="17" w:name="_Toc24679"/>
      <w:bookmarkStart w:id="18" w:name="_Toc14462"/>
      <w:bookmarkStart w:id="19" w:name="_Toc13112"/>
      <w:bookmarkStart w:id="20" w:name="_Toc308786492"/>
      <w:bookmarkStart w:id="21" w:name="_Toc31278"/>
      <w:r>
        <w:rPr>
          <w:rFonts w:hint="eastAsia" w:ascii="宋体" w:hAnsi="宋体" w:eastAsia="宋体" w:cs="宋体"/>
          <w:color w:val="auto"/>
          <w:highlight w:val="none"/>
        </w:rPr>
        <w:t>第一章 商务需求书</w:t>
      </w:r>
      <w:bookmarkEnd w:id="14"/>
      <w:bookmarkEnd w:id="15"/>
      <w:bookmarkEnd w:id="16"/>
      <w:bookmarkStart w:id="22" w:name="_Toc19316"/>
    </w:p>
    <w:p w14:paraId="28794BFF">
      <w:pPr>
        <w:spacing w:line="360" w:lineRule="auto"/>
        <w:rPr>
          <w:rFonts w:hint="eastAsia" w:ascii="宋体" w:hAnsi="宋体" w:cs="宋体"/>
          <w:b/>
          <w:szCs w:val="21"/>
        </w:rPr>
      </w:pPr>
      <w:r>
        <w:rPr>
          <w:rFonts w:hint="eastAsia" w:ascii="宋体" w:hAnsi="宋体" w:cs="宋体"/>
          <w:b/>
          <w:szCs w:val="21"/>
        </w:rPr>
        <w:t>一、项目概况：</w:t>
      </w:r>
    </w:p>
    <w:p w14:paraId="50654F7A">
      <w:pPr>
        <w:spacing w:line="360" w:lineRule="auto"/>
        <w:ind w:firstLine="420" w:firstLineChars="200"/>
        <w:rPr>
          <w:rFonts w:hint="eastAsia" w:ascii="宋体" w:hAnsi="宋体" w:cs="宋体"/>
          <w:szCs w:val="21"/>
        </w:rPr>
      </w:pPr>
      <w:r>
        <w:rPr>
          <w:rFonts w:hint="eastAsia" w:ascii="宋体" w:hAnsi="宋体" w:cs="宋体"/>
          <w:szCs w:val="21"/>
        </w:rPr>
        <w:t>1、为保障东莞市海心沙资源综合利用中心环保热电厂正常生产运营，东莞市新东元环保投资有限公司通过公开采购方式选取1家供应商作为液碱供货商。采购人根据项目需求及实际情况通知中标人随时供货，每车次具体供货数量按采购人供货通知为准，中标人在收到采购人通知（以订单形式、短信形式、微信、电子邮件形式均可）送货后2日内交货到厂。中标人应当常备充足的货物，保证采购人无论每批要求供货的数量多少，均可以随时满足供货需求。紧急供货：如采购人的任一项目因突发状况要求紧急供货，中标人应在收到采购人通知后根据采购人订单或电子邮件、短信等要求在10个小时内交货到厂。如不能在约定时间交货到厂，则承担逾期交货相关责任。在采购人的计划采购数量供应完毕后，合同期内采购人有权要求中标人继续供货，中标人不得提出任何异议，也不得要求采购人调整价格、支付任何赔偿或补偿。中标人须自行考虑并承担由此引起的相关风险。</w:t>
      </w:r>
    </w:p>
    <w:p w14:paraId="59A6CCFE">
      <w:pPr>
        <w:spacing w:line="360" w:lineRule="auto"/>
        <w:ind w:firstLine="420" w:firstLineChars="200"/>
        <w:rPr>
          <w:rFonts w:hint="eastAsia" w:ascii="宋体" w:hAnsi="宋体" w:cs="宋体"/>
          <w:b/>
          <w:szCs w:val="21"/>
        </w:rPr>
      </w:pPr>
      <w:r>
        <w:rPr>
          <w:rFonts w:hint="eastAsia" w:ascii="宋体" w:hAnsi="宋体" w:cs="宋体"/>
          <w:szCs w:val="21"/>
        </w:rPr>
        <w:t>2、本技术需求书所提出的是最低限度的技术要求，并未对一切技术细节作出规定，也未充分引述有关标准和规范的条文。本技术需求书所使用的标准，如遇与中标人所执行的标准不一致时，按较高的标准执行。如果本技术协议与现行使用的有关国家标准以及部颁标准有明显抵触的条文，中标人应按较高的标准执行。</w:t>
      </w:r>
    </w:p>
    <w:p w14:paraId="6F1305A9">
      <w:pPr>
        <w:numPr>
          <w:ilvl w:val="0"/>
          <w:numId w:val="2"/>
        </w:numPr>
        <w:spacing w:line="360" w:lineRule="auto"/>
        <w:rPr>
          <w:rFonts w:hint="eastAsia" w:ascii="宋体" w:hAnsi="宋体" w:cs="宋体"/>
          <w:b/>
          <w:szCs w:val="21"/>
        </w:rPr>
      </w:pPr>
      <w:r>
        <w:rPr>
          <w:rFonts w:hint="eastAsia" w:ascii="宋体" w:hAnsi="宋体" w:cs="宋体"/>
          <w:b/>
          <w:szCs w:val="21"/>
        </w:rPr>
        <w:t>供货期限：</w:t>
      </w:r>
    </w:p>
    <w:tbl>
      <w:tblPr>
        <w:tblStyle w:val="31"/>
        <w:tblW w:w="45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5305"/>
      </w:tblGrid>
      <w:tr w14:paraId="58AC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pct"/>
            <w:vAlign w:val="center"/>
          </w:tcPr>
          <w:p w14:paraId="2244474D">
            <w:pPr>
              <w:spacing w:line="360" w:lineRule="auto"/>
              <w:jc w:val="center"/>
              <w:rPr>
                <w:rFonts w:hint="eastAsia" w:ascii="宋体" w:hAnsi="宋体" w:cs="宋体"/>
                <w:b/>
                <w:bCs/>
                <w:szCs w:val="21"/>
              </w:rPr>
            </w:pPr>
            <w:r>
              <w:rPr>
                <w:rFonts w:hint="eastAsia" w:ascii="宋体" w:hAnsi="宋体" w:cs="宋体"/>
                <w:b/>
                <w:bCs/>
                <w:szCs w:val="21"/>
              </w:rPr>
              <w:t>货物内容</w:t>
            </w:r>
          </w:p>
        </w:tc>
        <w:tc>
          <w:tcPr>
            <w:tcW w:w="3445" w:type="pct"/>
            <w:vAlign w:val="center"/>
          </w:tcPr>
          <w:p w14:paraId="307020F4">
            <w:pPr>
              <w:spacing w:line="360" w:lineRule="auto"/>
              <w:jc w:val="center"/>
              <w:rPr>
                <w:rFonts w:hint="eastAsia" w:ascii="宋体" w:hAnsi="宋体" w:cs="宋体"/>
                <w:b/>
                <w:bCs/>
                <w:szCs w:val="21"/>
              </w:rPr>
            </w:pPr>
            <w:r>
              <w:rPr>
                <w:rFonts w:hint="eastAsia" w:ascii="宋体" w:hAnsi="宋体" w:cs="宋体"/>
                <w:b/>
                <w:bCs/>
                <w:szCs w:val="21"/>
              </w:rPr>
              <w:t>供货期限</w:t>
            </w:r>
          </w:p>
        </w:tc>
      </w:tr>
      <w:tr w14:paraId="3E30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pct"/>
            <w:vAlign w:val="center"/>
          </w:tcPr>
          <w:p w14:paraId="6E8E8DE5">
            <w:pPr>
              <w:spacing w:line="360" w:lineRule="auto"/>
              <w:jc w:val="center"/>
              <w:rPr>
                <w:rFonts w:hint="eastAsia" w:ascii="宋体" w:hAnsi="宋体" w:cs="宋体"/>
                <w:sz w:val="22"/>
              </w:rPr>
            </w:pPr>
            <w:r>
              <w:rPr>
                <w:rFonts w:hint="eastAsia" w:ascii="宋体" w:hAnsi="宋体" w:cs="宋体"/>
                <w:sz w:val="22"/>
              </w:rPr>
              <w:t>液碱</w:t>
            </w:r>
          </w:p>
        </w:tc>
        <w:tc>
          <w:tcPr>
            <w:tcW w:w="3445" w:type="pct"/>
            <w:vAlign w:val="center"/>
          </w:tcPr>
          <w:p w14:paraId="6DE67C01">
            <w:pPr>
              <w:spacing w:line="360" w:lineRule="auto"/>
              <w:jc w:val="center"/>
              <w:rPr>
                <w:rFonts w:hint="eastAsia" w:ascii="宋体" w:hAnsi="宋体" w:eastAsia="宋体" w:cs="宋体"/>
                <w:sz w:val="22"/>
                <w:lang w:val="en-US" w:eastAsia="zh-CN"/>
              </w:rPr>
            </w:pPr>
            <w:r>
              <w:rPr>
                <w:rFonts w:hint="eastAsia" w:ascii="宋体" w:hAnsi="宋体" w:cs="宋体"/>
                <w:sz w:val="22"/>
                <w:lang w:val="en-US" w:eastAsia="zh-CN"/>
              </w:rPr>
              <w:t>一年</w:t>
            </w:r>
          </w:p>
        </w:tc>
      </w:tr>
    </w:tbl>
    <w:p w14:paraId="19B898BB">
      <w:pPr>
        <w:numPr>
          <w:ilvl w:val="0"/>
          <w:numId w:val="2"/>
        </w:numPr>
        <w:spacing w:before="156" w:beforeLines="50" w:line="360" w:lineRule="auto"/>
        <w:rPr>
          <w:rFonts w:hint="eastAsia" w:ascii="宋体" w:hAnsi="宋体" w:cs="宋体"/>
          <w:bCs/>
          <w:szCs w:val="21"/>
        </w:rPr>
      </w:pPr>
      <w:r>
        <w:rPr>
          <w:rFonts w:hint="eastAsia" w:ascii="宋体" w:hAnsi="宋体" w:cs="宋体"/>
          <w:b/>
          <w:szCs w:val="21"/>
        </w:rPr>
        <w:t>交货地点：</w:t>
      </w:r>
      <w:r>
        <w:rPr>
          <w:rFonts w:hint="eastAsia" w:ascii="宋体" w:hAnsi="宋体" w:cs="宋体"/>
          <w:bCs/>
          <w:szCs w:val="21"/>
        </w:rPr>
        <w:t>东莞市海心沙资源综合利用中心环保热电厂指定地点。</w:t>
      </w:r>
    </w:p>
    <w:p w14:paraId="59C80484">
      <w:pPr>
        <w:pStyle w:val="13"/>
        <w:spacing w:line="360" w:lineRule="auto"/>
        <w:ind w:left="0" w:leftChars="0" w:firstLine="0" w:firstLineChars="0"/>
        <w:rPr>
          <w:rFonts w:hint="eastAsia" w:ascii="宋体" w:hAnsi="宋体" w:eastAsia="宋体" w:cs="宋体"/>
          <w:sz w:val="21"/>
          <w:szCs w:val="21"/>
          <w:lang w:val="en-US" w:eastAsia="zh-CN" w:bidi="ar-SA"/>
        </w:rPr>
      </w:pPr>
      <w:r>
        <w:rPr>
          <w:rFonts w:hint="eastAsia" w:ascii="宋体" w:hAnsi="宋体" w:eastAsia="宋体" w:cs="宋体"/>
          <w:b/>
          <w:sz w:val="21"/>
          <w:szCs w:val="21"/>
          <w:lang w:val="en-US" w:eastAsia="zh-CN" w:bidi="ar-SA"/>
        </w:rPr>
        <w:t>四、质保期：</w:t>
      </w:r>
      <w:r>
        <w:rPr>
          <w:rFonts w:hint="eastAsia" w:ascii="宋体" w:hAnsi="宋体" w:eastAsia="宋体" w:cs="宋体"/>
          <w:sz w:val="21"/>
          <w:szCs w:val="21"/>
          <w:lang w:val="en-US" w:eastAsia="zh-CN" w:bidi="ar-SA"/>
        </w:rPr>
        <w:t>中标人提供自货物交付验收合格之日起，至少6个月质保期。</w:t>
      </w:r>
    </w:p>
    <w:p w14:paraId="696219D6">
      <w:pPr>
        <w:spacing w:line="360" w:lineRule="auto"/>
        <w:rPr>
          <w:rFonts w:hint="eastAsia" w:ascii="宋体" w:hAnsi="宋体" w:cs="宋体"/>
          <w:b/>
          <w:szCs w:val="21"/>
        </w:rPr>
      </w:pPr>
      <w:r>
        <w:rPr>
          <w:rFonts w:hint="eastAsia" w:ascii="宋体" w:hAnsi="宋体" w:cs="宋体"/>
          <w:b/>
          <w:szCs w:val="21"/>
        </w:rPr>
        <w:t>五、付款</w:t>
      </w:r>
      <w:r>
        <w:rPr>
          <w:rFonts w:ascii="宋体" w:hAnsi="宋体" w:cs="宋体"/>
          <w:b/>
          <w:szCs w:val="21"/>
        </w:rPr>
        <w:t>方式</w:t>
      </w:r>
    </w:p>
    <w:p w14:paraId="7386176E">
      <w:pPr>
        <w:pStyle w:val="13"/>
        <w:spacing w:line="360" w:lineRule="auto"/>
        <w:ind w:left="0" w:leftChars="0"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按月结方式支付，每自然月结束后，中标人向采购人申请结算上月货物货款。结算数量按上月中标人标的货物经采购人验收合格的数量（对质量有争议的部分暂时不予结算支付），并且在采购人收到中标人交付的以下资料后三十个工作日内以电汇/转账方式向中标人支付：</w:t>
      </w:r>
    </w:p>
    <w:p w14:paraId="7A3DDE5A">
      <w:pPr>
        <w:pStyle w:val="13"/>
        <w:spacing w:line="360" w:lineRule="auto"/>
        <w:ind w:left="0" w:leftChars="0"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A．（货物的过磅计量清单）标的货物经采购人地磅计量的实际重量；</w:t>
      </w:r>
    </w:p>
    <w:p w14:paraId="32882B97">
      <w:pPr>
        <w:pStyle w:val="13"/>
        <w:spacing w:line="360" w:lineRule="auto"/>
        <w:ind w:left="0" w:leftChars="0"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B．开具金额为该月验收合格货物总价100％的增值税专用发票（在合同履行期间，如遇国家的税率调整，则货款（价税合计）应根据原不含税价和调整后的税率重新计算，相应发票按调整后价格开具）；</w:t>
      </w:r>
    </w:p>
    <w:p w14:paraId="2CFD144D">
      <w:pPr>
        <w:pStyle w:val="13"/>
        <w:spacing w:line="360" w:lineRule="auto"/>
        <w:ind w:left="0" w:leftChars="0"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C．中标人向采购人缴纳的履约担保证明资料（首次支付时需要）；</w:t>
      </w:r>
    </w:p>
    <w:p w14:paraId="04009CA7">
      <w:pPr>
        <w:pStyle w:val="13"/>
        <w:spacing w:line="360" w:lineRule="auto"/>
        <w:ind w:left="0" w:leftChars="0"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D．每车次货物采购人实验室初步检验报告及采购人对异议货物要求中标人委托第三方出具的合格检测报告（如有）；</w:t>
      </w:r>
    </w:p>
    <w:p w14:paraId="26865B81">
      <w:pPr>
        <w:pStyle w:val="13"/>
        <w:spacing w:line="360" w:lineRule="auto"/>
        <w:ind w:left="0" w:leftChars="0"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E．送货清单（采购人指定收货人签字确认）；</w:t>
      </w:r>
    </w:p>
    <w:p w14:paraId="0B713D7B">
      <w:pPr>
        <w:pStyle w:val="13"/>
        <w:spacing w:line="360" w:lineRule="auto"/>
        <w:ind w:left="0" w:leftChars="0"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F．每车次货物出厂化验报告；</w:t>
      </w:r>
    </w:p>
    <w:p w14:paraId="12505474">
      <w:pPr>
        <w:pStyle w:val="13"/>
        <w:spacing w:line="360" w:lineRule="auto"/>
        <w:ind w:left="0" w:leftChars="0" w:firstLine="420" w:firstLineChars="200"/>
        <w:rPr>
          <w:rFonts w:hint="eastAsia" w:ascii="宋体" w:hAnsi="宋体"/>
        </w:rPr>
      </w:pPr>
      <w:r>
        <w:rPr>
          <w:rFonts w:hint="eastAsia" w:ascii="宋体" w:hAnsi="宋体" w:eastAsia="宋体" w:cs="宋体"/>
          <w:sz w:val="21"/>
          <w:szCs w:val="21"/>
          <w:lang w:val="en-US" w:eastAsia="zh-CN" w:bidi="ar-SA"/>
        </w:rPr>
        <w:t>G.双方盖章确认的月度对账单；</w:t>
      </w:r>
    </w:p>
    <w:p w14:paraId="2EC4A588">
      <w:pPr>
        <w:spacing w:line="360" w:lineRule="auto"/>
        <w:rPr>
          <w:rFonts w:hint="eastAsia" w:ascii="宋体" w:hAnsi="宋体" w:cs="宋体"/>
          <w:b/>
          <w:szCs w:val="21"/>
        </w:rPr>
      </w:pPr>
      <w:r>
        <w:rPr>
          <w:rFonts w:hint="eastAsia" w:ascii="宋体" w:hAnsi="宋体" w:cs="宋体"/>
          <w:b/>
          <w:szCs w:val="21"/>
        </w:rPr>
        <w:t>六</w:t>
      </w:r>
      <w:r>
        <w:rPr>
          <w:rFonts w:ascii="宋体" w:hAnsi="宋体" w:cs="宋体"/>
          <w:b/>
          <w:szCs w:val="21"/>
        </w:rPr>
        <w:t>、</w:t>
      </w:r>
      <w:r>
        <w:rPr>
          <w:rFonts w:hint="eastAsia" w:ascii="宋体" w:hAnsi="宋体" w:cs="宋体"/>
          <w:b/>
          <w:szCs w:val="21"/>
        </w:rPr>
        <w:t>服务质量考核</w:t>
      </w:r>
    </w:p>
    <w:p w14:paraId="490F1F82">
      <w:pPr>
        <w:spacing w:line="360" w:lineRule="auto"/>
        <w:ind w:firstLine="420" w:firstLineChars="200"/>
        <w:jc w:val="left"/>
        <w:rPr>
          <w:rFonts w:hint="eastAsia" w:ascii="宋体" w:hAnsi="宋体" w:cs="宋体"/>
          <w:szCs w:val="21"/>
        </w:rPr>
      </w:pPr>
      <w:r>
        <w:rPr>
          <w:rFonts w:hint="eastAsia" w:ascii="宋体" w:hAnsi="宋体" w:cs="宋体"/>
          <w:szCs w:val="21"/>
        </w:rPr>
        <w:t>1、采购人按《供货考核评分表》（附件）对中标人供货质量、服务情况等进行季度考核。季度考核综合得分≥80分，中标人继续履行合同；季度考核综合得分＜80分，采购人有权解除合同。</w:t>
      </w:r>
    </w:p>
    <w:p w14:paraId="6438948B">
      <w:pPr>
        <w:spacing w:line="360" w:lineRule="auto"/>
        <w:ind w:firstLine="420" w:firstLineChars="200"/>
        <w:jc w:val="left"/>
        <w:rPr>
          <w:rFonts w:hint="eastAsia" w:ascii="宋体" w:hAnsi="宋体" w:cs="宋体"/>
          <w:szCs w:val="21"/>
        </w:rPr>
      </w:pPr>
      <w:r>
        <w:rPr>
          <w:rFonts w:hint="eastAsia" w:ascii="宋体" w:hAnsi="宋体" w:cs="宋体"/>
          <w:szCs w:val="21"/>
        </w:rPr>
        <w:t>2、季度总评考核结果：</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2943"/>
        <w:gridCol w:w="3532"/>
      </w:tblGrid>
      <w:tr w14:paraId="22CF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69A77BEC">
            <w:pPr>
              <w:spacing w:line="360" w:lineRule="auto"/>
              <w:jc w:val="center"/>
              <w:rPr>
                <w:rFonts w:hint="eastAsia" w:ascii="宋体" w:hAnsi="宋体" w:cs="宋体"/>
                <w:b/>
                <w:bCs/>
                <w:szCs w:val="21"/>
              </w:rPr>
            </w:pPr>
            <w:r>
              <w:rPr>
                <w:rFonts w:hint="eastAsia" w:ascii="宋体" w:hAnsi="宋体" w:cs="宋体"/>
                <w:b/>
                <w:bCs/>
                <w:szCs w:val="21"/>
              </w:rPr>
              <w:t>考核结果</w:t>
            </w:r>
          </w:p>
        </w:tc>
        <w:tc>
          <w:tcPr>
            <w:tcW w:w="1727" w:type="pct"/>
            <w:vAlign w:val="center"/>
          </w:tcPr>
          <w:p w14:paraId="594A0E5C">
            <w:pPr>
              <w:spacing w:line="360" w:lineRule="auto"/>
              <w:jc w:val="center"/>
              <w:rPr>
                <w:rFonts w:hint="eastAsia" w:ascii="宋体" w:hAnsi="宋体" w:cs="宋体"/>
                <w:b/>
                <w:bCs/>
                <w:szCs w:val="21"/>
              </w:rPr>
            </w:pPr>
            <w:r>
              <w:rPr>
                <w:rFonts w:hint="eastAsia" w:ascii="宋体" w:hAnsi="宋体" w:cs="宋体"/>
                <w:b/>
                <w:bCs/>
                <w:szCs w:val="21"/>
              </w:rPr>
              <w:t>分值区间</w:t>
            </w:r>
          </w:p>
        </w:tc>
        <w:tc>
          <w:tcPr>
            <w:tcW w:w="2072" w:type="pct"/>
            <w:vAlign w:val="center"/>
          </w:tcPr>
          <w:p w14:paraId="0915C268">
            <w:pPr>
              <w:spacing w:line="360" w:lineRule="auto"/>
              <w:jc w:val="center"/>
              <w:rPr>
                <w:rFonts w:hint="eastAsia" w:ascii="宋体" w:hAnsi="宋体" w:cs="宋体"/>
                <w:b/>
                <w:bCs/>
                <w:szCs w:val="21"/>
              </w:rPr>
            </w:pPr>
            <w:r>
              <w:rPr>
                <w:rFonts w:hint="eastAsia" w:ascii="宋体" w:hAnsi="宋体" w:cs="宋体"/>
                <w:b/>
                <w:bCs/>
                <w:szCs w:val="21"/>
              </w:rPr>
              <w:t>是否继续执行合同</w:t>
            </w:r>
          </w:p>
        </w:tc>
      </w:tr>
      <w:tr w14:paraId="29CB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1734F025">
            <w:pPr>
              <w:spacing w:line="360" w:lineRule="auto"/>
              <w:jc w:val="center"/>
              <w:rPr>
                <w:rFonts w:hint="eastAsia" w:ascii="宋体" w:hAnsi="宋体" w:cs="宋体"/>
                <w:szCs w:val="21"/>
              </w:rPr>
            </w:pPr>
            <w:r>
              <w:rPr>
                <w:rFonts w:hint="eastAsia" w:ascii="宋体" w:hAnsi="宋体" w:cs="宋体"/>
                <w:szCs w:val="21"/>
              </w:rPr>
              <w:t>合格</w:t>
            </w:r>
          </w:p>
        </w:tc>
        <w:tc>
          <w:tcPr>
            <w:tcW w:w="1727" w:type="pct"/>
            <w:vAlign w:val="center"/>
          </w:tcPr>
          <w:p w14:paraId="64ED6AA5">
            <w:pPr>
              <w:spacing w:line="360" w:lineRule="auto"/>
              <w:jc w:val="center"/>
              <w:rPr>
                <w:rFonts w:hint="eastAsia" w:ascii="宋体" w:hAnsi="宋体" w:cs="宋体"/>
                <w:szCs w:val="21"/>
              </w:rPr>
            </w:pPr>
            <w:r>
              <w:rPr>
                <w:rFonts w:hint="eastAsia" w:ascii="宋体" w:hAnsi="宋体" w:cs="宋体"/>
                <w:szCs w:val="21"/>
              </w:rPr>
              <w:t>综合得分≥80分</w:t>
            </w:r>
          </w:p>
        </w:tc>
        <w:tc>
          <w:tcPr>
            <w:tcW w:w="2072" w:type="pct"/>
            <w:vAlign w:val="center"/>
          </w:tcPr>
          <w:p w14:paraId="0321266B">
            <w:pPr>
              <w:spacing w:line="360" w:lineRule="auto"/>
              <w:jc w:val="center"/>
              <w:rPr>
                <w:rFonts w:hint="eastAsia" w:ascii="宋体" w:hAnsi="宋体" w:cs="宋体"/>
                <w:szCs w:val="21"/>
              </w:rPr>
            </w:pPr>
            <w:r>
              <w:rPr>
                <w:rFonts w:hint="eastAsia" w:ascii="宋体" w:hAnsi="宋体" w:cs="宋体"/>
                <w:szCs w:val="21"/>
              </w:rPr>
              <w:t>继续执行</w:t>
            </w:r>
          </w:p>
        </w:tc>
      </w:tr>
      <w:tr w14:paraId="2C0B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012B22A4">
            <w:pPr>
              <w:spacing w:line="360" w:lineRule="auto"/>
              <w:jc w:val="center"/>
              <w:rPr>
                <w:rFonts w:hint="eastAsia" w:ascii="宋体" w:hAnsi="宋体" w:cs="宋体"/>
                <w:szCs w:val="21"/>
              </w:rPr>
            </w:pPr>
            <w:r>
              <w:rPr>
                <w:rFonts w:hint="eastAsia" w:ascii="宋体" w:hAnsi="宋体" w:cs="宋体"/>
                <w:szCs w:val="21"/>
              </w:rPr>
              <w:t>不合格</w:t>
            </w:r>
          </w:p>
        </w:tc>
        <w:tc>
          <w:tcPr>
            <w:tcW w:w="1727" w:type="pct"/>
            <w:vAlign w:val="center"/>
          </w:tcPr>
          <w:p w14:paraId="6EDC8C85">
            <w:pPr>
              <w:spacing w:line="360" w:lineRule="auto"/>
              <w:jc w:val="center"/>
              <w:rPr>
                <w:rFonts w:hint="eastAsia" w:ascii="宋体" w:hAnsi="宋体" w:cs="宋体"/>
                <w:szCs w:val="21"/>
              </w:rPr>
            </w:pPr>
            <w:r>
              <w:rPr>
                <w:rFonts w:hint="eastAsia" w:ascii="宋体" w:hAnsi="宋体" w:cs="宋体"/>
                <w:szCs w:val="21"/>
              </w:rPr>
              <w:t>综合得分＜80分</w:t>
            </w:r>
          </w:p>
        </w:tc>
        <w:tc>
          <w:tcPr>
            <w:tcW w:w="2072" w:type="pct"/>
            <w:vAlign w:val="center"/>
          </w:tcPr>
          <w:p w14:paraId="1E07CB32">
            <w:pPr>
              <w:spacing w:line="360" w:lineRule="auto"/>
              <w:jc w:val="center"/>
              <w:rPr>
                <w:rFonts w:hint="eastAsia" w:ascii="宋体" w:hAnsi="宋体" w:cs="宋体"/>
                <w:szCs w:val="21"/>
              </w:rPr>
            </w:pPr>
            <w:r>
              <w:rPr>
                <w:rFonts w:hint="eastAsia" w:ascii="宋体" w:hAnsi="宋体" w:cs="宋体"/>
                <w:szCs w:val="21"/>
              </w:rPr>
              <w:t>任一次不合格采购人有权解除合同</w:t>
            </w:r>
          </w:p>
        </w:tc>
      </w:tr>
    </w:tbl>
    <w:p w14:paraId="3EE62566">
      <w:pPr>
        <w:spacing w:before="156" w:beforeLines="50" w:line="360" w:lineRule="auto"/>
        <w:rPr>
          <w:rFonts w:hint="eastAsia" w:ascii="宋体" w:hAnsi="宋体" w:cs="宋体"/>
          <w:szCs w:val="21"/>
        </w:rPr>
      </w:pPr>
      <w:r>
        <w:rPr>
          <w:rFonts w:hint="eastAsia" w:ascii="宋体" w:hAnsi="宋体" w:cs="宋体"/>
          <w:b/>
          <w:bCs/>
          <w:szCs w:val="21"/>
        </w:rPr>
        <w:t>附件《供货考核评分表》</w:t>
      </w:r>
    </w:p>
    <w:tbl>
      <w:tblPr>
        <w:tblStyle w:val="31"/>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01"/>
        <w:gridCol w:w="757"/>
        <w:gridCol w:w="5201"/>
        <w:gridCol w:w="639"/>
        <w:gridCol w:w="665"/>
        <w:gridCol w:w="957"/>
      </w:tblGrid>
      <w:tr w14:paraId="5816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2" w:type="dxa"/>
            <w:vAlign w:val="center"/>
          </w:tcPr>
          <w:p w14:paraId="1E359D30">
            <w:pPr>
              <w:spacing w:line="360" w:lineRule="auto"/>
              <w:jc w:val="center"/>
              <w:rPr>
                <w:rFonts w:hint="eastAsia" w:ascii="宋体" w:hAnsi="宋体" w:cs="宋体"/>
                <w:b/>
                <w:szCs w:val="21"/>
              </w:rPr>
            </w:pPr>
            <w:r>
              <w:rPr>
                <w:rFonts w:hint="eastAsia" w:ascii="宋体" w:hAnsi="宋体" w:cs="宋体"/>
                <w:b/>
                <w:szCs w:val="21"/>
              </w:rPr>
              <w:t>序号</w:t>
            </w:r>
          </w:p>
        </w:tc>
        <w:tc>
          <w:tcPr>
            <w:tcW w:w="701" w:type="dxa"/>
            <w:vAlign w:val="center"/>
          </w:tcPr>
          <w:p w14:paraId="09DBF9D5">
            <w:pPr>
              <w:spacing w:line="360" w:lineRule="auto"/>
              <w:jc w:val="center"/>
              <w:rPr>
                <w:rFonts w:hint="eastAsia" w:ascii="宋体" w:hAnsi="宋体" w:cs="宋体"/>
                <w:b/>
                <w:szCs w:val="21"/>
              </w:rPr>
            </w:pPr>
            <w:r>
              <w:rPr>
                <w:rFonts w:hint="eastAsia" w:ascii="宋体" w:hAnsi="宋体" w:cs="宋体"/>
                <w:b/>
                <w:szCs w:val="21"/>
              </w:rPr>
              <w:t>类别</w:t>
            </w:r>
          </w:p>
        </w:tc>
        <w:tc>
          <w:tcPr>
            <w:tcW w:w="757" w:type="dxa"/>
            <w:vAlign w:val="center"/>
          </w:tcPr>
          <w:p w14:paraId="570C071E">
            <w:pPr>
              <w:spacing w:line="360" w:lineRule="auto"/>
              <w:jc w:val="center"/>
              <w:rPr>
                <w:rFonts w:hint="eastAsia" w:ascii="宋体" w:hAnsi="宋体" w:cs="宋体"/>
                <w:b/>
                <w:szCs w:val="21"/>
              </w:rPr>
            </w:pPr>
            <w:r>
              <w:rPr>
                <w:rFonts w:hint="eastAsia" w:ascii="宋体" w:hAnsi="宋体" w:cs="宋体"/>
                <w:b/>
                <w:szCs w:val="21"/>
              </w:rPr>
              <w:t>细分项目</w:t>
            </w:r>
          </w:p>
        </w:tc>
        <w:tc>
          <w:tcPr>
            <w:tcW w:w="5201" w:type="dxa"/>
            <w:vAlign w:val="center"/>
          </w:tcPr>
          <w:p w14:paraId="0379E038">
            <w:pPr>
              <w:spacing w:line="360" w:lineRule="auto"/>
              <w:jc w:val="center"/>
              <w:rPr>
                <w:rFonts w:hint="eastAsia" w:ascii="宋体" w:hAnsi="宋体" w:cs="宋体"/>
                <w:b/>
                <w:szCs w:val="21"/>
              </w:rPr>
            </w:pPr>
            <w:r>
              <w:rPr>
                <w:rFonts w:hint="eastAsia" w:ascii="宋体" w:hAnsi="宋体" w:cs="宋体"/>
                <w:b/>
                <w:szCs w:val="21"/>
              </w:rPr>
              <w:t>评分细则</w:t>
            </w:r>
          </w:p>
        </w:tc>
        <w:tc>
          <w:tcPr>
            <w:tcW w:w="639" w:type="dxa"/>
            <w:vAlign w:val="center"/>
          </w:tcPr>
          <w:p w14:paraId="759B8168">
            <w:pPr>
              <w:spacing w:line="360" w:lineRule="auto"/>
              <w:jc w:val="center"/>
              <w:rPr>
                <w:rFonts w:hint="eastAsia" w:ascii="宋体" w:hAnsi="宋体" w:cs="宋体"/>
                <w:b/>
                <w:szCs w:val="21"/>
              </w:rPr>
            </w:pPr>
            <w:r>
              <w:rPr>
                <w:rFonts w:hint="eastAsia" w:ascii="宋体" w:hAnsi="宋体" w:cs="宋体"/>
                <w:b/>
                <w:szCs w:val="21"/>
              </w:rPr>
              <w:t>满分</w:t>
            </w:r>
          </w:p>
        </w:tc>
        <w:tc>
          <w:tcPr>
            <w:tcW w:w="665" w:type="dxa"/>
            <w:vAlign w:val="center"/>
          </w:tcPr>
          <w:p w14:paraId="69C07468">
            <w:pPr>
              <w:spacing w:line="360" w:lineRule="auto"/>
              <w:jc w:val="center"/>
              <w:rPr>
                <w:rFonts w:hint="eastAsia" w:ascii="宋体" w:hAnsi="宋体" w:cs="宋体"/>
                <w:b/>
                <w:szCs w:val="21"/>
              </w:rPr>
            </w:pPr>
            <w:r>
              <w:rPr>
                <w:rFonts w:hint="eastAsia" w:ascii="宋体" w:hAnsi="宋体" w:cs="宋体"/>
                <w:b/>
                <w:szCs w:val="21"/>
              </w:rPr>
              <w:t>评分</w:t>
            </w:r>
          </w:p>
        </w:tc>
        <w:tc>
          <w:tcPr>
            <w:tcW w:w="957" w:type="dxa"/>
          </w:tcPr>
          <w:p w14:paraId="173E9CEA">
            <w:pPr>
              <w:spacing w:line="360" w:lineRule="auto"/>
              <w:jc w:val="center"/>
              <w:rPr>
                <w:rFonts w:hint="eastAsia" w:ascii="宋体" w:hAnsi="宋体" w:cs="宋体"/>
                <w:b/>
                <w:szCs w:val="21"/>
              </w:rPr>
            </w:pPr>
            <w:r>
              <w:rPr>
                <w:rFonts w:hint="eastAsia" w:ascii="宋体" w:hAnsi="宋体" w:cs="宋体"/>
                <w:b/>
                <w:szCs w:val="21"/>
              </w:rPr>
              <w:t>扣分/加分事由</w:t>
            </w:r>
          </w:p>
        </w:tc>
      </w:tr>
      <w:tr w14:paraId="03DE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62" w:type="dxa"/>
            <w:vAlign w:val="center"/>
          </w:tcPr>
          <w:p w14:paraId="71AF2227">
            <w:pPr>
              <w:spacing w:line="360" w:lineRule="auto"/>
              <w:jc w:val="center"/>
              <w:rPr>
                <w:rFonts w:hint="eastAsia" w:ascii="宋体" w:hAnsi="宋体" w:cs="宋体"/>
                <w:szCs w:val="21"/>
              </w:rPr>
            </w:pPr>
            <w:r>
              <w:rPr>
                <w:rFonts w:hint="eastAsia" w:ascii="宋体" w:hAnsi="宋体" w:cs="宋体"/>
                <w:szCs w:val="21"/>
              </w:rPr>
              <w:t>1</w:t>
            </w:r>
          </w:p>
        </w:tc>
        <w:tc>
          <w:tcPr>
            <w:tcW w:w="701" w:type="dxa"/>
            <w:vMerge w:val="restart"/>
            <w:vAlign w:val="center"/>
          </w:tcPr>
          <w:p w14:paraId="66BE2ED9">
            <w:pPr>
              <w:spacing w:line="360" w:lineRule="auto"/>
              <w:jc w:val="center"/>
              <w:rPr>
                <w:rFonts w:hint="eastAsia" w:ascii="宋体" w:hAnsi="宋体" w:cs="宋体"/>
                <w:szCs w:val="21"/>
              </w:rPr>
            </w:pPr>
            <w:r>
              <w:rPr>
                <w:rFonts w:hint="eastAsia" w:ascii="宋体" w:hAnsi="宋体" w:cs="宋体"/>
                <w:szCs w:val="21"/>
              </w:rPr>
              <w:t>送货质量</w:t>
            </w:r>
          </w:p>
        </w:tc>
        <w:tc>
          <w:tcPr>
            <w:tcW w:w="757" w:type="dxa"/>
            <w:vAlign w:val="center"/>
          </w:tcPr>
          <w:p w14:paraId="29181E43">
            <w:pPr>
              <w:spacing w:line="360" w:lineRule="auto"/>
              <w:jc w:val="center"/>
              <w:rPr>
                <w:rFonts w:hint="eastAsia" w:ascii="宋体" w:hAnsi="宋体" w:cs="宋体"/>
                <w:szCs w:val="21"/>
              </w:rPr>
            </w:pPr>
            <w:r>
              <w:rPr>
                <w:rFonts w:hint="eastAsia" w:ascii="宋体" w:hAnsi="宋体" w:cs="宋体"/>
                <w:szCs w:val="21"/>
              </w:rPr>
              <w:t>交货及时</w:t>
            </w:r>
          </w:p>
        </w:tc>
        <w:tc>
          <w:tcPr>
            <w:tcW w:w="5201" w:type="dxa"/>
            <w:vAlign w:val="center"/>
          </w:tcPr>
          <w:p w14:paraId="1D4DCB9B">
            <w:pPr>
              <w:spacing w:line="360" w:lineRule="auto"/>
              <w:jc w:val="left"/>
              <w:rPr>
                <w:rFonts w:hint="eastAsia" w:ascii="宋体" w:hAnsi="宋体" w:cs="宋体"/>
                <w:szCs w:val="21"/>
              </w:rPr>
            </w:pPr>
            <w:r>
              <w:rPr>
                <w:rFonts w:hint="eastAsia" w:ascii="宋体" w:hAnsi="宋体" w:cs="宋体"/>
                <w:szCs w:val="21"/>
              </w:rPr>
              <w:t>每逾期1天交货扣3分，逾期达3天及以上交货扣10分，扣至0分为止。</w:t>
            </w:r>
          </w:p>
        </w:tc>
        <w:tc>
          <w:tcPr>
            <w:tcW w:w="639" w:type="dxa"/>
            <w:vAlign w:val="center"/>
          </w:tcPr>
          <w:p w14:paraId="4C88B5ED">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33B81CEA">
            <w:pPr>
              <w:spacing w:line="360" w:lineRule="auto"/>
              <w:jc w:val="center"/>
              <w:rPr>
                <w:rFonts w:hint="eastAsia" w:ascii="宋体" w:hAnsi="宋体" w:cs="宋体"/>
                <w:szCs w:val="21"/>
              </w:rPr>
            </w:pPr>
          </w:p>
        </w:tc>
        <w:tc>
          <w:tcPr>
            <w:tcW w:w="957" w:type="dxa"/>
            <w:vAlign w:val="center"/>
          </w:tcPr>
          <w:p w14:paraId="393A125A">
            <w:pPr>
              <w:spacing w:line="360" w:lineRule="auto"/>
              <w:jc w:val="center"/>
              <w:rPr>
                <w:rFonts w:hint="eastAsia" w:ascii="宋体" w:hAnsi="宋体" w:cs="宋体"/>
                <w:szCs w:val="21"/>
              </w:rPr>
            </w:pPr>
          </w:p>
        </w:tc>
      </w:tr>
      <w:tr w14:paraId="249B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17B4E0D1">
            <w:pPr>
              <w:spacing w:line="360" w:lineRule="auto"/>
              <w:jc w:val="center"/>
              <w:rPr>
                <w:rFonts w:hint="eastAsia" w:ascii="宋体" w:hAnsi="宋体" w:cs="宋体"/>
                <w:szCs w:val="21"/>
              </w:rPr>
            </w:pPr>
            <w:r>
              <w:rPr>
                <w:rFonts w:hint="eastAsia" w:ascii="宋体" w:hAnsi="宋体" w:cs="宋体"/>
                <w:szCs w:val="21"/>
              </w:rPr>
              <w:t>2</w:t>
            </w:r>
          </w:p>
        </w:tc>
        <w:tc>
          <w:tcPr>
            <w:tcW w:w="701" w:type="dxa"/>
            <w:vMerge w:val="continue"/>
            <w:vAlign w:val="center"/>
          </w:tcPr>
          <w:p w14:paraId="112169AD">
            <w:pPr>
              <w:widowControl/>
              <w:spacing w:line="360" w:lineRule="auto"/>
              <w:jc w:val="left"/>
              <w:rPr>
                <w:rFonts w:hint="eastAsia" w:ascii="宋体" w:hAnsi="宋体" w:cs="宋体"/>
                <w:szCs w:val="21"/>
              </w:rPr>
            </w:pPr>
          </w:p>
        </w:tc>
        <w:tc>
          <w:tcPr>
            <w:tcW w:w="757" w:type="dxa"/>
            <w:vAlign w:val="center"/>
          </w:tcPr>
          <w:p w14:paraId="49DFCAB8">
            <w:pPr>
              <w:spacing w:line="360" w:lineRule="auto"/>
              <w:jc w:val="center"/>
              <w:rPr>
                <w:rFonts w:hint="eastAsia" w:ascii="宋体" w:hAnsi="宋体" w:cs="宋体"/>
                <w:szCs w:val="21"/>
              </w:rPr>
            </w:pPr>
            <w:r>
              <w:rPr>
                <w:rFonts w:hint="eastAsia" w:ascii="宋体" w:hAnsi="宋体" w:cs="宋体"/>
                <w:szCs w:val="21"/>
              </w:rPr>
              <w:t>现场整洁</w:t>
            </w:r>
          </w:p>
        </w:tc>
        <w:tc>
          <w:tcPr>
            <w:tcW w:w="5201" w:type="dxa"/>
            <w:vAlign w:val="center"/>
          </w:tcPr>
          <w:p w14:paraId="2970C984">
            <w:pPr>
              <w:spacing w:line="360" w:lineRule="auto"/>
              <w:jc w:val="left"/>
              <w:rPr>
                <w:rFonts w:hint="eastAsia" w:ascii="宋体" w:hAnsi="宋体" w:cs="宋体"/>
                <w:szCs w:val="21"/>
              </w:rPr>
            </w:pPr>
            <w:r>
              <w:rPr>
                <w:rFonts w:hint="eastAsia" w:ascii="宋体" w:hAnsi="宋体" w:cs="宋体"/>
                <w:szCs w:val="21"/>
              </w:rPr>
              <w:t>卸货范围内的卫生保持整洁，全月无投诉得10分，每次投诉扣3分，扣至0分为止。</w:t>
            </w:r>
          </w:p>
        </w:tc>
        <w:tc>
          <w:tcPr>
            <w:tcW w:w="639" w:type="dxa"/>
            <w:vAlign w:val="center"/>
          </w:tcPr>
          <w:p w14:paraId="66EF8A2B">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0E947CD3">
            <w:pPr>
              <w:spacing w:line="360" w:lineRule="auto"/>
              <w:jc w:val="center"/>
              <w:rPr>
                <w:rFonts w:hint="eastAsia" w:ascii="宋体" w:hAnsi="宋体" w:cs="宋体"/>
                <w:szCs w:val="21"/>
              </w:rPr>
            </w:pPr>
          </w:p>
        </w:tc>
        <w:tc>
          <w:tcPr>
            <w:tcW w:w="957" w:type="dxa"/>
            <w:vAlign w:val="center"/>
          </w:tcPr>
          <w:p w14:paraId="71855F06">
            <w:pPr>
              <w:spacing w:line="360" w:lineRule="auto"/>
              <w:jc w:val="center"/>
              <w:rPr>
                <w:rFonts w:hint="eastAsia" w:ascii="宋体" w:hAnsi="宋体" w:cs="宋体"/>
                <w:szCs w:val="21"/>
              </w:rPr>
            </w:pPr>
          </w:p>
        </w:tc>
      </w:tr>
      <w:tr w14:paraId="1E85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78F5C89E">
            <w:pPr>
              <w:spacing w:line="360" w:lineRule="auto"/>
              <w:jc w:val="center"/>
              <w:rPr>
                <w:rFonts w:hint="eastAsia" w:ascii="宋体" w:hAnsi="宋体" w:cs="宋体"/>
                <w:szCs w:val="21"/>
              </w:rPr>
            </w:pPr>
            <w:r>
              <w:rPr>
                <w:rFonts w:hint="eastAsia" w:ascii="宋体" w:hAnsi="宋体" w:cs="宋体"/>
                <w:szCs w:val="21"/>
              </w:rPr>
              <w:t>4</w:t>
            </w:r>
          </w:p>
        </w:tc>
        <w:tc>
          <w:tcPr>
            <w:tcW w:w="701" w:type="dxa"/>
            <w:vMerge w:val="restart"/>
            <w:vAlign w:val="center"/>
          </w:tcPr>
          <w:p w14:paraId="081E5C6C">
            <w:pPr>
              <w:spacing w:line="360" w:lineRule="auto"/>
              <w:jc w:val="center"/>
              <w:rPr>
                <w:rFonts w:hint="eastAsia" w:ascii="宋体" w:hAnsi="宋体" w:cs="宋体"/>
                <w:szCs w:val="21"/>
              </w:rPr>
            </w:pPr>
            <w:r>
              <w:rPr>
                <w:rFonts w:hint="eastAsia" w:ascii="宋体" w:hAnsi="宋体" w:cs="宋体"/>
                <w:szCs w:val="21"/>
              </w:rPr>
              <w:t>产品质量</w:t>
            </w:r>
          </w:p>
        </w:tc>
        <w:tc>
          <w:tcPr>
            <w:tcW w:w="757" w:type="dxa"/>
          </w:tcPr>
          <w:p w14:paraId="0FCC5B00">
            <w:pPr>
              <w:spacing w:line="360" w:lineRule="auto"/>
              <w:jc w:val="center"/>
              <w:rPr>
                <w:rFonts w:hint="eastAsia" w:ascii="宋体" w:hAnsi="宋体" w:cs="宋体"/>
                <w:szCs w:val="21"/>
              </w:rPr>
            </w:pPr>
            <w:r>
              <w:rPr>
                <w:rFonts w:hint="eastAsia" w:ascii="宋体" w:hAnsi="宋体" w:cs="宋体"/>
                <w:szCs w:val="21"/>
              </w:rPr>
              <w:t>现场检测</w:t>
            </w:r>
          </w:p>
        </w:tc>
        <w:tc>
          <w:tcPr>
            <w:tcW w:w="5201" w:type="dxa"/>
            <w:vAlign w:val="center"/>
          </w:tcPr>
          <w:p w14:paraId="2DCBD895">
            <w:pPr>
              <w:spacing w:line="360" w:lineRule="auto"/>
              <w:jc w:val="left"/>
              <w:rPr>
                <w:rFonts w:hint="eastAsia" w:ascii="宋体" w:hAnsi="宋体" w:cs="宋体"/>
                <w:szCs w:val="21"/>
              </w:rPr>
            </w:pPr>
            <w:r>
              <w:rPr>
                <w:rFonts w:hint="eastAsia" w:ascii="宋体" w:hAnsi="宋体" w:cs="宋体"/>
                <w:szCs w:val="21"/>
              </w:rPr>
              <w:t>产品现场检验如出现不合格情况，每次扣3分，扣至0分为止。</w:t>
            </w:r>
          </w:p>
        </w:tc>
        <w:tc>
          <w:tcPr>
            <w:tcW w:w="639" w:type="dxa"/>
            <w:vAlign w:val="center"/>
          </w:tcPr>
          <w:p w14:paraId="00408DD8">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478E5669">
            <w:pPr>
              <w:spacing w:line="360" w:lineRule="auto"/>
              <w:jc w:val="center"/>
              <w:rPr>
                <w:rFonts w:hint="eastAsia" w:ascii="宋体" w:hAnsi="宋体" w:cs="宋体"/>
                <w:szCs w:val="21"/>
              </w:rPr>
            </w:pPr>
          </w:p>
        </w:tc>
        <w:tc>
          <w:tcPr>
            <w:tcW w:w="957" w:type="dxa"/>
            <w:vAlign w:val="center"/>
          </w:tcPr>
          <w:p w14:paraId="3A95C3CD">
            <w:pPr>
              <w:spacing w:line="360" w:lineRule="auto"/>
              <w:jc w:val="center"/>
              <w:rPr>
                <w:rFonts w:hint="eastAsia" w:ascii="宋体" w:hAnsi="宋体" w:cs="宋体"/>
                <w:szCs w:val="21"/>
              </w:rPr>
            </w:pPr>
          </w:p>
        </w:tc>
      </w:tr>
      <w:tr w14:paraId="7ED1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7EBB9884">
            <w:pPr>
              <w:spacing w:line="360" w:lineRule="auto"/>
              <w:jc w:val="center"/>
              <w:rPr>
                <w:rFonts w:hint="eastAsia" w:ascii="宋体" w:hAnsi="宋体" w:cs="宋体"/>
                <w:szCs w:val="21"/>
              </w:rPr>
            </w:pPr>
            <w:r>
              <w:rPr>
                <w:rFonts w:hint="eastAsia" w:ascii="宋体" w:hAnsi="宋体" w:cs="宋体"/>
                <w:szCs w:val="21"/>
              </w:rPr>
              <w:t>5</w:t>
            </w:r>
          </w:p>
        </w:tc>
        <w:tc>
          <w:tcPr>
            <w:tcW w:w="701" w:type="dxa"/>
            <w:vMerge w:val="continue"/>
            <w:vAlign w:val="center"/>
          </w:tcPr>
          <w:p w14:paraId="7DD6FEBA">
            <w:pPr>
              <w:widowControl/>
              <w:spacing w:line="360" w:lineRule="auto"/>
              <w:jc w:val="left"/>
              <w:rPr>
                <w:rFonts w:hint="eastAsia" w:ascii="宋体" w:hAnsi="宋体" w:cs="宋体"/>
                <w:szCs w:val="21"/>
              </w:rPr>
            </w:pPr>
          </w:p>
        </w:tc>
        <w:tc>
          <w:tcPr>
            <w:tcW w:w="757" w:type="dxa"/>
          </w:tcPr>
          <w:p w14:paraId="3BF732A9">
            <w:pPr>
              <w:spacing w:line="360" w:lineRule="auto"/>
              <w:jc w:val="center"/>
              <w:rPr>
                <w:rFonts w:hint="eastAsia" w:ascii="宋体" w:hAnsi="宋体" w:cs="宋体"/>
                <w:szCs w:val="21"/>
              </w:rPr>
            </w:pPr>
            <w:r>
              <w:rPr>
                <w:rFonts w:hint="eastAsia" w:ascii="宋体" w:hAnsi="宋体" w:cs="宋体"/>
                <w:szCs w:val="21"/>
              </w:rPr>
              <w:t>换货及时</w:t>
            </w:r>
          </w:p>
        </w:tc>
        <w:tc>
          <w:tcPr>
            <w:tcW w:w="5201" w:type="dxa"/>
            <w:vAlign w:val="center"/>
          </w:tcPr>
          <w:p w14:paraId="155F586F">
            <w:pPr>
              <w:spacing w:line="360" w:lineRule="auto"/>
              <w:jc w:val="left"/>
              <w:rPr>
                <w:rFonts w:hint="eastAsia" w:ascii="宋体" w:hAnsi="宋体" w:cs="宋体"/>
                <w:szCs w:val="21"/>
              </w:rPr>
            </w:pPr>
            <w:r>
              <w:rPr>
                <w:rFonts w:hint="eastAsia" w:ascii="宋体" w:hAnsi="宋体" w:cs="宋体"/>
                <w:szCs w:val="21"/>
              </w:rPr>
              <w:t>产品不合格换货情况，需按采购人要求在10个小时内完成换货，每超出一次扣3分，扣至0分为止。</w:t>
            </w:r>
          </w:p>
        </w:tc>
        <w:tc>
          <w:tcPr>
            <w:tcW w:w="639" w:type="dxa"/>
            <w:vAlign w:val="center"/>
          </w:tcPr>
          <w:p w14:paraId="05D06867">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2741F53C">
            <w:pPr>
              <w:spacing w:line="360" w:lineRule="auto"/>
              <w:jc w:val="center"/>
              <w:rPr>
                <w:rFonts w:hint="eastAsia" w:ascii="宋体" w:hAnsi="宋体" w:cs="宋体"/>
                <w:szCs w:val="21"/>
              </w:rPr>
            </w:pPr>
          </w:p>
        </w:tc>
        <w:tc>
          <w:tcPr>
            <w:tcW w:w="957" w:type="dxa"/>
            <w:vAlign w:val="center"/>
          </w:tcPr>
          <w:p w14:paraId="2869D305">
            <w:pPr>
              <w:spacing w:line="360" w:lineRule="auto"/>
              <w:jc w:val="center"/>
              <w:rPr>
                <w:rFonts w:hint="eastAsia" w:ascii="宋体" w:hAnsi="宋体" w:cs="宋体"/>
                <w:szCs w:val="21"/>
              </w:rPr>
            </w:pPr>
          </w:p>
        </w:tc>
      </w:tr>
      <w:tr w14:paraId="4EBF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7DBF60E">
            <w:pPr>
              <w:spacing w:line="360" w:lineRule="auto"/>
              <w:jc w:val="center"/>
              <w:rPr>
                <w:rFonts w:hint="eastAsia" w:ascii="宋体" w:hAnsi="宋体" w:cs="宋体"/>
                <w:szCs w:val="21"/>
              </w:rPr>
            </w:pPr>
            <w:r>
              <w:rPr>
                <w:rFonts w:hint="eastAsia" w:ascii="宋体" w:hAnsi="宋体" w:cs="宋体"/>
                <w:szCs w:val="21"/>
              </w:rPr>
              <w:t>6</w:t>
            </w:r>
          </w:p>
        </w:tc>
        <w:tc>
          <w:tcPr>
            <w:tcW w:w="701" w:type="dxa"/>
            <w:vMerge w:val="continue"/>
            <w:vAlign w:val="center"/>
          </w:tcPr>
          <w:p w14:paraId="0C7B4FBB">
            <w:pPr>
              <w:widowControl/>
              <w:spacing w:line="360" w:lineRule="auto"/>
              <w:jc w:val="left"/>
              <w:rPr>
                <w:rFonts w:hint="eastAsia" w:ascii="宋体" w:hAnsi="宋体" w:cs="宋体"/>
                <w:szCs w:val="21"/>
              </w:rPr>
            </w:pPr>
          </w:p>
        </w:tc>
        <w:tc>
          <w:tcPr>
            <w:tcW w:w="757" w:type="dxa"/>
          </w:tcPr>
          <w:p w14:paraId="71AE67D6">
            <w:pPr>
              <w:spacing w:line="360" w:lineRule="auto"/>
              <w:jc w:val="center"/>
              <w:rPr>
                <w:rFonts w:hint="eastAsia" w:ascii="宋体" w:hAnsi="宋体" w:cs="宋体"/>
                <w:szCs w:val="21"/>
              </w:rPr>
            </w:pPr>
            <w:r>
              <w:rPr>
                <w:rFonts w:hint="eastAsia" w:ascii="宋体" w:hAnsi="宋体" w:cs="宋体"/>
                <w:szCs w:val="21"/>
              </w:rPr>
              <w:t>质量异议</w:t>
            </w:r>
          </w:p>
        </w:tc>
        <w:tc>
          <w:tcPr>
            <w:tcW w:w="5201" w:type="dxa"/>
            <w:vAlign w:val="center"/>
          </w:tcPr>
          <w:p w14:paraId="4AD271B4">
            <w:pPr>
              <w:spacing w:line="360" w:lineRule="auto"/>
              <w:jc w:val="left"/>
              <w:rPr>
                <w:rFonts w:hint="eastAsia" w:ascii="宋体" w:hAnsi="宋体" w:cs="宋体"/>
                <w:szCs w:val="21"/>
              </w:rPr>
            </w:pPr>
            <w:r>
              <w:rPr>
                <w:rFonts w:hint="eastAsia" w:ascii="宋体" w:hAnsi="宋体" w:cs="宋体"/>
                <w:szCs w:val="21"/>
              </w:rPr>
              <w:t>如出现质量异议问题，送第三方检测后发生一次不合格扣10分，发生二次及以上不合格扣20分，扣至0分为止。</w:t>
            </w:r>
          </w:p>
        </w:tc>
        <w:tc>
          <w:tcPr>
            <w:tcW w:w="639" w:type="dxa"/>
            <w:vAlign w:val="center"/>
          </w:tcPr>
          <w:p w14:paraId="0660F510">
            <w:pPr>
              <w:spacing w:line="360" w:lineRule="auto"/>
              <w:jc w:val="center"/>
              <w:rPr>
                <w:rFonts w:hint="eastAsia" w:ascii="宋体" w:hAnsi="宋体" w:cs="宋体"/>
                <w:szCs w:val="21"/>
              </w:rPr>
            </w:pPr>
            <w:r>
              <w:rPr>
                <w:rFonts w:hint="eastAsia" w:ascii="宋体" w:hAnsi="宋体" w:cs="宋体"/>
                <w:szCs w:val="21"/>
              </w:rPr>
              <w:t>20</w:t>
            </w:r>
          </w:p>
        </w:tc>
        <w:tc>
          <w:tcPr>
            <w:tcW w:w="665" w:type="dxa"/>
            <w:vAlign w:val="center"/>
          </w:tcPr>
          <w:p w14:paraId="50A62527">
            <w:pPr>
              <w:spacing w:line="360" w:lineRule="auto"/>
              <w:jc w:val="center"/>
              <w:rPr>
                <w:rFonts w:hint="eastAsia" w:ascii="宋体" w:hAnsi="宋体" w:cs="宋体"/>
                <w:szCs w:val="21"/>
              </w:rPr>
            </w:pPr>
          </w:p>
        </w:tc>
        <w:tc>
          <w:tcPr>
            <w:tcW w:w="957" w:type="dxa"/>
            <w:vAlign w:val="center"/>
          </w:tcPr>
          <w:p w14:paraId="10EC27CE">
            <w:pPr>
              <w:spacing w:line="360" w:lineRule="auto"/>
              <w:jc w:val="center"/>
              <w:rPr>
                <w:rFonts w:hint="eastAsia" w:ascii="宋体" w:hAnsi="宋体" w:cs="宋体"/>
                <w:szCs w:val="21"/>
              </w:rPr>
            </w:pPr>
          </w:p>
        </w:tc>
      </w:tr>
      <w:tr w14:paraId="585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2F2CFC73">
            <w:pPr>
              <w:spacing w:line="360" w:lineRule="auto"/>
              <w:jc w:val="center"/>
              <w:rPr>
                <w:rFonts w:hint="eastAsia" w:ascii="宋体" w:hAnsi="宋体" w:cs="宋体"/>
                <w:szCs w:val="21"/>
              </w:rPr>
            </w:pPr>
            <w:r>
              <w:rPr>
                <w:rFonts w:hint="eastAsia" w:ascii="宋体" w:hAnsi="宋体" w:cs="宋体"/>
                <w:szCs w:val="21"/>
              </w:rPr>
              <w:t>7</w:t>
            </w:r>
          </w:p>
        </w:tc>
        <w:tc>
          <w:tcPr>
            <w:tcW w:w="701" w:type="dxa"/>
            <w:vMerge w:val="restart"/>
            <w:vAlign w:val="center"/>
          </w:tcPr>
          <w:p w14:paraId="6BDD879D">
            <w:pPr>
              <w:spacing w:line="360" w:lineRule="auto"/>
              <w:jc w:val="center"/>
              <w:rPr>
                <w:rFonts w:hint="eastAsia" w:ascii="宋体" w:hAnsi="宋体" w:cs="宋体"/>
                <w:szCs w:val="21"/>
              </w:rPr>
            </w:pPr>
            <w:r>
              <w:rPr>
                <w:rFonts w:hint="eastAsia" w:ascii="宋体" w:hAnsi="宋体" w:cs="宋体"/>
                <w:szCs w:val="21"/>
              </w:rPr>
              <w:t>技术服务</w:t>
            </w:r>
          </w:p>
        </w:tc>
        <w:tc>
          <w:tcPr>
            <w:tcW w:w="757" w:type="dxa"/>
            <w:vAlign w:val="center"/>
          </w:tcPr>
          <w:p w14:paraId="2CA888F3">
            <w:pPr>
              <w:spacing w:line="360" w:lineRule="auto"/>
              <w:jc w:val="center"/>
              <w:rPr>
                <w:rFonts w:hint="eastAsia" w:ascii="宋体" w:hAnsi="宋体" w:cs="宋体"/>
                <w:szCs w:val="21"/>
              </w:rPr>
            </w:pPr>
            <w:r>
              <w:rPr>
                <w:rFonts w:hint="eastAsia" w:ascii="宋体" w:hAnsi="宋体" w:cs="宋体"/>
                <w:szCs w:val="21"/>
              </w:rPr>
              <w:t>技术咨询</w:t>
            </w:r>
          </w:p>
        </w:tc>
        <w:tc>
          <w:tcPr>
            <w:tcW w:w="5201" w:type="dxa"/>
            <w:vAlign w:val="center"/>
          </w:tcPr>
          <w:p w14:paraId="589A8FF1">
            <w:pPr>
              <w:spacing w:line="360" w:lineRule="auto"/>
              <w:jc w:val="left"/>
              <w:rPr>
                <w:rFonts w:hint="eastAsia" w:ascii="宋体" w:hAnsi="宋体" w:cs="宋体"/>
                <w:szCs w:val="21"/>
              </w:rPr>
            </w:pPr>
            <w:r>
              <w:rPr>
                <w:rFonts w:hint="eastAsia" w:ascii="宋体" w:hAnsi="宋体" w:cs="宋体"/>
                <w:szCs w:val="21"/>
              </w:rPr>
              <w:t>技术咨询及时反馈，未及时反馈（通常指一天内）一次扣2分，扣至0分为止。</w:t>
            </w:r>
          </w:p>
        </w:tc>
        <w:tc>
          <w:tcPr>
            <w:tcW w:w="639" w:type="dxa"/>
            <w:vAlign w:val="center"/>
          </w:tcPr>
          <w:p w14:paraId="3C90FD33">
            <w:pPr>
              <w:spacing w:line="360" w:lineRule="auto"/>
              <w:jc w:val="center"/>
              <w:rPr>
                <w:rFonts w:hint="eastAsia" w:ascii="宋体" w:hAnsi="宋体" w:cs="宋体"/>
                <w:szCs w:val="21"/>
              </w:rPr>
            </w:pPr>
            <w:r>
              <w:rPr>
                <w:rFonts w:hint="eastAsia" w:ascii="宋体" w:hAnsi="宋体" w:cs="宋体"/>
                <w:szCs w:val="21"/>
              </w:rPr>
              <w:t>5</w:t>
            </w:r>
          </w:p>
        </w:tc>
        <w:tc>
          <w:tcPr>
            <w:tcW w:w="665" w:type="dxa"/>
            <w:vAlign w:val="center"/>
          </w:tcPr>
          <w:p w14:paraId="214E4F8B">
            <w:pPr>
              <w:spacing w:line="360" w:lineRule="auto"/>
              <w:jc w:val="center"/>
              <w:rPr>
                <w:rFonts w:hint="eastAsia" w:ascii="宋体" w:hAnsi="宋体" w:cs="宋体"/>
                <w:szCs w:val="21"/>
              </w:rPr>
            </w:pPr>
          </w:p>
        </w:tc>
        <w:tc>
          <w:tcPr>
            <w:tcW w:w="957" w:type="dxa"/>
            <w:vAlign w:val="center"/>
          </w:tcPr>
          <w:p w14:paraId="544E3BF2">
            <w:pPr>
              <w:spacing w:line="360" w:lineRule="auto"/>
              <w:jc w:val="center"/>
              <w:rPr>
                <w:rFonts w:hint="eastAsia" w:ascii="宋体" w:hAnsi="宋体" w:cs="宋体"/>
                <w:szCs w:val="21"/>
              </w:rPr>
            </w:pPr>
          </w:p>
        </w:tc>
      </w:tr>
      <w:tr w14:paraId="553D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F250FF5">
            <w:pPr>
              <w:spacing w:line="360" w:lineRule="auto"/>
              <w:jc w:val="center"/>
              <w:rPr>
                <w:rFonts w:hint="eastAsia" w:ascii="宋体" w:hAnsi="宋体" w:cs="宋体"/>
                <w:szCs w:val="21"/>
              </w:rPr>
            </w:pPr>
            <w:r>
              <w:rPr>
                <w:rFonts w:hint="eastAsia" w:ascii="宋体" w:hAnsi="宋体" w:cs="宋体"/>
                <w:szCs w:val="21"/>
              </w:rPr>
              <w:t>8</w:t>
            </w:r>
          </w:p>
        </w:tc>
        <w:tc>
          <w:tcPr>
            <w:tcW w:w="701" w:type="dxa"/>
            <w:vMerge w:val="continue"/>
            <w:vAlign w:val="center"/>
          </w:tcPr>
          <w:p w14:paraId="0BE1FD1A">
            <w:pPr>
              <w:widowControl/>
              <w:spacing w:line="360" w:lineRule="auto"/>
              <w:jc w:val="left"/>
              <w:rPr>
                <w:rFonts w:hint="eastAsia" w:ascii="宋体" w:hAnsi="宋体" w:cs="宋体"/>
                <w:szCs w:val="21"/>
              </w:rPr>
            </w:pPr>
          </w:p>
        </w:tc>
        <w:tc>
          <w:tcPr>
            <w:tcW w:w="757" w:type="dxa"/>
            <w:vAlign w:val="center"/>
          </w:tcPr>
          <w:p w14:paraId="77B792C7">
            <w:pPr>
              <w:spacing w:line="360" w:lineRule="auto"/>
              <w:jc w:val="center"/>
              <w:rPr>
                <w:rFonts w:hint="eastAsia" w:ascii="宋体" w:hAnsi="宋体" w:cs="宋体"/>
                <w:szCs w:val="21"/>
              </w:rPr>
            </w:pPr>
            <w:r>
              <w:rPr>
                <w:rFonts w:hint="eastAsia" w:ascii="宋体" w:hAnsi="宋体" w:cs="宋体"/>
                <w:szCs w:val="21"/>
              </w:rPr>
              <w:t>现场服务</w:t>
            </w:r>
          </w:p>
        </w:tc>
        <w:tc>
          <w:tcPr>
            <w:tcW w:w="5201" w:type="dxa"/>
            <w:vAlign w:val="center"/>
          </w:tcPr>
          <w:p w14:paraId="5886CF4F">
            <w:pPr>
              <w:spacing w:line="360" w:lineRule="auto"/>
              <w:jc w:val="left"/>
              <w:rPr>
                <w:rFonts w:hint="eastAsia" w:ascii="宋体" w:hAnsi="宋体" w:cs="宋体"/>
                <w:szCs w:val="21"/>
              </w:rPr>
            </w:pPr>
            <w:r>
              <w:rPr>
                <w:rFonts w:hint="eastAsia" w:ascii="宋体" w:hAnsi="宋体" w:cs="宋体"/>
                <w:szCs w:val="21"/>
              </w:rPr>
              <w:t>如甲方需要提供现场服务，未按需求及时到达现场（通常指2天内）一次扣3分，扣至0分为止。</w:t>
            </w:r>
          </w:p>
        </w:tc>
        <w:tc>
          <w:tcPr>
            <w:tcW w:w="639" w:type="dxa"/>
            <w:vAlign w:val="center"/>
          </w:tcPr>
          <w:p w14:paraId="46CBDCA5">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15DC82B5">
            <w:pPr>
              <w:spacing w:line="360" w:lineRule="auto"/>
              <w:jc w:val="center"/>
              <w:rPr>
                <w:rFonts w:hint="eastAsia" w:ascii="宋体" w:hAnsi="宋体" w:cs="宋体"/>
                <w:szCs w:val="21"/>
              </w:rPr>
            </w:pPr>
          </w:p>
        </w:tc>
        <w:tc>
          <w:tcPr>
            <w:tcW w:w="957" w:type="dxa"/>
            <w:vAlign w:val="center"/>
          </w:tcPr>
          <w:p w14:paraId="478F0849">
            <w:pPr>
              <w:spacing w:line="360" w:lineRule="auto"/>
              <w:jc w:val="center"/>
              <w:rPr>
                <w:rFonts w:hint="eastAsia" w:ascii="宋体" w:hAnsi="宋体" w:cs="宋体"/>
                <w:szCs w:val="21"/>
              </w:rPr>
            </w:pPr>
          </w:p>
        </w:tc>
      </w:tr>
      <w:tr w14:paraId="5F37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9C8326A">
            <w:pPr>
              <w:spacing w:line="360" w:lineRule="auto"/>
              <w:jc w:val="center"/>
              <w:rPr>
                <w:rFonts w:hint="eastAsia" w:ascii="宋体" w:hAnsi="宋体" w:cs="宋体"/>
                <w:szCs w:val="21"/>
              </w:rPr>
            </w:pPr>
            <w:r>
              <w:rPr>
                <w:rFonts w:hint="eastAsia" w:ascii="宋体" w:hAnsi="宋体" w:cs="宋体"/>
                <w:szCs w:val="21"/>
              </w:rPr>
              <w:t>9</w:t>
            </w:r>
          </w:p>
        </w:tc>
        <w:tc>
          <w:tcPr>
            <w:tcW w:w="701" w:type="dxa"/>
            <w:vMerge w:val="restart"/>
            <w:vAlign w:val="center"/>
          </w:tcPr>
          <w:p w14:paraId="5042E85F">
            <w:pPr>
              <w:spacing w:line="360" w:lineRule="auto"/>
              <w:jc w:val="center"/>
              <w:rPr>
                <w:rFonts w:hint="eastAsia" w:ascii="宋体" w:hAnsi="宋体" w:cs="宋体"/>
                <w:szCs w:val="21"/>
              </w:rPr>
            </w:pPr>
            <w:r>
              <w:rPr>
                <w:rFonts w:hint="eastAsia" w:ascii="宋体" w:hAnsi="宋体" w:cs="宋体"/>
                <w:szCs w:val="21"/>
              </w:rPr>
              <w:t>服务质量水平</w:t>
            </w:r>
          </w:p>
        </w:tc>
        <w:tc>
          <w:tcPr>
            <w:tcW w:w="757" w:type="dxa"/>
            <w:vAlign w:val="center"/>
          </w:tcPr>
          <w:p w14:paraId="31D95283">
            <w:pPr>
              <w:spacing w:line="360" w:lineRule="auto"/>
              <w:jc w:val="center"/>
              <w:rPr>
                <w:rFonts w:hint="eastAsia" w:ascii="宋体" w:hAnsi="宋体" w:cs="宋体"/>
                <w:szCs w:val="21"/>
              </w:rPr>
            </w:pPr>
            <w:r>
              <w:rPr>
                <w:rFonts w:hint="eastAsia" w:ascii="宋体" w:hAnsi="宋体" w:cs="宋体"/>
                <w:szCs w:val="21"/>
              </w:rPr>
              <w:t>服务整改</w:t>
            </w:r>
          </w:p>
        </w:tc>
        <w:tc>
          <w:tcPr>
            <w:tcW w:w="5201" w:type="dxa"/>
            <w:vAlign w:val="center"/>
          </w:tcPr>
          <w:p w14:paraId="793F48CC">
            <w:pPr>
              <w:spacing w:line="360" w:lineRule="auto"/>
              <w:jc w:val="left"/>
              <w:rPr>
                <w:rFonts w:hint="eastAsia" w:ascii="宋体" w:hAnsi="宋体" w:cs="宋体"/>
                <w:szCs w:val="21"/>
              </w:rPr>
            </w:pPr>
            <w:r>
              <w:rPr>
                <w:rFonts w:hint="eastAsia" w:ascii="宋体" w:hAnsi="宋体" w:cs="宋体"/>
                <w:szCs w:val="21"/>
              </w:rPr>
              <w:t>每次因收到各种途径的投诉下发的整改单扣5分，如整改后效果明显改善可免除扣分，该项扣至0分为止。</w:t>
            </w:r>
          </w:p>
        </w:tc>
        <w:tc>
          <w:tcPr>
            <w:tcW w:w="639" w:type="dxa"/>
            <w:vAlign w:val="center"/>
          </w:tcPr>
          <w:p w14:paraId="0BD8B8D1">
            <w:pPr>
              <w:spacing w:line="360" w:lineRule="auto"/>
              <w:jc w:val="center"/>
              <w:rPr>
                <w:rFonts w:hint="eastAsia" w:ascii="宋体" w:hAnsi="宋体" w:cs="宋体"/>
                <w:szCs w:val="21"/>
              </w:rPr>
            </w:pPr>
            <w:r>
              <w:rPr>
                <w:rFonts w:hint="eastAsia" w:ascii="宋体" w:hAnsi="宋体" w:cs="宋体"/>
                <w:szCs w:val="21"/>
              </w:rPr>
              <w:t>15</w:t>
            </w:r>
          </w:p>
        </w:tc>
        <w:tc>
          <w:tcPr>
            <w:tcW w:w="665" w:type="dxa"/>
            <w:vAlign w:val="center"/>
          </w:tcPr>
          <w:p w14:paraId="1436E366">
            <w:pPr>
              <w:spacing w:line="360" w:lineRule="auto"/>
              <w:jc w:val="center"/>
              <w:rPr>
                <w:rFonts w:hint="eastAsia" w:ascii="宋体" w:hAnsi="宋体" w:cs="宋体"/>
                <w:szCs w:val="21"/>
              </w:rPr>
            </w:pPr>
          </w:p>
        </w:tc>
        <w:tc>
          <w:tcPr>
            <w:tcW w:w="957" w:type="dxa"/>
            <w:vAlign w:val="center"/>
          </w:tcPr>
          <w:p w14:paraId="18BE7FBF">
            <w:pPr>
              <w:spacing w:line="360" w:lineRule="auto"/>
              <w:jc w:val="center"/>
              <w:rPr>
                <w:rFonts w:hint="eastAsia" w:ascii="宋体" w:hAnsi="宋体" w:cs="宋体"/>
                <w:szCs w:val="21"/>
              </w:rPr>
            </w:pPr>
          </w:p>
        </w:tc>
      </w:tr>
      <w:tr w14:paraId="59E6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6FF616D5">
            <w:pPr>
              <w:spacing w:line="360" w:lineRule="auto"/>
              <w:jc w:val="center"/>
              <w:rPr>
                <w:rFonts w:hint="eastAsia" w:ascii="宋体" w:hAnsi="宋体" w:cs="宋体"/>
                <w:szCs w:val="21"/>
              </w:rPr>
            </w:pPr>
            <w:r>
              <w:rPr>
                <w:rFonts w:hint="eastAsia" w:ascii="宋体" w:hAnsi="宋体" w:cs="宋体"/>
                <w:szCs w:val="21"/>
              </w:rPr>
              <w:t>10</w:t>
            </w:r>
          </w:p>
        </w:tc>
        <w:tc>
          <w:tcPr>
            <w:tcW w:w="701" w:type="dxa"/>
            <w:vMerge w:val="continue"/>
            <w:vAlign w:val="center"/>
          </w:tcPr>
          <w:p w14:paraId="4ED6CE4F">
            <w:pPr>
              <w:widowControl/>
              <w:spacing w:line="360" w:lineRule="auto"/>
              <w:jc w:val="left"/>
              <w:rPr>
                <w:rFonts w:hint="eastAsia" w:ascii="宋体" w:hAnsi="宋体" w:cs="宋体"/>
                <w:szCs w:val="21"/>
              </w:rPr>
            </w:pPr>
          </w:p>
        </w:tc>
        <w:tc>
          <w:tcPr>
            <w:tcW w:w="757" w:type="dxa"/>
            <w:vAlign w:val="center"/>
          </w:tcPr>
          <w:p w14:paraId="21B579F4">
            <w:pPr>
              <w:spacing w:line="360" w:lineRule="auto"/>
              <w:jc w:val="center"/>
              <w:rPr>
                <w:rFonts w:hint="eastAsia" w:ascii="宋体" w:hAnsi="宋体" w:cs="宋体"/>
                <w:szCs w:val="21"/>
              </w:rPr>
            </w:pPr>
            <w:r>
              <w:rPr>
                <w:rFonts w:hint="eastAsia" w:ascii="宋体" w:hAnsi="宋体" w:cs="宋体"/>
                <w:szCs w:val="21"/>
              </w:rPr>
              <w:t>整改逾期</w:t>
            </w:r>
          </w:p>
        </w:tc>
        <w:tc>
          <w:tcPr>
            <w:tcW w:w="5201" w:type="dxa"/>
            <w:vAlign w:val="center"/>
          </w:tcPr>
          <w:p w14:paraId="4A144388">
            <w:pPr>
              <w:spacing w:line="360" w:lineRule="auto"/>
              <w:jc w:val="left"/>
              <w:rPr>
                <w:rFonts w:hint="eastAsia" w:ascii="宋体" w:hAnsi="宋体" w:cs="宋体"/>
                <w:szCs w:val="21"/>
              </w:rPr>
            </w:pPr>
            <w:r>
              <w:rPr>
                <w:rFonts w:hint="eastAsia" w:ascii="宋体" w:hAnsi="宋体" w:cs="宋体"/>
                <w:szCs w:val="21"/>
              </w:rPr>
              <w:t>每次服务整改逾期扣5分，如在整改规定日期前完成可免除扣分，该项扣至0分为止。</w:t>
            </w:r>
          </w:p>
        </w:tc>
        <w:tc>
          <w:tcPr>
            <w:tcW w:w="639" w:type="dxa"/>
            <w:vAlign w:val="center"/>
          </w:tcPr>
          <w:p w14:paraId="066F9399">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017E0A3C">
            <w:pPr>
              <w:spacing w:line="360" w:lineRule="auto"/>
              <w:jc w:val="center"/>
              <w:rPr>
                <w:rFonts w:hint="eastAsia" w:ascii="宋体" w:hAnsi="宋体" w:cs="宋体"/>
                <w:szCs w:val="21"/>
              </w:rPr>
            </w:pPr>
          </w:p>
        </w:tc>
        <w:tc>
          <w:tcPr>
            <w:tcW w:w="957" w:type="dxa"/>
            <w:vAlign w:val="center"/>
          </w:tcPr>
          <w:p w14:paraId="5B5B555F">
            <w:pPr>
              <w:spacing w:line="360" w:lineRule="auto"/>
              <w:jc w:val="center"/>
              <w:rPr>
                <w:rFonts w:hint="eastAsia" w:ascii="宋体" w:hAnsi="宋体" w:cs="宋体"/>
                <w:szCs w:val="21"/>
              </w:rPr>
            </w:pPr>
          </w:p>
        </w:tc>
      </w:tr>
      <w:tr w14:paraId="6A12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0BF13D3E">
            <w:pPr>
              <w:spacing w:line="360" w:lineRule="auto"/>
              <w:jc w:val="center"/>
              <w:rPr>
                <w:rFonts w:hint="eastAsia" w:ascii="宋体" w:hAnsi="宋体" w:cs="宋体"/>
                <w:szCs w:val="21"/>
              </w:rPr>
            </w:pPr>
          </w:p>
        </w:tc>
        <w:tc>
          <w:tcPr>
            <w:tcW w:w="701" w:type="dxa"/>
            <w:vMerge w:val="restart"/>
            <w:vAlign w:val="center"/>
          </w:tcPr>
          <w:p w14:paraId="40C71DDC">
            <w:pPr>
              <w:widowControl/>
              <w:spacing w:line="360" w:lineRule="auto"/>
              <w:jc w:val="left"/>
              <w:rPr>
                <w:rFonts w:hint="eastAsia" w:ascii="宋体" w:hAnsi="宋体" w:cs="宋体"/>
                <w:szCs w:val="21"/>
              </w:rPr>
            </w:pPr>
            <w:r>
              <w:rPr>
                <w:rFonts w:hint="eastAsia" w:ascii="宋体" w:hAnsi="宋体" w:cs="宋体"/>
                <w:szCs w:val="21"/>
              </w:rPr>
              <w:t>加分项</w:t>
            </w:r>
          </w:p>
        </w:tc>
        <w:tc>
          <w:tcPr>
            <w:tcW w:w="757" w:type="dxa"/>
            <w:vAlign w:val="center"/>
          </w:tcPr>
          <w:p w14:paraId="31D14C73">
            <w:pPr>
              <w:spacing w:line="360" w:lineRule="auto"/>
              <w:jc w:val="center"/>
              <w:rPr>
                <w:rFonts w:hint="eastAsia" w:ascii="宋体" w:hAnsi="宋体" w:cs="宋体"/>
                <w:szCs w:val="21"/>
              </w:rPr>
            </w:pPr>
            <w:r>
              <w:rPr>
                <w:rFonts w:hint="eastAsia" w:ascii="宋体" w:hAnsi="宋体" w:cs="宋体"/>
                <w:szCs w:val="21"/>
              </w:rPr>
              <w:t>紧急供货</w:t>
            </w:r>
          </w:p>
        </w:tc>
        <w:tc>
          <w:tcPr>
            <w:tcW w:w="5201" w:type="dxa"/>
            <w:vAlign w:val="center"/>
          </w:tcPr>
          <w:p w14:paraId="456EB537">
            <w:pPr>
              <w:spacing w:line="360" w:lineRule="auto"/>
              <w:jc w:val="left"/>
              <w:rPr>
                <w:rFonts w:hint="eastAsia" w:ascii="宋体" w:hAnsi="宋体" w:cs="宋体"/>
                <w:szCs w:val="21"/>
              </w:rPr>
            </w:pPr>
            <w:r>
              <w:rPr>
                <w:rFonts w:hint="eastAsia" w:ascii="宋体" w:hAnsi="宋体" w:cs="宋体"/>
                <w:szCs w:val="21"/>
              </w:rPr>
              <w:t>节假日或紧急采购等特殊时期，乙方保证甲方货源充足和供货及时稳定等，可酌情适当加分，如无则为0分</w:t>
            </w:r>
          </w:p>
        </w:tc>
        <w:tc>
          <w:tcPr>
            <w:tcW w:w="639" w:type="dxa"/>
            <w:vAlign w:val="center"/>
          </w:tcPr>
          <w:p w14:paraId="432AC5DD">
            <w:pPr>
              <w:spacing w:line="360" w:lineRule="auto"/>
              <w:jc w:val="center"/>
              <w:rPr>
                <w:rFonts w:hint="eastAsia" w:ascii="宋体" w:hAnsi="宋体" w:cs="宋体"/>
                <w:szCs w:val="21"/>
              </w:rPr>
            </w:pPr>
            <w:r>
              <w:rPr>
                <w:rFonts w:hint="eastAsia" w:ascii="宋体" w:hAnsi="宋体" w:cs="宋体"/>
                <w:szCs w:val="21"/>
              </w:rPr>
              <w:t>4</w:t>
            </w:r>
          </w:p>
        </w:tc>
        <w:tc>
          <w:tcPr>
            <w:tcW w:w="665" w:type="dxa"/>
            <w:vAlign w:val="center"/>
          </w:tcPr>
          <w:p w14:paraId="5AF582AE">
            <w:pPr>
              <w:spacing w:line="360" w:lineRule="auto"/>
              <w:jc w:val="center"/>
              <w:rPr>
                <w:rFonts w:hint="eastAsia" w:ascii="宋体" w:hAnsi="宋体" w:cs="宋体"/>
                <w:szCs w:val="21"/>
              </w:rPr>
            </w:pPr>
          </w:p>
        </w:tc>
        <w:tc>
          <w:tcPr>
            <w:tcW w:w="957" w:type="dxa"/>
            <w:vAlign w:val="center"/>
          </w:tcPr>
          <w:p w14:paraId="17A32D6C">
            <w:pPr>
              <w:spacing w:line="360" w:lineRule="auto"/>
              <w:jc w:val="center"/>
              <w:rPr>
                <w:rFonts w:hint="eastAsia" w:ascii="宋体" w:hAnsi="宋体" w:cs="宋体"/>
                <w:szCs w:val="21"/>
              </w:rPr>
            </w:pPr>
          </w:p>
        </w:tc>
      </w:tr>
      <w:tr w14:paraId="38CE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9D6F7C9">
            <w:pPr>
              <w:spacing w:line="360" w:lineRule="auto"/>
              <w:jc w:val="center"/>
              <w:rPr>
                <w:rFonts w:hint="eastAsia" w:ascii="宋体" w:hAnsi="宋体" w:cs="宋体"/>
                <w:szCs w:val="21"/>
              </w:rPr>
            </w:pPr>
          </w:p>
        </w:tc>
        <w:tc>
          <w:tcPr>
            <w:tcW w:w="701" w:type="dxa"/>
            <w:vMerge w:val="continue"/>
            <w:vAlign w:val="center"/>
          </w:tcPr>
          <w:p w14:paraId="26ECC817">
            <w:pPr>
              <w:widowControl/>
              <w:spacing w:line="360" w:lineRule="auto"/>
              <w:jc w:val="left"/>
              <w:rPr>
                <w:rFonts w:hint="eastAsia" w:ascii="宋体" w:hAnsi="宋体" w:cs="宋体"/>
                <w:szCs w:val="21"/>
              </w:rPr>
            </w:pPr>
          </w:p>
        </w:tc>
        <w:tc>
          <w:tcPr>
            <w:tcW w:w="757" w:type="dxa"/>
            <w:vAlign w:val="center"/>
          </w:tcPr>
          <w:p w14:paraId="64C4EDAC">
            <w:pPr>
              <w:spacing w:line="360" w:lineRule="auto"/>
              <w:jc w:val="center"/>
              <w:rPr>
                <w:rFonts w:hint="eastAsia" w:ascii="宋体" w:hAnsi="宋体" w:cs="宋体"/>
                <w:szCs w:val="21"/>
              </w:rPr>
            </w:pPr>
            <w:r>
              <w:rPr>
                <w:rFonts w:hint="eastAsia" w:ascii="宋体" w:hAnsi="宋体" w:cs="宋体"/>
                <w:szCs w:val="21"/>
              </w:rPr>
              <w:t>质量稳定</w:t>
            </w:r>
          </w:p>
        </w:tc>
        <w:tc>
          <w:tcPr>
            <w:tcW w:w="5201" w:type="dxa"/>
            <w:vAlign w:val="center"/>
          </w:tcPr>
          <w:p w14:paraId="71DEDF16">
            <w:pPr>
              <w:spacing w:line="360" w:lineRule="auto"/>
              <w:jc w:val="left"/>
              <w:rPr>
                <w:rFonts w:hint="eastAsia" w:ascii="宋体" w:hAnsi="宋体" w:cs="宋体"/>
                <w:szCs w:val="21"/>
              </w:rPr>
            </w:pPr>
            <w:r>
              <w:rPr>
                <w:rFonts w:hint="eastAsia" w:ascii="宋体" w:hAnsi="宋体" w:cs="宋体"/>
                <w:szCs w:val="21"/>
              </w:rPr>
              <w:t>乙方每次供货质量优于或满足甲方要求，连续一个月加2分，连续两个月加4分，连续三个月加6分。</w:t>
            </w:r>
          </w:p>
        </w:tc>
        <w:tc>
          <w:tcPr>
            <w:tcW w:w="639" w:type="dxa"/>
            <w:vAlign w:val="center"/>
          </w:tcPr>
          <w:p w14:paraId="0E2135A6">
            <w:pPr>
              <w:spacing w:line="360" w:lineRule="auto"/>
              <w:jc w:val="center"/>
              <w:rPr>
                <w:rFonts w:hint="eastAsia" w:ascii="宋体" w:hAnsi="宋体" w:cs="宋体"/>
                <w:szCs w:val="21"/>
              </w:rPr>
            </w:pPr>
            <w:r>
              <w:rPr>
                <w:rFonts w:hint="eastAsia" w:ascii="宋体" w:hAnsi="宋体" w:cs="宋体"/>
                <w:szCs w:val="21"/>
              </w:rPr>
              <w:t>6</w:t>
            </w:r>
          </w:p>
        </w:tc>
        <w:tc>
          <w:tcPr>
            <w:tcW w:w="665" w:type="dxa"/>
            <w:vAlign w:val="center"/>
          </w:tcPr>
          <w:p w14:paraId="2B13CF16">
            <w:pPr>
              <w:spacing w:line="360" w:lineRule="auto"/>
              <w:jc w:val="center"/>
              <w:rPr>
                <w:rFonts w:hint="eastAsia" w:ascii="宋体" w:hAnsi="宋体" w:cs="宋体"/>
                <w:szCs w:val="21"/>
              </w:rPr>
            </w:pPr>
          </w:p>
        </w:tc>
        <w:tc>
          <w:tcPr>
            <w:tcW w:w="957" w:type="dxa"/>
            <w:vAlign w:val="center"/>
          </w:tcPr>
          <w:p w14:paraId="31FC5828">
            <w:pPr>
              <w:spacing w:line="360" w:lineRule="auto"/>
              <w:jc w:val="center"/>
              <w:rPr>
                <w:rFonts w:hint="eastAsia" w:ascii="宋体" w:hAnsi="宋体" w:cs="宋体"/>
                <w:szCs w:val="21"/>
              </w:rPr>
            </w:pPr>
          </w:p>
        </w:tc>
      </w:tr>
      <w:tr w14:paraId="12D9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1" w:type="dxa"/>
            <w:gridSpan w:val="4"/>
            <w:vAlign w:val="center"/>
          </w:tcPr>
          <w:p w14:paraId="71FCD418">
            <w:pPr>
              <w:spacing w:line="360" w:lineRule="auto"/>
              <w:jc w:val="center"/>
              <w:rPr>
                <w:rFonts w:hint="eastAsia" w:ascii="宋体" w:hAnsi="宋体" w:cs="宋体"/>
                <w:szCs w:val="21"/>
              </w:rPr>
            </w:pPr>
            <w:r>
              <w:rPr>
                <w:rFonts w:hint="eastAsia" w:ascii="宋体" w:hAnsi="宋体" w:cs="宋体"/>
                <w:szCs w:val="21"/>
              </w:rPr>
              <w:t>合计</w:t>
            </w:r>
          </w:p>
        </w:tc>
        <w:tc>
          <w:tcPr>
            <w:tcW w:w="639" w:type="dxa"/>
            <w:vAlign w:val="center"/>
          </w:tcPr>
          <w:p w14:paraId="0B618DF0">
            <w:pPr>
              <w:spacing w:line="360" w:lineRule="auto"/>
              <w:jc w:val="center"/>
              <w:rPr>
                <w:rFonts w:hint="eastAsia" w:ascii="宋体" w:hAnsi="宋体" w:cs="宋体"/>
                <w:szCs w:val="21"/>
              </w:rPr>
            </w:pPr>
            <w:r>
              <w:rPr>
                <w:rFonts w:hint="eastAsia" w:ascii="宋体" w:hAnsi="宋体" w:cs="宋体"/>
                <w:szCs w:val="21"/>
              </w:rPr>
              <w:t>110</w:t>
            </w:r>
          </w:p>
        </w:tc>
        <w:tc>
          <w:tcPr>
            <w:tcW w:w="665" w:type="dxa"/>
            <w:vAlign w:val="center"/>
          </w:tcPr>
          <w:p w14:paraId="388EF559">
            <w:pPr>
              <w:spacing w:line="360" w:lineRule="auto"/>
              <w:jc w:val="center"/>
              <w:rPr>
                <w:rFonts w:hint="eastAsia" w:ascii="宋体" w:hAnsi="宋体" w:cs="宋体"/>
                <w:szCs w:val="21"/>
              </w:rPr>
            </w:pPr>
          </w:p>
        </w:tc>
        <w:tc>
          <w:tcPr>
            <w:tcW w:w="957" w:type="dxa"/>
            <w:vAlign w:val="center"/>
          </w:tcPr>
          <w:p w14:paraId="5F6723E8">
            <w:pPr>
              <w:spacing w:line="360" w:lineRule="auto"/>
              <w:jc w:val="center"/>
              <w:rPr>
                <w:rFonts w:hint="eastAsia" w:ascii="宋体" w:hAnsi="宋体" w:cs="宋体"/>
                <w:szCs w:val="21"/>
              </w:rPr>
            </w:pPr>
          </w:p>
        </w:tc>
      </w:tr>
    </w:tbl>
    <w:p w14:paraId="3A4C6DC6">
      <w:pPr>
        <w:pStyle w:val="15"/>
        <w:spacing w:before="156" w:beforeLines="50" w:line="360" w:lineRule="auto"/>
        <w:ind w:left="0" w:leftChars="0" w:firstLine="0" w:firstLineChars="0"/>
        <w:jc w:val="left"/>
        <w:rPr>
          <w:rFonts w:cs="宋体"/>
          <w:szCs w:val="21"/>
        </w:rPr>
      </w:pPr>
      <w:r>
        <w:rPr>
          <w:rFonts w:hint="eastAsia" w:cs="宋体"/>
          <w:szCs w:val="21"/>
        </w:rPr>
        <w:t xml:space="preserve">采购人：经办人签字：                              </w:t>
      </w:r>
      <w:r>
        <w:rPr>
          <w:rFonts w:hint="eastAsia" w:cs="宋体"/>
          <w:szCs w:val="21"/>
          <w:lang w:val="en-US" w:eastAsia="zh-CN"/>
        </w:rPr>
        <w:t xml:space="preserve"> </w:t>
      </w:r>
      <w:r>
        <w:rPr>
          <w:rFonts w:hint="eastAsia" w:cs="宋体"/>
          <w:szCs w:val="21"/>
        </w:rPr>
        <w:t xml:space="preserve"> 中标人： 经办人签字：</w:t>
      </w:r>
    </w:p>
    <w:p w14:paraId="211C1D92">
      <w:pPr>
        <w:pStyle w:val="15"/>
        <w:spacing w:before="156" w:beforeLines="50" w:line="360" w:lineRule="auto"/>
        <w:ind w:left="0" w:leftChars="0" w:firstLine="0" w:firstLineChars="0"/>
        <w:jc w:val="left"/>
        <w:rPr>
          <w:rFonts w:cs="宋体"/>
          <w:szCs w:val="21"/>
        </w:rPr>
      </w:pPr>
      <w:r>
        <w:rPr>
          <w:rFonts w:hint="eastAsia" w:cs="宋体"/>
          <w:szCs w:val="21"/>
        </w:rPr>
        <w:t>部门负责人签字：                                    项目负责人签字：</w:t>
      </w:r>
    </w:p>
    <w:p w14:paraId="4EA73F4F">
      <w:pPr>
        <w:pStyle w:val="15"/>
        <w:spacing w:before="156" w:beforeLines="50" w:line="360" w:lineRule="auto"/>
        <w:ind w:left="0" w:leftChars="0" w:firstLine="0" w:firstLineChars="0"/>
        <w:jc w:val="left"/>
        <w:rPr>
          <w:rFonts w:cs="宋体"/>
          <w:szCs w:val="21"/>
        </w:rPr>
      </w:pPr>
      <w:r>
        <w:rPr>
          <w:rFonts w:hint="eastAsia" w:cs="宋体"/>
          <w:szCs w:val="21"/>
        </w:rPr>
        <w:t xml:space="preserve">项目负责人签字：                                      </w:t>
      </w:r>
    </w:p>
    <w:p w14:paraId="02397536">
      <w:pPr>
        <w:spacing w:line="360" w:lineRule="auto"/>
        <w:ind w:left="0" w:leftChars="0" w:firstLine="0" w:firstLineChars="0"/>
        <w:rPr>
          <w:rFonts w:hint="eastAsia" w:ascii="宋体" w:hAnsi="宋体" w:eastAsia="宋体" w:cs="宋体"/>
          <w:b/>
          <w:bCs/>
          <w:color w:val="auto"/>
          <w:sz w:val="21"/>
          <w:szCs w:val="21"/>
          <w:highlight w:val="none"/>
        </w:rPr>
      </w:pPr>
      <w:r>
        <w:rPr>
          <w:rFonts w:hint="eastAsia" w:cs="宋体"/>
          <w:szCs w:val="21"/>
        </w:rPr>
        <w:t xml:space="preserve">日期：                                        </w:t>
      </w:r>
      <w:r>
        <w:rPr>
          <w:rFonts w:hint="eastAsia" w:cs="宋体"/>
          <w:szCs w:val="21"/>
          <w:lang w:val="en-US" w:eastAsia="zh-CN"/>
        </w:rPr>
        <w:t xml:space="preserve">                           </w:t>
      </w:r>
      <w:r>
        <w:rPr>
          <w:rFonts w:hint="eastAsia" w:cs="宋体"/>
          <w:szCs w:val="21"/>
        </w:rPr>
        <w:t xml:space="preserve">       日期：</w:t>
      </w:r>
    </w:p>
    <w:p w14:paraId="0DADC9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AD2AB0">
      <w:pPr>
        <w:pStyle w:val="4"/>
        <w:spacing w:before="0" w:after="0" w:line="360" w:lineRule="auto"/>
        <w:jc w:val="center"/>
        <w:rPr>
          <w:rFonts w:hint="eastAsia" w:ascii="宋体" w:hAnsi="宋体" w:eastAsia="宋体" w:cs="宋体"/>
          <w:color w:val="auto"/>
          <w:highlight w:val="none"/>
        </w:rPr>
      </w:pPr>
      <w:bookmarkStart w:id="23" w:name="_Toc4232"/>
      <w:bookmarkStart w:id="24" w:name="_Toc8705"/>
      <w:r>
        <w:rPr>
          <w:rFonts w:hint="eastAsia" w:ascii="宋体" w:hAnsi="宋体" w:eastAsia="宋体" w:cs="宋体"/>
          <w:color w:val="auto"/>
          <w:highlight w:val="none"/>
        </w:rPr>
        <w:t>第二章 技术需求书</w:t>
      </w:r>
      <w:bookmarkEnd w:id="22"/>
      <w:bookmarkEnd w:id="23"/>
      <w:bookmarkEnd w:id="24"/>
    </w:p>
    <w:bookmarkEnd w:id="17"/>
    <w:bookmarkEnd w:id="18"/>
    <w:bookmarkEnd w:id="19"/>
    <w:bookmarkEnd w:id="20"/>
    <w:bookmarkEnd w:id="21"/>
    <w:p w14:paraId="04EF0CF7">
      <w:pPr>
        <w:spacing w:line="360" w:lineRule="auto"/>
        <w:rPr>
          <w:rFonts w:hint="eastAsia" w:ascii="宋体" w:hAnsi="宋体" w:eastAsia="宋体" w:cs="宋体"/>
          <w:b/>
          <w:szCs w:val="21"/>
        </w:rPr>
      </w:pPr>
      <w:r>
        <w:rPr>
          <w:rFonts w:hint="eastAsia" w:ascii="宋体" w:hAnsi="宋体" w:eastAsia="宋体" w:cs="宋体"/>
          <w:b/>
          <w:szCs w:val="21"/>
        </w:rPr>
        <w:t>一、采购清单</w:t>
      </w:r>
    </w:p>
    <w:tbl>
      <w:tblPr>
        <w:tblStyle w:val="31"/>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165"/>
        <w:gridCol w:w="759"/>
        <w:gridCol w:w="1641"/>
        <w:gridCol w:w="1027"/>
        <w:gridCol w:w="3171"/>
      </w:tblGrid>
      <w:tr w14:paraId="6CCC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1D110CF">
            <w:pPr>
              <w:spacing w:line="360" w:lineRule="auto"/>
              <w:jc w:val="center"/>
              <w:rPr>
                <w:rFonts w:hint="eastAsia" w:ascii="宋体" w:hAnsi="宋体" w:cs="宋体"/>
                <w:b/>
                <w:szCs w:val="21"/>
              </w:rPr>
            </w:pPr>
            <w:r>
              <w:rPr>
                <w:rFonts w:hint="eastAsia" w:ascii="宋体" w:hAnsi="宋体" w:cs="宋体"/>
                <w:b/>
                <w:szCs w:val="21"/>
              </w:rPr>
              <w:t>辅料名称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C7EAE11">
            <w:pPr>
              <w:spacing w:line="360" w:lineRule="auto"/>
              <w:jc w:val="center"/>
              <w:rPr>
                <w:rFonts w:hint="eastAsia" w:ascii="宋体" w:hAnsi="宋体" w:cs="宋体"/>
                <w:b/>
                <w:szCs w:val="21"/>
              </w:rPr>
            </w:pPr>
            <w:r>
              <w:rPr>
                <w:rFonts w:hint="eastAsia" w:ascii="宋体" w:hAnsi="宋体" w:cs="宋体"/>
                <w:b/>
                <w:szCs w:val="21"/>
              </w:rPr>
              <w:t>计划采购供货量</w:t>
            </w:r>
          </w:p>
        </w:tc>
        <w:tc>
          <w:tcPr>
            <w:tcW w:w="0" w:type="auto"/>
            <w:tcBorders>
              <w:top w:val="single" w:color="auto" w:sz="4" w:space="0"/>
              <w:left w:val="single" w:color="auto" w:sz="4" w:space="0"/>
              <w:bottom w:val="single" w:color="auto" w:sz="4" w:space="0"/>
              <w:right w:val="single" w:color="auto" w:sz="4" w:space="0"/>
            </w:tcBorders>
            <w:noWrap/>
            <w:vAlign w:val="center"/>
          </w:tcPr>
          <w:p w14:paraId="12E885FD">
            <w:pPr>
              <w:spacing w:line="360" w:lineRule="auto"/>
              <w:jc w:val="center"/>
              <w:rPr>
                <w:rFonts w:hint="eastAsia" w:ascii="宋体" w:hAnsi="宋体" w:cs="宋体"/>
                <w:b/>
                <w:szCs w:val="21"/>
              </w:rPr>
            </w:pPr>
            <w:r>
              <w:rPr>
                <w:rFonts w:hint="eastAsia" w:ascii="宋体" w:hAnsi="宋体" w:cs="宋体"/>
                <w:b/>
                <w:szCs w:val="21"/>
              </w:rPr>
              <w:t>计量单位</w:t>
            </w:r>
          </w:p>
        </w:tc>
        <w:tc>
          <w:tcPr>
            <w:tcW w:w="0" w:type="auto"/>
            <w:tcBorders>
              <w:top w:val="single" w:color="auto" w:sz="4" w:space="0"/>
              <w:left w:val="single" w:color="auto" w:sz="4" w:space="0"/>
              <w:bottom w:val="single" w:color="auto" w:sz="4" w:space="0"/>
              <w:right w:val="single" w:color="auto" w:sz="4" w:space="0"/>
            </w:tcBorders>
            <w:noWrap/>
            <w:vAlign w:val="center"/>
          </w:tcPr>
          <w:p w14:paraId="7D68FD25">
            <w:pPr>
              <w:spacing w:line="360" w:lineRule="auto"/>
              <w:jc w:val="center"/>
              <w:rPr>
                <w:rFonts w:hint="eastAsia" w:ascii="宋体" w:hAnsi="宋体" w:cs="宋体"/>
                <w:b/>
                <w:szCs w:val="21"/>
              </w:rPr>
            </w:pPr>
            <w:r>
              <w:rPr>
                <w:rFonts w:hint="eastAsia" w:ascii="宋体" w:hAnsi="宋体" w:cs="宋体"/>
                <w:b/>
                <w:szCs w:val="21"/>
              </w:rPr>
              <w:t>单价最高限价（元/吨）</w:t>
            </w:r>
          </w:p>
        </w:tc>
        <w:tc>
          <w:tcPr>
            <w:tcW w:w="0" w:type="auto"/>
            <w:tcBorders>
              <w:top w:val="single" w:color="auto" w:sz="4" w:space="0"/>
              <w:left w:val="single" w:color="auto" w:sz="4" w:space="0"/>
              <w:bottom w:val="single" w:color="auto" w:sz="4" w:space="0"/>
              <w:right w:val="single" w:color="auto" w:sz="4" w:space="0"/>
            </w:tcBorders>
            <w:noWrap/>
            <w:vAlign w:val="center"/>
          </w:tcPr>
          <w:p w14:paraId="3FC46429">
            <w:pPr>
              <w:spacing w:line="360" w:lineRule="auto"/>
              <w:jc w:val="center"/>
              <w:rPr>
                <w:rFonts w:hint="eastAsia" w:ascii="宋体" w:hAnsi="宋体" w:cs="宋体"/>
                <w:b/>
                <w:szCs w:val="21"/>
              </w:rPr>
            </w:pPr>
            <w:r>
              <w:rPr>
                <w:rFonts w:hint="eastAsia" w:ascii="宋体" w:hAnsi="宋体" w:cs="宋体"/>
                <w:b/>
                <w:szCs w:val="21"/>
              </w:rPr>
              <w:t>用途</w:t>
            </w:r>
          </w:p>
        </w:tc>
        <w:tc>
          <w:tcPr>
            <w:tcW w:w="0" w:type="auto"/>
            <w:tcBorders>
              <w:top w:val="single" w:color="auto" w:sz="4" w:space="0"/>
              <w:left w:val="single" w:color="auto" w:sz="4" w:space="0"/>
              <w:bottom w:val="single" w:color="auto" w:sz="4" w:space="0"/>
              <w:right w:val="single" w:color="auto" w:sz="4" w:space="0"/>
            </w:tcBorders>
            <w:noWrap/>
            <w:vAlign w:val="center"/>
          </w:tcPr>
          <w:p w14:paraId="6C434C23">
            <w:pPr>
              <w:spacing w:line="360" w:lineRule="auto"/>
              <w:jc w:val="center"/>
              <w:rPr>
                <w:rFonts w:hint="eastAsia" w:ascii="宋体" w:hAnsi="宋体" w:cs="宋体"/>
                <w:b/>
                <w:szCs w:val="21"/>
              </w:rPr>
            </w:pPr>
            <w:r>
              <w:rPr>
                <w:rFonts w:hint="eastAsia" w:ascii="宋体" w:hAnsi="宋体" w:cs="宋体"/>
                <w:b/>
                <w:szCs w:val="21"/>
              </w:rPr>
              <w:t>送货要求</w:t>
            </w:r>
          </w:p>
        </w:tc>
      </w:tr>
      <w:tr w14:paraId="3EC5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D4E842">
            <w:pPr>
              <w:spacing w:line="360" w:lineRule="auto"/>
              <w:jc w:val="center"/>
              <w:rPr>
                <w:rFonts w:hint="eastAsia" w:ascii="宋体" w:hAnsi="宋体" w:cs="宋体"/>
                <w:bCs/>
                <w:szCs w:val="21"/>
              </w:rPr>
            </w:pPr>
            <w:r>
              <w:rPr>
                <w:rFonts w:hint="eastAsia" w:ascii="宋体" w:hAnsi="宋体" w:cs="宋体"/>
                <w:bCs/>
                <w:szCs w:val="21"/>
              </w:rPr>
              <w:t>液碱</w:t>
            </w:r>
          </w:p>
        </w:tc>
        <w:tc>
          <w:tcPr>
            <w:tcW w:w="0" w:type="auto"/>
            <w:tcBorders>
              <w:top w:val="single" w:color="auto" w:sz="4" w:space="0"/>
              <w:left w:val="single" w:color="auto" w:sz="4" w:space="0"/>
              <w:bottom w:val="single" w:color="auto" w:sz="4" w:space="0"/>
              <w:right w:val="single" w:color="auto" w:sz="4" w:space="0"/>
            </w:tcBorders>
            <w:noWrap/>
            <w:vAlign w:val="center"/>
          </w:tcPr>
          <w:p w14:paraId="6ADEE73E">
            <w:pPr>
              <w:spacing w:line="360" w:lineRule="auto"/>
              <w:jc w:val="center"/>
              <w:rPr>
                <w:rFonts w:hint="eastAsia" w:ascii="宋体" w:hAnsi="宋体" w:cs="宋体"/>
                <w:bCs/>
                <w:szCs w:val="21"/>
              </w:rPr>
            </w:pPr>
            <w:r>
              <w:rPr>
                <w:rFonts w:hint="eastAsia" w:ascii="宋体" w:hAnsi="宋体" w:cs="宋体"/>
                <w:bCs/>
                <w:szCs w:val="21"/>
              </w:rPr>
              <w:t>约7000</w:t>
            </w:r>
          </w:p>
        </w:tc>
        <w:tc>
          <w:tcPr>
            <w:tcW w:w="0" w:type="auto"/>
            <w:tcBorders>
              <w:top w:val="single" w:color="auto" w:sz="4" w:space="0"/>
              <w:left w:val="single" w:color="auto" w:sz="4" w:space="0"/>
              <w:bottom w:val="single" w:color="auto" w:sz="4" w:space="0"/>
              <w:right w:val="single" w:color="auto" w:sz="4" w:space="0"/>
            </w:tcBorders>
            <w:noWrap/>
            <w:vAlign w:val="center"/>
          </w:tcPr>
          <w:p w14:paraId="045A295E">
            <w:pPr>
              <w:spacing w:line="360" w:lineRule="auto"/>
              <w:jc w:val="center"/>
              <w:rPr>
                <w:rFonts w:hint="eastAsia" w:ascii="宋体" w:hAnsi="宋体" w:cs="宋体"/>
                <w:bCs/>
                <w:szCs w:val="21"/>
              </w:rPr>
            </w:pPr>
            <w:r>
              <w:rPr>
                <w:rFonts w:hint="eastAsia" w:ascii="宋体" w:hAnsi="宋体" w:cs="宋体"/>
                <w:bCs/>
                <w:szCs w:val="21"/>
              </w:rPr>
              <w:t>吨</w:t>
            </w:r>
          </w:p>
        </w:tc>
        <w:tc>
          <w:tcPr>
            <w:tcW w:w="0" w:type="auto"/>
            <w:tcBorders>
              <w:top w:val="single" w:color="auto" w:sz="4" w:space="0"/>
              <w:left w:val="single" w:color="auto" w:sz="4" w:space="0"/>
              <w:bottom w:val="single" w:color="auto" w:sz="4" w:space="0"/>
              <w:right w:val="single" w:color="auto" w:sz="4" w:space="0"/>
            </w:tcBorders>
            <w:noWrap/>
            <w:vAlign w:val="center"/>
          </w:tcPr>
          <w:p w14:paraId="11F1A7BC">
            <w:pPr>
              <w:spacing w:line="360" w:lineRule="auto"/>
              <w:jc w:val="center"/>
              <w:rPr>
                <w:rFonts w:hint="eastAsia" w:ascii="宋体" w:hAnsi="宋体" w:cs="宋体"/>
                <w:bCs/>
                <w:szCs w:val="21"/>
              </w:rPr>
            </w:pPr>
            <w:r>
              <w:rPr>
                <w:rFonts w:hint="eastAsia" w:ascii="宋体" w:hAnsi="宋体" w:cs="宋体"/>
                <w:bCs/>
                <w:szCs w:val="21"/>
              </w:rPr>
              <w:t>1062</w:t>
            </w:r>
          </w:p>
        </w:tc>
        <w:tc>
          <w:tcPr>
            <w:tcW w:w="0" w:type="auto"/>
            <w:tcBorders>
              <w:top w:val="single" w:color="auto" w:sz="4" w:space="0"/>
              <w:left w:val="single" w:color="auto" w:sz="4" w:space="0"/>
              <w:bottom w:val="single" w:color="auto" w:sz="4" w:space="0"/>
              <w:right w:val="single" w:color="auto" w:sz="4" w:space="0"/>
            </w:tcBorders>
            <w:noWrap/>
            <w:vAlign w:val="center"/>
          </w:tcPr>
          <w:p w14:paraId="7EBC8DB1">
            <w:pPr>
              <w:spacing w:line="360" w:lineRule="auto"/>
              <w:jc w:val="center"/>
              <w:rPr>
                <w:rFonts w:hint="eastAsia" w:ascii="宋体" w:hAnsi="宋体" w:cs="宋体"/>
                <w:bCs/>
                <w:szCs w:val="21"/>
              </w:rPr>
            </w:pPr>
            <w:r>
              <w:rPr>
                <w:rFonts w:hint="eastAsia" w:ascii="宋体" w:hAnsi="宋体" w:cs="宋体"/>
                <w:bCs/>
                <w:szCs w:val="21"/>
              </w:rPr>
              <w:t>烟气脱酸使用</w:t>
            </w:r>
          </w:p>
        </w:tc>
        <w:tc>
          <w:tcPr>
            <w:tcW w:w="0" w:type="auto"/>
            <w:tcBorders>
              <w:top w:val="single" w:color="auto" w:sz="4" w:space="0"/>
              <w:left w:val="single" w:color="auto" w:sz="4" w:space="0"/>
              <w:bottom w:val="single" w:color="auto" w:sz="4" w:space="0"/>
              <w:right w:val="single" w:color="auto" w:sz="4" w:space="0"/>
            </w:tcBorders>
            <w:noWrap/>
            <w:vAlign w:val="center"/>
          </w:tcPr>
          <w:p w14:paraId="2294BA8F">
            <w:pPr>
              <w:spacing w:line="360" w:lineRule="auto"/>
              <w:jc w:val="center"/>
              <w:rPr>
                <w:rFonts w:hint="eastAsia" w:ascii="宋体" w:hAnsi="宋体" w:cs="宋体"/>
                <w:bCs/>
                <w:szCs w:val="21"/>
              </w:rPr>
            </w:pPr>
            <w:r>
              <w:rPr>
                <w:rFonts w:hint="eastAsia" w:ascii="宋体" w:hAnsi="宋体" w:cs="宋体"/>
                <w:bCs/>
                <w:szCs w:val="21"/>
              </w:rPr>
              <w:t>现场储罐为60m</w:t>
            </w:r>
            <w:r>
              <w:rPr>
                <w:rFonts w:hint="eastAsia" w:ascii="宋体" w:hAnsi="宋体" w:cs="宋体"/>
                <w:bCs/>
                <w:szCs w:val="21"/>
                <w:vertAlign w:val="superscript"/>
              </w:rPr>
              <w:t>3</w:t>
            </w:r>
            <w:r>
              <w:rPr>
                <w:rFonts w:hint="eastAsia" w:ascii="宋体" w:hAnsi="宋体" w:cs="宋体"/>
                <w:bCs/>
                <w:szCs w:val="21"/>
              </w:rPr>
              <w:t>\5m</w:t>
            </w:r>
            <w:r>
              <w:rPr>
                <w:rFonts w:hint="eastAsia" w:ascii="宋体" w:hAnsi="宋体" w:cs="宋体"/>
                <w:bCs/>
                <w:szCs w:val="21"/>
                <w:vertAlign w:val="superscript"/>
              </w:rPr>
              <w:t>3</w:t>
            </w:r>
            <w:r>
              <w:rPr>
                <w:rFonts w:hint="eastAsia" w:ascii="宋体" w:hAnsi="宋体" w:cs="宋体"/>
                <w:bCs/>
                <w:szCs w:val="21"/>
              </w:rPr>
              <w:t>各一个，按现场需求分批送货</w:t>
            </w:r>
          </w:p>
        </w:tc>
      </w:tr>
    </w:tbl>
    <w:p w14:paraId="36BC9D9D">
      <w:pPr>
        <w:spacing w:line="360" w:lineRule="auto"/>
        <w:rPr>
          <w:rFonts w:hint="eastAsia" w:ascii="宋体" w:hAnsi="宋体" w:cs="宋体"/>
          <w:szCs w:val="21"/>
        </w:rPr>
      </w:pPr>
      <w:r>
        <w:rPr>
          <w:rFonts w:hint="eastAsia" w:ascii="宋体" w:hAnsi="宋体" w:cs="宋体"/>
          <w:szCs w:val="21"/>
        </w:rPr>
        <w:t>备注：</w:t>
      </w:r>
    </w:p>
    <w:p w14:paraId="7CF76334">
      <w:pPr>
        <w:spacing w:line="360" w:lineRule="auto"/>
        <w:rPr>
          <w:rFonts w:hint="eastAsia" w:ascii="宋体" w:hAnsi="宋体" w:cs="宋体"/>
          <w:szCs w:val="21"/>
        </w:rPr>
      </w:pPr>
      <w:r>
        <w:rPr>
          <w:rFonts w:hint="eastAsia" w:ascii="宋体" w:hAnsi="宋体" w:cs="宋体"/>
          <w:szCs w:val="21"/>
        </w:rPr>
        <w:t>1、年度计划采购总量只是参考数量，实际按采购期限供应。</w:t>
      </w:r>
    </w:p>
    <w:p w14:paraId="39A5B38F">
      <w:pPr>
        <w:spacing w:line="360" w:lineRule="auto"/>
        <w:rPr>
          <w:rFonts w:hint="eastAsia" w:ascii="宋体" w:hAnsi="宋体" w:cs="宋体"/>
          <w:szCs w:val="21"/>
        </w:rPr>
      </w:pPr>
      <w:r>
        <w:rPr>
          <w:rFonts w:hint="eastAsia" w:ascii="宋体" w:hAnsi="宋体" w:cs="宋体"/>
          <w:szCs w:val="21"/>
        </w:rPr>
        <w:t>2、液碱采用调价方式：</w:t>
      </w:r>
    </w:p>
    <w:p w14:paraId="24E63D8F">
      <w:pPr>
        <w:spacing w:line="360" w:lineRule="auto"/>
        <w:rPr>
          <w:rFonts w:hint="eastAsia" w:ascii="宋体" w:hAnsi="宋体" w:cs="宋体"/>
          <w:szCs w:val="21"/>
        </w:rPr>
      </w:pPr>
      <w:r>
        <w:rPr>
          <w:rFonts w:hint="eastAsia" w:ascii="宋体" w:hAnsi="宋体" w:cs="宋体"/>
          <w:szCs w:val="21"/>
        </w:rPr>
        <w:t>(1)合同有效期内，液碱市场价格涨跌幅度超过10%的（价格以卓创网（http：//www.sci99.com/）的广东32%离子膜碱月平均价格为参考依据），双方均可提出调价申请，调整后价格，在下月执行。</w:t>
      </w:r>
    </w:p>
    <w:p w14:paraId="2FD44ACD">
      <w:pPr>
        <w:spacing w:line="360" w:lineRule="auto"/>
        <w:rPr>
          <w:rFonts w:hint="eastAsia" w:ascii="宋体" w:hAnsi="宋体" w:cs="宋体"/>
          <w:szCs w:val="21"/>
        </w:rPr>
      </w:pPr>
      <w:r>
        <w:rPr>
          <w:rFonts w:hint="eastAsia" w:ascii="宋体" w:hAnsi="宋体" w:cs="宋体"/>
          <w:szCs w:val="21"/>
        </w:rPr>
        <w:t>(2)中标人需调价时，必须提前30天以书面的形式通知采购人，征得采购人同意后方可生效；当满足价格下调条件时，采购人书面通知中标人调价后生效，在下月执行。</w:t>
      </w:r>
    </w:p>
    <w:p w14:paraId="7E46689F">
      <w:pPr>
        <w:spacing w:line="360" w:lineRule="auto"/>
        <w:rPr>
          <w:rFonts w:hint="eastAsia" w:ascii="宋体" w:hAnsi="宋体" w:cs="宋体"/>
          <w:szCs w:val="21"/>
        </w:rPr>
      </w:pPr>
      <w:r>
        <w:rPr>
          <w:rFonts w:hint="eastAsia" w:ascii="宋体" w:hAnsi="宋体" w:cs="宋体"/>
          <w:szCs w:val="21"/>
        </w:rPr>
        <w:t>(3)变动价格的计算方式：基准价±广东32%离子膜碱当月平均价格×广东32%离子膜碱当月平均价格波动比例。（基准价为中标价）</w:t>
      </w:r>
    </w:p>
    <w:p w14:paraId="6E2886E8">
      <w:pPr>
        <w:spacing w:line="360" w:lineRule="auto"/>
        <w:rPr>
          <w:rFonts w:hint="eastAsia" w:ascii="宋体" w:hAnsi="宋体" w:cs="宋体"/>
          <w:szCs w:val="21"/>
        </w:rPr>
      </w:pPr>
      <w:r>
        <w:rPr>
          <w:rFonts w:hint="eastAsia" w:ascii="宋体" w:hAnsi="宋体" w:cs="宋体"/>
          <w:szCs w:val="21"/>
        </w:rPr>
        <w:t>(4)广东32%离子膜碱当月平均价格波动比例=（当月平均价-基准月平均价）/基准月平均价×100%（注：本次合同以卓创网上广东32%离</w:t>
      </w:r>
      <w:r>
        <w:rPr>
          <w:rFonts w:hint="eastAsia" w:ascii="宋体" w:hAnsi="宋体" w:cs="宋体"/>
          <w:szCs w:val="21"/>
          <w:highlight w:val="none"/>
        </w:rPr>
        <w:t>子膜碱2026年</w:t>
      </w:r>
      <w:r>
        <w:rPr>
          <w:rFonts w:hint="eastAsia" w:ascii="宋体" w:hAnsi="宋体" w:cs="宋体"/>
          <w:szCs w:val="21"/>
          <w:highlight w:val="none"/>
          <w:lang w:val="en-US" w:eastAsia="zh-CN"/>
        </w:rPr>
        <w:t>4</w:t>
      </w:r>
      <w:r>
        <w:rPr>
          <w:rFonts w:hint="eastAsia" w:ascii="宋体" w:hAnsi="宋体" w:cs="宋体"/>
          <w:szCs w:val="21"/>
          <w:highlight w:val="none"/>
        </w:rPr>
        <w:t>月平均价格</w:t>
      </w:r>
      <w:r>
        <w:rPr>
          <w:rFonts w:hint="eastAsia" w:ascii="宋体" w:hAnsi="宋体" w:cs="宋体"/>
          <w:szCs w:val="21"/>
        </w:rPr>
        <w:t>为月基准平均价，当月平均价为卓创网上广东32%离子膜碱的当月价）。</w:t>
      </w:r>
    </w:p>
    <w:p w14:paraId="73E0E158">
      <w:pPr>
        <w:spacing w:line="360" w:lineRule="auto"/>
        <w:rPr>
          <w:rFonts w:hint="eastAsia" w:ascii="宋体" w:hAnsi="宋体" w:cs="宋体"/>
          <w:b/>
          <w:szCs w:val="21"/>
        </w:rPr>
      </w:pPr>
      <w:r>
        <w:rPr>
          <w:rFonts w:hint="eastAsia" w:ascii="宋体" w:hAnsi="宋体" w:cs="宋体"/>
          <w:b/>
          <w:szCs w:val="21"/>
        </w:rPr>
        <w:t>二、技术标准</w:t>
      </w:r>
    </w:p>
    <w:p w14:paraId="1531EA1A">
      <w:pPr>
        <w:pStyle w:val="13"/>
        <w:spacing w:line="360" w:lineRule="auto"/>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1、液碱技术标准</w:t>
      </w:r>
    </w:p>
    <w:tbl>
      <w:tblPr>
        <w:tblStyle w:val="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594"/>
        <w:gridCol w:w="681"/>
        <w:gridCol w:w="1347"/>
        <w:gridCol w:w="2012"/>
        <w:gridCol w:w="682"/>
      </w:tblGrid>
      <w:tr w14:paraId="5F03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0" w:type="auto"/>
            <w:vAlign w:val="center"/>
          </w:tcPr>
          <w:p w14:paraId="36EEA81C">
            <w:pPr>
              <w:spacing w:line="360" w:lineRule="auto"/>
              <w:jc w:val="center"/>
              <w:rPr>
                <w:rFonts w:hint="eastAsia" w:ascii="宋体" w:hAnsi="宋体" w:cs="宋体"/>
                <w:bCs/>
                <w:szCs w:val="21"/>
              </w:rPr>
            </w:pPr>
            <w:r>
              <w:rPr>
                <w:rFonts w:hint="eastAsia" w:ascii="宋体" w:hAnsi="宋体" w:cs="宋体"/>
                <w:bCs/>
                <w:szCs w:val="21"/>
              </w:rPr>
              <w:t>指标名称</w:t>
            </w:r>
          </w:p>
        </w:tc>
        <w:tc>
          <w:tcPr>
            <w:tcW w:w="0" w:type="auto"/>
            <w:vAlign w:val="center"/>
          </w:tcPr>
          <w:p w14:paraId="7CB40AA4">
            <w:pPr>
              <w:spacing w:line="360" w:lineRule="auto"/>
              <w:jc w:val="center"/>
              <w:rPr>
                <w:rFonts w:hint="eastAsia" w:ascii="宋体" w:hAnsi="宋体" w:cs="宋体"/>
                <w:bCs/>
                <w:szCs w:val="21"/>
              </w:rPr>
            </w:pPr>
            <w:r>
              <w:rPr>
                <w:rFonts w:hint="eastAsia" w:ascii="宋体" w:hAnsi="宋体" w:cs="宋体"/>
                <w:bCs/>
                <w:szCs w:val="21"/>
              </w:rPr>
              <w:t>单位</w:t>
            </w:r>
          </w:p>
        </w:tc>
        <w:tc>
          <w:tcPr>
            <w:tcW w:w="0" w:type="auto"/>
            <w:vAlign w:val="center"/>
          </w:tcPr>
          <w:p w14:paraId="220938EE">
            <w:pPr>
              <w:spacing w:line="360" w:lineRule="auto"/>
              <w:jc w:val="center"/>
              <w:rPr>
                <w:rFonts w:hint="eastAsia" w:ascii="宋体" w:hAnsi="宋体" w:cs="宋体"/>
                <w:bCs/>
                <w:szCs w:val="21"/>
              </w:rPr>
            </w:pPr>
            <w:r>
              <w:rPr>
                <w:rFonts w:hint="eastAsia" w:ascii="宋体" w:hAnsi="宋体" w:cs="宋体"/>
                <w:bCs/>
                <w:szCs w:val="21"/>
              </w:rPr>
              <w:t>指标要求</w:t>
            </w:r>
          </w:p>
        </w:tc>
        <w:tc>
          <w:tcPr>
            <w:tcW w:w="0" w:type="auto"/>
            <w:vAlign w:val="center"/>
          </w:tcPr>
          <w:p w14:paraId="56D9C5F8">
            <w:pPr>
              <w:spacing w:line="360" w:lineRule="auto"/>
              <w:jc w:val="center"/>
              <w:rPr>
                <w:rFonts w:hint="eastAsia" w:ascii="宋体" w:hAnsi="宋体" w:cs="宋体"/>
                <w:bCs/>
                <w:szCs w:val="21"/>
              </w:rPr>
            </w:pPr>
            <w:r>
              <w:rPr>
                <w:rFonts w:hint="eastAsia" w:ascii="宋体" w:hAnsi="宋体" w:cs="宋体"/>
                <w:bCs/>
                <w:szCs w:val="21"/>
              </w:rPr>
              <w:t>检测方法标准</w:t>
            </w:r>
          </w:p>
        </w:tc>
        <w:tc>
          <w:tcPr>
            <w:tcW w:w="0" w:type="auto"/>
            <w:vAlign w:val="center"/>
          </w:tcPr>
          <w:p w14:paraId="7B8CAE2E">
            <w:pPr>
              <w:spacing w:line="360" w:lineRule="auto"/>
              <w:jc w:val="center"/>
              <w:rPr>
                <w:rFonts w:hint="eastAsia" w:ascii="宋体" w:hAnsi="宋体" w:cs="宋体"/>
                <w:bCs/>
                <w:szCs w:val="21"/>
              </w:rPr>
            </w:pPr>
            <w:r>
              <w:rPr>
                <w:rFonts w:hint="eastAsia" w:ascii="宋体" w:hAnsi="宋体" w:cs="宋体"/>
                <w:bCs/>
                <w:szCs w:val="21"/>
              </w:rPr>
              <w:t>备注</w:t>
            </w:r>
          </w:p>
        </w:tc>
      </w:tr>
      <w:tr w14:paraId="34F7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0" w:type="auto"/>
            <w:vAlign w:val="center"/>
          </w:tcPr>
          <w:p w14:paraId="152C54C2">
            <w:pPr>
              <w:spacing w:line="360" w:lineRule="auto"/>
              <w:jc w:val="center"/>
              <w:rPr>
                <w:rFonts w:hint="eastAsia" w:ascii="宋体" w:hAnsi="宋体" w:cs="宋体"/>
                <w:bCs/>
                <w:szCs w:val="21"/>
              </w:rPr>
            </w:pPr>
            <w:r>
              <w:rPr>
                <w:rFonts w:hint="eastAsia" w:ascii="宋体" w:hAnsi="宋体" w:cs="宋体"/>
                <w:bCs/>
                <w:szCs w:val="21"/>
              </w:rPr>
              <w:t>氢氧化钠</w:t>
            </w:r>
          </w:p>
        </w:tc>
        <w:tc>
          <w:tcPr>
            <w:tcW w:w="0" w:type="auto"/>
            <w:vAlign w:val="center"/>
          </w:tcPr>
          <w:p w14:paraId="60BC5078">
            <w:pPr>
              <w:spacing w:line="360" w:lineRule="auto"/>
              <w:jc w:val="center"/>
              <w:rPr>
                <w:rFonts w:hint="eastAsia" w:ascii="宋体" w:hAnsi="宋体" w:cs="宋体"/>
                <w:bCs/>
                <w:szCs w:val="21"/>
              </w:rPr>
            </w:pPr>
            <w:r>
              <w:rPr>
                <w:rFonts w:hint="eastAsia" w:ascii="宋体" w:hAnsi="宋体" w:cs="宋体"/>
                <w:bCs/>
                <w:szCs w:val="21"/>
              </w:rPr>
              <w:t>%</w:t>
            </w:r>
          </w:p>
        </w:tc>
        <w:tc>
          <w:tcPr>
            <w:tcW w:w="0" w:type="auto"/>
            <w:vAlign w:val="center"/>
          </w:tcPr>
          <w:p w14:paraId="3367FC10">
            <w:pPr>
              <w:spacing w:line="360" w:lineRule="auto"/>
              <w:jc w:val="center"/>
              <w:rPr>
                <w:rFonts w:hint="eastAsia" w:ascii="宋体" w:hAnsi="宋体" w:cs="宋体"/>
                <w:bCs/>
                <w:szCs w:val="21"/>
              </w:rPr>
            </w:pPr>
            <w:r>
              <w:rPr>
                <w:rFonts w:hint="eastAsia" w:ascii="宋体" w:hAnsi="宋体" w:cs="宋体"/>
                <w:bCs/>
                <w:szCs w:val="21"/>
              </w:rPr>
              <w:t>≥32.0</w:t>
            </w:r>
          </w:p>
        </w:tc>
        <w:tc>
          <w:tcPr>
            <w:tcW w:w="0" w:type="auto"/>
            <w:vMerge w:val="restart"/>
            <w:vAlign w:val="center"/>
          </w:tcPr>
          <w:p w14:paraId="373DBDF1">
            <w:pPr>
              <w:spacing w:line="360" w:lineRule="auto"/>
              <w:jc w:val="center"/>
              <w:rPr>
                <w:rFonts w:hint="eastAsia" w:ascii="宋体" w:hAnsi="宋体" w:cs="宋体"/>
                <w:bCs/>
                <w:szCs w:val="21"/>
              </w:rPr>
            </w:pPr>
            <w:r>
              <w:rPr>
                <w:rFonts w:hint="eastAsia" w:ascii="宋体" w:hAnsi="宋体" w:cs="宋体"/>
                <w:bCs/>
                <w:szCs w:val="21"/>
              </w:rPr>
              <w:t>DL/T425-2015</w:t>
            </w:r>
          </w:p>
        </w:tc>
        <w:tc>
          <w:tcPr>
            <w:tcW w:w="0" w:type="auto"/>
            <w:vAlign w:val="center"/>
          </w:tcPr>
          <w:p w14:paraId="56AC8F01">
            <w:pPr>
              <w:spacing w:line="360" w:lineRule="auto"/>
              <w:jc w:val="center"/>
              <w:rPr>
                <w:rFonts w:hint="eastAsia" w:ascii="宋体" w:hAnsi="宋体" w:cs="宋体"/>
                <w:bCs/>
                <w:szCs w:val="21"/>
              </w:rPr>
            </w:pPr>
          </w:p>
        </w:tc>
      </w:tr>
      <w:tr w14:paraId="6B693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0" w:type="auto"/>
            <w:vAlign w:val="center"/>
          </w:tcPr>
          <w:p w14:paraId="049458C2">
            <w:pPr>
              <w:spacing w:line="360" w:lineRule="auto"/>
              <w:jc w:val="center"/>
              <w:rPr>
                <w:rFonts w:hint="eastAsia" w:ascii="宋体" w:hAnsi="宋体" w:cs="宋体"/>
                <w:bCs/>
                <w:szCs w:val="21"/>
              </w:rPr>
            </w:pPr>
            <w:r>
              <w:rPr>
                <w:rFonts w:hint="eastAsia" w:ascii="宋体" w:hAnsi="宋体" w:cs="宋体"/>
                <w:bCs/>
                <w:szCs w:val="21"/>
              </w:rPr>
              <w:t>氯化钠</w:t>
            </w:r>
          </w:p>
        </w:tc>
        <w:tc>
          <w:tcPr>
            <w:tcW w:w="0" w:type="auto"/>
            <w:vAlign w:val="center"/>
          </w:tcPr>
          <w:p w14:paraId="4A1DCE83">
            <w:pPr>
              <w:spacing w:line="360" w:lineRule="auto"/>
              <w:jc w:val="center"/>
              <w:rPr>
                <w:rFonts w:hint="eastAsia" w:ascii="宋体" w:hAnsi="宋体" w:cs="宋体"/>
                <w:bCs/>
                <w:szCs w:val="21"/>
              </w:rPr>
            </w:pPr>
            <w:r>
              <w:rPr>
                <w:rFonts w:hint="eastAsia" w:ascii="宋体" w:hAnsi="宋体" w:cs="宋体"/>
                <w:bCs/>
                <w:szCs w:val="21"/>
              </w:rPr>
              <w:t>%</w:t>
            </w:r>
          </w:p>
        </w:tc>
        <w:tc>
          <w:tcPr>
            <w:tcW w:w="0" w:type="auto"/>
            <w:vAlign w:val="center"/>
          </w:tcPr>
          <w:p w14:paraId="74884EBB">
            <w:pPr>
              <w:spacing w:line="360" w:lineRule="auto"/>
              <w:jc w:val="center"/>
              <w:rPr>
                <w:rFonts w:hint="eastAsia" w:ascii="宋体" w:hAnsi="宋体" w:cs="宋体"/>
                <w:bCs/>
                <w:szCs w:val="21"/>
              </w:rPr>
            </w:pPr>
            <w:r>
              <w:rPr>
                <w:rFonts w:hint="eastAsia" w:ascii="宋体" w:hAnsi="宋体" w:cs="宋体"/>
                <w:bCs/>
                <w:szCs w:val="21"/>
              </w:rPr>
              <w:t>≤0.004</w:t>
            </w:r>
          </w:p>
        </w:tc>
        <w:tc>
          <w:tcPr>
            <w:tcW w:w="0" w:type="auto"/>
            <w:vMerge w:val="continue"/>
            <w:tcBorders>
              <w:top w:val="nil"/>
            </w:tcBorders>
            <w:vAlign w:val="center"/>
          </w:tcPr>
          <w:p w14:paraId="2C413F4A">
            <w:pPr>
              <w:spacing w:line="360" w:lineRule="auto"/>
              <w:jc w:val="center"/>
              <w:rPr>
                <w:rFonts w:hint="eastAsia" w:ascii="宋体" w:hAnsi="宋体" w:cs="宋体"/>
                <w:bCs/>
                <w:szCs w:val="21"/>
              </w:rPr>
            </w:pPr>
          </w:p>
        </w:tc>
        <w:tc>
          <w:tcPr>
            <w:tcW w:w="0" w:type="auto"/>
            <w:vAlign w:val="center"/>
          </w:tcPr>
          <w:p w14:paraId="5E25CE53">
            <w:pPr>
              <w:spacing w:line="360" w:lineRule="auto"/>
              <w:jc w:val="center"/>
              <w:rPr>
                <w:rFonts w:hint="eastAsia" w:ascii="宋体" w:hAnsi="宋体" w:cs="宋体"/>
                <w:bCs/>
                <w:szCs w:val="21"/>
              </w:rPr>
            </w:pPr>
          </w:p>
        </w:tc>
      </w:tr>
      <w:tr w14:paraId="2718D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0" w:type="auto"/>
            <w:vAlign w:val="center"/>
          </w:tcPr>
          <w:p w14:paraId="3F109600">
            <w:pPr>
              <w:spacing w:line="360" w:lineRule="auto"/>
              <w:jc w:val="center"/>
              <w:rPr>
                <w:rFonts w:hint="eastAsia" w:ascii="宋体" w:hAnsi="宋体" w:cs="宋体"/>
                <w:bCs/>
                <w:szCs w:val="21"/>
              </w:rPr>
            </w:pPr>
            <w:r>
              <w:rPr>
                <w:rFonts w:hint="eastAsia" w:ascii="宋体" w:hAnsi="宋体" w:cs="宋体"/>
                <w:bCs/>
                <w:szCs w:val="21"/>
              </w:rPr>
              <w:t>碳酸钠</w:t>
            </w:r>
          </w:p>
        </w:tc>
        <w:tc>
          <w:tcPr>
            <w:tcW w:w="0" w:type="auto"/>
            <w:vAlign w:val="center"/>
          </w:tcPr>
          <w:p w14:paraId="7A5757B0">
            <w:pPr>
              <w:spacing w:line="360" w:lineRule="auto"/>
              <w:jc w:val="center"/>
              <w:rPr>
                <w:rFonts w:hint="eastAsia" w:ascii="宋体" w:hAnsi="宋体" w:cs="宋体"/>
                <w:bCs/>
                <w:szCs w:val="21"/>
              </w:rPr>
            </w:pPr>
            <w:r>
              <w:rPr>
                <w:rFonts w:hint="eastAsia" w:ascii="宋体" w:hAnsi="宋体" w:cs="宋体"/>
                <w:bCs/>
                <w:szCs w:val="21"/>
              </w:rPr>
              <w:t>%</w:t>
            </w:r>
          </w:p>
        </w:tc>
        <w:tc>
          <w:tcPr>
            <w:tcW w:w="0" w:type="auto"/>
            <w:vAlign w:val="center"/>
          </w:tcPr>
          <w:p w14:paraId="03CBE50A">
            <w:pPr>
              <w:spacing w:line="360" w:lineRule="auto"/>
              <w:jc w:val="center"/>
              <w:rPr>
                <w:rFonts w:hint="eastAsia" w:ascii="宋体" w:hAnsi="宋体" w:cs="宋体"/>
                <w:bCs/>
                <w:szCs w:val="21"/>
              </w:rPr>
            </w:pPr>
            <w:r>
              <w:rPr>
                <w:rFonts w:hint="eastAsia" w:ascii="宋体" w:hAnsi="宋体" w:cs="宋体"/>
                <w:bCs/>
                <w:szCs w:val="21"/>
              </w:rPr>
              <w:t>≤0.04</w:t>
            </w:r>
          </w:p>
        </w:tc>
        <w:tc>
          <w:tcPr>
            <w:tcW w:w="0" w:type="auto"/>
            <w:vMerge w:val="continue"/>
            <w:tcBorders>
              <w:top w:val="nil"/>
            </w:tcBorders>
            <w:vAlign w:val="center"/>
          </w:tcPr>
          <w:p w14:paraId="401E6BE7">
            <w:pPr>
              <w:spacing w:line="360" w:lineRule="auto"/>
              <w:jc w:val="center"/>
              <w:rPr>
                <w:rFonts w:hint="eastAsia" w:ascii="宋体" w:hAnsi="宋体" w:cs="宋体"/>
                <w:bCs/>
                <w:szCs w:val="21"/>
              </w:rPr>
            </w:pPr>
          </w:p>
        </w:tc>
        <w:tc>
          <w:tcPr>
            <w:tcW w:w="0" w:type="auto"/>
            <w:vAlign w:val="center"/>
          </w:tcPr>
          <w:p w14:paraId="6A1E4A64">
            <w:pPr>
              <w:spacing w:line="360" w:lineRule="auto"/>
              <w:jc w:val="center"/>
              <w:rPr>
                <w:rFonts w:hint="eastAsia" w:ascii="宋体" w:hAnsi="宋体" w:cs="宋体"/>
                <w:bCs/>
                <w:szCs w:val="21"/>
              </w:rPr>
            </w:pPr>
          </w:p>
        </w:tc>
      </w:tr>
      <w:tr w14:paraId="00650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0" w:type="auto"/>
            <w:vAlign w:val="center"/>
          </w:tcPr>
          <w:p w14:paraId="7F0FA53B">
            <w:pPr>
              <w:spacing w:line="360" w:lineRule="auto"/>
              <w:jc w:val="center"/>
              <w:rPr>
                <w:rFonts w:hint="eastAsia" w:ascii="宋体" w:hAnsi="宋体" w:cs="宋体"/>
                <w:bCs/>
                <w:szCs w:val="21"/>
              </w:rPr>
            </w:pPr>
            <w:r>
              <w:rPr>
                <w:rFonts w:hint="eastAsia" w:ascii="宋体" w:hAnsi="宋体" w:cs="宋体"/>
                <w:bCs/>
                <w:szCs w:val="21"/>
              </w:rPr>
              <w:t>三氧化二铁</w:t>
            </w:r>
          </w:p>
        </w:tc>
        <w:tc>
          <w:tcPr>
            <w:tcW w:w="0" w:type="auto"/>
            <w:vAlign w:val="center"/>
          </w:tcPr>
          <w:p w14:paraId="1642CBF0">
            <w:pPr>
              <w:spacing w:line="360" w:lineRule="auto"/>
              <w:jc w:val="center"/>
              <w:rPr>
                <w:rFonts w:hint="eastAsia" w:ascii="宋体" w:hAnsi="宋体" w:cs="宋体"/>
                <w:bCs/>
                <w:szCs w:val="21"/>
              </w:rPr>
            </w:pPr>
            <w:r>
              <w:rPr>
                <w:rFonts w:hint="eastAsia" w:ascii="宋体" w:hAnsi="宋体" w:cs="宋体"/>
                <w:bCs/>
                <w:szCs w:val="21"/>
              </w:rPr>
              <w:t>%</w:t>
            </w:r>
          </w:p>
        </w:tc>
        <w:tc>
          <w:tcPr>
            <w:tcW w:w="0" w:type="auto"/>
            <w:vAlign w:val="center"/>
          </w:tcPr>
          <w:p w14:paraId="1B966146">
            <w:pPr>
              <w:spacing w:line="360" w:lineRule="auto"/>
              <w:jc w:val="center"/>
              <w:rPr>
                <w:rFonts w:hint="eastAsia" w:ascii="宋体" w:hAnsi="宋体" w:cs="宋体"/>
                <w:bCs/>
                <w:szCs w:val="21"/>
              </w:rPr>
            </w:pPr>
            <w:r>
              <w:rPr>
                <w:rFonts w:hint="eastAsia" w:ascii="宋体" w:hAnsi="宋体" w:cs="宋体"/>
                <w:bCs/>
                <w:szCs w:val="21"/>
              </w:rPr>
              <w:t>≤0.0003</w:t>
            </w:r>
          </w:p>
        </w:tc>
        <w:tc>
          <w:tcPr>
            <w:tcW w:w="0" w:type="auto"/>
            <w:vMerge w:val="continue"/>
            <w:tcBorders>
              <w:top w:val="nil"/>
            </w:tcBorders>
            <w:vAlign w:val="center"/>
          </w:tcPr>
          <w:p w14:paraId="731E7EE9">
            <w:pPr>
              <w:spacing w:line="360" w:lineRule="auto"/>
              <w:jc w:val="center"/>
              <w:rPr>
                <w:rFonts w:hint="eastAsia" w:ascii="宋体" w:hAnsi="宋体" w:cs="宋体"/>
                <w:bCs/>
                <w:szCs w:val="21"/>
              </w:rPr>
            </w:pPr>
          </w:p>
        </w:tc>
        <w:tc>
          <w:tcPr>
            <w:tcW w:w="0" w:type="auto"/>
            <w:vAlign w:val="center"/>
          </w:tcPr>
          <w:p w14:paraId="73F7B198">
            <w:pPr>
              <w:spacing w:line="360" w:lineRule="auto"/>
              <w:jc w:val="center"/>
              <w:rPr>
                <w:rFonts w:hint="eastAsia" w:ascii="宋体" w:hAnsi="宋体" w:cs="宋体"/>
                <w:bCs/>
                <w:szCs w:val="21"/>
              </w:rPr>
            </w:pPr>
          </w:p>
        </w:tc>
      </w:tr>
      <w:tr w14:paraId="25A89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0" w:type="auto"/>
            <w:vAlign w:val="center"/>
          </w:tcPr>
          <w:p w14:paraId="3E889F1B">
            <w:pPr>
              <w:spacing w:line="360" w:lineRule="auto"/>
              <w:jc w:val="center"/>
              <w:rPr>
                <w:rFonts w:hint="eastAsia" w:ascii="宋体" w:hAnsi="宋体" w:cs="宋体"/>
                <w:bCs/>
                <w:szCs w:val="21"/>
              </w:rPr>
            </w:pPr>
            <w:r>
              <w:rPr>
                <w:rFonts w:hint="eastAsia" w:ascii="宋体" w:hAnsi="宋体" w:cs="宋体"/>
                <w:bCs/>
                <w:szCs w:val="21"/>
              </w:rPr>
              <w:t>氯酸钠</w:t>
            </w:r>
          </w:p>
        </w:tc>
        <w:tc>
          <w:tcPr>
            <w:tcW w:w="0" w:type="auto"/>
            <w:vAlign w:val="center"/>
          </w:tcPr>
          <w:p w14:paraId="1A4CA3A2">
            <w:pPr>
              <w:spacing w:line="360" w:lineRule="auto"/>
              <w:jc w:val="center"/>
              <w:rPr>
                <w:rFonts w:hint="eastAsia" w:ascii="宋体" w:hAnsi="宋体" w:cs="宋体"/>
                <w:bCs/>
                <w:szCs w:val="21"/>
              </w:rPr>
            </w:pPr>
            <w:r>
              <w:rPr>
                <w:rFonts w:hint="eastAsia" w:ascii="宋体" w:hAnsi="宋体" w:cs="宋体"/>
                <w:bCs/>
                <w:szCs w:val="21"/>
              </w:rPr>
              <w:t>%</w:t>
            </w:r>
          </w:p>
        </w:tc>
        <w:tc>
          <w:tcPr>
            <w:tcW w:w="0" w:type="auto"/>
            <w:vAlign w:val="center"/>
          </w:tcPr>
          <w:p w14:paraId="092E3108">
            <w:pPr>
              <w:spacing w:line="360" w:lineRule="auto"/>
              <w:jc w:val="center"/>
              <w:rPr>
                <w:rFonts w:hint="eastAsia" w:ascii="宋体" w:hAnsi="宋体" w:cs="宋体"/>
                <w:bCs/>
                <w:szCs w:val="21"/>
              </w:rPr>
            </w:pPr>
            <w:r>
              <w:rPr>
                <w:rFonts w:hint="eastAsia" w:ascii="宋体" w:hAnsi="宋体" w:cs="宋体"/>
                <w:bCs/>
                <w:szCs w:val="21"/>
              </w:rPr>
              <w:t>≤0.001</w:t>
            </w:r>
          </w:p>
        </w:tc>
        <w:tc>
          <w:tcPr>
            <w:tcW w:w="0" w:type="auto"/>
            <w:vMerge w:val="continue"/>
            <w:tcBorders>
              <w:top w:val="nil"/>
            </w:tcBorders>
            <w:vAlign w:val="center"/>
          </w:tcPr>
          <w:p w14:paraId="4C1BB5B4">
            <w:pPr>
              <w:spacing w:line="360" w:lineRule="auto"/>
              <w:jc w:val="center"/>
              <w:rPr>
                <w:rFonts w:hint="eastAsia" w:ascii="宋体" w:hAnsi="宋体" w:cs="宋体"/>
                <w:bCs/>
                <w:szCs w:val="21"/>
              </w:rPr>
            </w:pPr>
          </w:p>
        </w:tc>
        <w:tc>
          <w:tcPr>
            <w:tcW w:w="0" w:type="auto"/>
            <w:vAlign w:val="center"/>
          </w:tcPr>
          <w:p w14:paraId="5E16A443">
            <w:pPr>
              <w:spacing w:line="360" w:lineRule="auto"/>
              <w:jc w:val="center"/>
              <w:rPr>
                <w:rFonts w:hint="eastAsia" w:ascii="宋体" w:hAnsi="宋体" w:cs="宋体"/>
                <w:bCs/>
                <w:szCs w:val="21"/>
              </w:rPr>
            </w:pPr>
          </w:p>
        </w:tc>
      </w:tr>
      <w:tr w14:paraId="5C959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0" w:type="auto"/>
            <w:vAlign w:val="center"/>
          </w:tcPr>
          <w:p w14:paraId="4EE002CD">
            <w:pPr>
              <w:spacing w:line="360" w:lineRule="auto"/>
              <w:jc w:val="center"/>
              <w:rPr>
                <w:rFonts w:hint="eastAsia" w:ascii="宋体" w:hAnsi="宋体" w:cs="宋体"/>
                <w:bCs/>
                <w:szCs w:val="21"/>
              </w:rPr>
            </w:pPr>
            <w:r>
              <w:rPr>
                <w:rFonts w:hint="eastAsia" w:ascii="宋体" w:hAnsi="宋体" w:cs="宋体"/>
                <w:bCs/>
                <w:szCs w:val="21"/>
              </w:rPr>
              <w:t>氧化钙</w:t>
            </w:r>
          </w:p>
        </w:tc>
        <w:tc>
          <w:tcPr>
            <w:tcW w:w="0" w:type="auto"/>
            <w:vAlign w:val="center"/>
          </w:tcPr>
          <w:p w14:paraId="02D84426">
            <w:pPr>
              <w:spacing w:line="360" w:lineRule="auto"/>
              <w:jc w:val="center"/>
              <w:rPr>
                <w:rFonts w:hint="eastAsia" w:ascii="宋体" w:hAnsi="宋体" w:cs="宋体"/>
                <w:bCs/>
                <w:szCs w:val="21"/>
              </w:rPr>
            </w:pPr>
            <w:r>
              <w:rPr>
                <w:rFonts w:hint="eastAsia" w:ascii="宋体" w:hAnsi="宋体" w:cs="宋体"/>
                <w:bCs/>
                <w:szCs w:val="21"/>
              </w:rPr>
              <w:t>%</w:t>
            </w:r>
          </w:p>
        </w:tc>
        <w:tc>
          <w:tcPr>
            <w:tcW w:w="0" w:type="auto"/>
            <w:vAlign w:val="center"/>
          </w:tcPr>
          <w:p w14:paraId="3DBB18D5">
            <w:pPr>
              <w:spacing w:line="360" w:lineRule="auto"/>
              <w:jc w:val="center"/>
              <w:rPr>
                <w:rFonts w:hint="eastAsia" w:ascii="宋体" w:hAnsi="宋体" w:cs="宋体"/>
                <w:bCs/>
                <w:szCs w:val="21"/>
              </w:rPr>
            </w:pPr>
            <w:r>
              <w:rPr>
                <w:rFonts w:hint="eastAsia" w:ascii="宋体" w:hAnsi="宋体" w:cs="宋体"/>
                <w:bCs/>
                <w:szCs w:val="21"/>
              </w:rPr>
              <w:t>≤0.0001</w:t>
            </w:r>
          </w:p>
        </w:tc>
        <w:tc>
          <w:tcPr>
            <w:tcW w:w="0" w:type="auto"/>
            <w:vMerge w:val="continue"/>
            <w:tcBorders>
              <w:top w:val="nil"/>
            </w:tcBorders>
            <w:vAlign w:val="center"/>
          </w:tcPr>
          <w:p w14:paraId="4DB4719B">
            <w:pPr>
              <w:spacing w:line="360" w:lineRule="auto"/>
              <w:jc w:val="center"/>
              <w:rPr>
                <w:rFonts w:hint="eastAsia" w:ascii="宋体" w:hAnsi="宋体" w:cs="宋体"/>
                <w:bCs/>
                <w:szCs w:val="21"/>
              </w:rPr>
            </w:pPr>
          </w:p>
        </w:tc>
        <w:tc>
          <w:tcPr>
            <w:tcW w:w="0" w:type="auto"/>
            <w:vAlign w:val="center"/>
          </w:tcPr>
          <w:p w14:paraId="1E772A11">
            <w:pPr>
              <w:spacing w:line="360" w:lineRule="auto"/>
              <w:jc w:val="center"/>
              <w:rPr>
                <w:rFonts w:hint="eastAsia" w:ascii="宋体" w:hAnsi="宋体" w:cs="宋体"/>
                <w:bCs/>
                <w:szCs w:val="21"/>
              </w:rPr>
            </w:pPr>
          </w:p>
        </w:tc>
      </w:tr>
      <w:tr w14:paraId="2D865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0" w:type="auto"/>
            <w:vAlign w:val="center"/>
          </w:tcPr>
          <w:p w14:paraId="70EBDAB2">
            <w:pPr>
              <w:spacing w:line="360" w:lineRule="auto"/>
              <w:jc w:val="center"/>
              <w:rPr>
                <w:rFonts w:hint="eastAsia" w:ascii="宋体" w:hAnsi="宋体" w:cs="宋体"/>
                <w:bCs/>
                <w:szCs w:val="21"/>
              </w:rPr>
            </w:pPr>
            <w:r>
              <w:rPr>
                <w:rFonts w:hint="eastAsia" w:ascii="宋体" w:hAnsi="宋体" w:cs="宋体"/>
                <w:bCs/>
                <w:szCs w:val="21"/>
              </w:rPr>
              <w:t>三氧化二铝</w:t>
            </w:r>
          </w:p>
        </w:tc>
        <w:tc>
          <w:tcPr>
            <w:tcW w:w="0" w:type="auto"/>
            <w:vAlign w:val="center"/>
          </w:tcPr>
          <w:p w14:paraId="2331D979">
            <w:pPr>
              <w:spacing w:line="360" w:lineRule="auto"/>
              <w:jc w:val="center"/>
              <w:rPr>
                <w:rFonts w:hint="eastAsia" w:ascii="宋体" w:hAnsi="宋体" w:cs="宋体"/>
                <w:bCs/>
                <w:szCs w:val="21"/>
              </w:rPr>
            </w:pPr>
            <w:r>
              <w:rPr>
                <w:rFonts w:hint="eastAsia" w:ascii="宋体" w:hAnsi="宋体" w:cs="宋体"/>
                <w:bCs/>
                <w:szCs w:val="21"/>
              </w:rPr>
              <w:t>%</w:t>
            </w:r>
          </w:p>
        </w:tc>
        <w:tc>
          <w:tcPr>
            <w:tcW w:w="0" w:type="auto"/>
            <w:vAlign w:val="center"/>
          </w:tcPr>
          <w:p w14:paraId="4A70C5B5">
            <w:pPr>
              <w:spacing w:line="360" w:lineRule="auto"/>
              <w:jc w:val="center"/>
              <w:rPr>
                <w:rFonts w:hint="eastAsia" w:ascii="宋体" w:hAnsi="宋体" w:cs="宋体"/>
                <w:bCs/>
                <w:szCs w:val="21"/>
              </w:rPr>
            </w:pPr>
            <w:r>
              <w:rPr>
                <w:rFonts w:hint="eastAsia" w:ascii="宋体" w:hAnsi="宋体" w:cs="宋体"/>
                <w:bCs/>
                <w:szCs w:val="21"/>
              </w:rPr>
              <w:t>≤0.0004</w:t>
            </w:r>
          </w:p>
        </w:tc>
        <w:tc>
          <w:tcPr>
            <w:tcW w:w="0" w:type="auto"/>
            <w:vMerge w:val="continue"/>
            <w:tcBorders>
              <w:top w:val="nil"/>
            </w:tcBorders>
            <w:vAlign w:val="center"/>
          </w:tcPr>
          <w:p w14:paraId="635D86EB">
            <w:pPr>
              <w:spacing w:line="360" w:lineRule="auto"/>
              <w:jc w:val="center"/>
              <w:rPr>
                <w:rFonts w:hint="eastAsia" w:ascii="宋体" w:hAnsi="宋体" w:cs="宋体"/>
                <w:bCs/>
                <w:szCs w:val="21"/>
              </w:rPr>
            </w:pPr>
          </w:p>
        </w:tc>
        <w:tc>
          <w:tcPr>
            <w:tcW w:w="0" w:type="auto"/>
            <w:vAlign w:val="center"/>
          </w:tcPr>
          <w:p w14:paraId="160DE13B">
            <w:pPr>
              <w:spacing w:line="360" w:lineRule="auto"/>
              <w:jc w:val="center"/>
              <w:rPr>
                <w:rFonts w:hint="eastAsia" w:ascii="宋体" w:hAnsi="宋体" w:cs="宋体"/>
                <w:bCs/>
                <w:szCs w:val="21"/>
              </w:rPr>
            </w:pPr>
          </w:p>
        </w:tc>
      </w:tr>
      <w:tr w14:paraId="3428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0" w:type="auto"/>
            <w:vAlign w:val="center"/>
          </w:tcPr>
          <w:p w14:paraId="14F456A3">
            <w:pPr>
              <w:spacing w:line="360" w:lineRule="auto"/>
              <w:jc w:val="center"/>
              <w:rPr>
                <w:rFonts w:hint="eastAsia" w:ascii="宋体" w:hAnsi="宋体" w:cs="宋体"/>
                <w:bCs/>
                <w:szCs w:val="21"/>
              </w:rPr>
            </w:pPr>
            <w:r>
              <w:rPr>
                <w:rFonts w:hint="eastAsia" w:ascii="宋体" w:hAnsi="宋体" w:cs="宋体"/>
                <w:bCs/>
                <w:szCs w:val="21"/>
              </w:rPr>
              <w:t>二氧化硅</w:t>
            </w:r>
          </w:p>
        </w:tc>
        <w:tc>
          <w:tcPr>
            <w:tcW w:w="0" w:type="auto"/>
            <w:vAlign w:val="center"/>
          </w:tcPr>
          <w:p w14:paraId="7CAC63B5">
            <w:pPr>
              <w:spacing w:line="360" w:lineRule="auto"/>
              <w:jc w:val="center"/>
              <w:rPr>
                <w:rFonts w:hint="eastAsia" w:ascii="宋体" w:hAnsi="宋体" w:cs="宋体"/>
                <w:bCs/>
                <w:szCs w:val="21"/>
              </w:rPr>
            </w:pPr>
            <w:r>
              <w:rPr>
                <w:rFonts w:hint="eastAsia" w:ascii="宋体" w:hAnsi="宋体" w:cs="宋体"/>
                <w:bCs/>
                <w:szCs w:val="21"/>
              </w:rPr>
              <w:t>%</w:t>
            </w:r>
          </w:p>
        </w:tc>
        <w:tc>
          <w:tcPr>
            <w:tcW w:w="0" w:type="auto"/>
            <w:vAlign w:val="center"/>
          </w:tcPr>
          <w:p w14:paraId="7C7A154E">
            <w:pPr>
              <w:spacing w:line="360" w:lineRule="auto"/>
              <w:jc w:val="center"/>
              <w:rPr>
                <w:rFonts w:hint="eastAsia" w:ascii="宋体" w:hAnsi="宋体" w:cs="宋体"/>
                <w:bCs/>
                <w:szCs w:val="21"/>
              </w:rPr>
            </w:pPr>
            <w:r>
              <w:rPr>
                <w:rFonts w:hint="eastAsia" w:ascii="宋体" w:hAnsi="宋体" w:cs="宋体"/>
                <w:bCs/>
                <w:szCs w:val="21"/>
              </w:rPr>
              <w:t>≤0.0015</w:t>
            </w:r>
          </w:p>
        </w:tc>
        <w:tc>
          <w:tcPr>
            <w:tcW w:w="0" w:type="auto"/>
            <w:vMerge w:val="continue"/>
            <w:tcBorders>
              <w:top w:val="nil"/>
            </w:tcBorders>
            <w:vAlign w:val="center"/>
          </w:tcPr>
          <w:p w14:paraId="72904998">
            <w:pPr>
              <w:spacing w:line="360" w:lineRule="auto"/>
              <w:jc w:val="center"/>
              <w:rPr>
                <w:rFonts w:hint="eastAsia" w:ascii="宋体" w:hAnsi="宋体" w:cs="宋体"/>
                <w:bCs/>
                <w:szCs w:val="21"/>
              </w:rPr>
            </w:pPr>
          </w:p>
        </w:tc>
        <w:tc>
          <w:tcPr>
            <w:tcW w:w="0" w:type="auto"/>
            <w:vAlign w:val="center"/>
          </w:tcPr>
          <w:p w14:paraId="24643A97">
            <w:pPr>
              <w:spacing w:line="360" w:lineRule="auto"/>
              <w:jc w:val="center"/>
              <w:rPr>
                <w:rFonts w:hint="eastAsia" w:ascii="宋体" w:hAnsi="宋体" w:cs="宋体"/>
                <w:bCs/>
                <w:szCs w:val="21"/>
              </w:rPr>
            </w:pPr>
          </w:p>
        </w:tc>
      </w:tr>
      <w:tr w14:paraId="7E44A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0" w:type="auto"/>
            <w:vAlign w:val="center"/>
          </w:tcPr>
          <w:p w14:paraId="1020B791">
            <w:pPr>
              <w:spacing w:line="360" w:lineRule="auto"/>
              <w:jc w:val="center"/>
              <w:rPr>
                <w:rFonts w:hint="eastAsia" w:ascii="宋体" w:hAnsi="宋体" w:cs="宋体"/>
                <w:bCs/>
                <w:szCs w:val="21"/>
              </w:rPr>
            </w:pPr>
            <w:r>
              <w:rPr>
                <w:rFonts w:hint="eastAsia" w:ascii="宋体" w:hAnsi="宋体" w:cs="宋体"/>
                <w:bCs/>
                <w:szCs w:val="21"/>
              </w:rPr>
              <w:t>硫酸盐（以 Na2SO4计）</w:t>
            </w:r>
          </w:p>
        </w:tc>
        <w:tc>
          <w:tcPr>
            <w:tcW w:w="0" w:type="auto"/>
            <w:vAlign w:val="center"/>
          </w:tcPr>
          <w:p w14:paraId="522EF357">
            <w:pPr>
              <w:spacing w:line="360" w:lineRule="auto"/>
              <w:jc w:val="center"/>
              <w:rPr>
                <w:rFonts w:hint="eastAsia" w:ascii="宋体" w:hAnsi="宋体" w:cs="宋体"/>
                <w:bCs/>
                <w:szCs w:val="21"/>
              </w:rPr>
            </w:pPr>
            <w:r>
              <w:rPr>
                <w:rFonts w:hint="eastAsia" w:ascii="宋体" w:hAnsi="宋体" w:cs="宋体"/>
                <w:bCs/>
                <w:szCs w:val="21"/>
              </w:rPr>
              <w:t>%</w:t>
            </w:r>
          </w:p>
        </w:tc>
        <w:tc>
          <w:tcPr>
            <w:tcW w:w="0" w:type="auto"/>
            <w:vAlign w:val="center"/>
          </w:tcPr>
          <w:p w14:paraId="6E3A3D40">
            <w:pPr>
              <w:spacing w:line="360" w:lineRule="auto"/>
              <w:jc w:val="center"/>
              <w:rPr>
                <w:rFonts w:hint="eastAsia" w:ascii="宋体" w:hAnsi="宋体" w:cs="宋体"/>
                <w:bCs/>
                <w:szCs w:val="21"/>
              </w:rPr>
            </w:pPr>
            <w:r>
              <w:rPr>
                <w:rFonts w:hint="eastAsia" w:ascii="宋体" w:hAnsi="宋体" w:cs="宋体"/>
                <w:bCs/>
                <w:szCs w:val="21"/>
              </w:rPr>
              <w:t>≤0.001</w:t>
            </w:r>
          </w:p>
        </w:tc>
        <w:tc>
          <w:tcPr>
            <w:tcW w:w="0" w:type="auto"/>
            <w:vMerge w:val="continue"/>
            <w:tcBorders>
              <w:top w:val="nil"/>
            </w:tcBorders>
            <w:vAlign w:val="center"/>
          </w:tcPr>
          <w:p w14:paraId="4B4CA8A0">
            <w:pPr>
              <w:spacing w:line="360" w:lineRule="auto"/>
              <w:jc w:val="center"/>
              <w:rPr>
                <w:rFonts w:hint="eastAsia" w:ascii="宋体" w:hAnsi="宋体" w:cs="宋体"/>
                <w:bCs/>
                <w:szCs w:val="21"/>
              </w:rPr>
            </w:pPr>
          </w:p>
        </w:tc>
        <w:tc>
          <w:tcPr>
            <w:tcW w:w="0" w:type="auto"/>
            <w:vAlign w:val="center"/>
          </w:tcPr>
          <w:p w14:paraId="56EDDD03">
            <w:pPr>
              <w:spacing w:line="360" w:lineRule="auto"/>
              <w:jc w:val="center"/>
              <w:rPr>
                <w:rFonts w:hint="eastAsia" w:ascii="宋体" w:hAnsi="宋体" w:cs="宋体"/>
                <w:bCs/>
                <w:szCs w:val="21"/>
              </w:rPr>
            </w:pPr>
          </w:p>
        </w:tc>
      </w:tr>
    </w:tbl>
    <w:p w14:paraId="458DC579">
      <w:pPr>
        <w:spacing w:line="360" w:lineRule="auto"/>
        <w:rPr>
          <w:rFonts w:hint="eastAsia" w:ascii="宋体" w:hAnsi="宋体" w:cs="宋体"/>
          <w:b/>
          <w:szCs w:val="21"/>
        </w:rPr>
      </w:pPr>
      <w:bookmarkStart w:id="25" w:name="_Toc30422"/>
      <w:r>
        <w:rPr>
          <w:rFonts w:hint="eastAsia" w:ascii="宋体" w:hAnsi="宋体" w:cs="宋体"/>
          <w:b/>
          <w:szCs w:val="21"/>
        </w:rPr>
        <w:t>三、包装</w:t>
      </w:r>
      <w:r>
        <w:rPr>
          <w:rFonts w:hint="eastAsia" w:ascii="宋体" w:hAnsi="宋体" w:cs="宋体"/>
          <w:b/>
          <w:bCs/>
          <w:szCs w:val="21"/>
        </w:rPr>
        <w:t>、运输方式</w:t>
      </w:r>
      <w:r>
        <w:rPr>
          <w:rFonts w:hint="eastAsia" w:ascii="宋体" w:hAnsi="宋体" w:cs="宋体"/>
          <w:b/>
          <w:szCs w:val="21"/>
        </w:rPr>
        <w:t>及费用承担</w:t>
      </w:r>
      <w:bookmarkEnd w:id="25"/>
    </w:p>
    <w:p w14:paraId="6ADD91BD">
      <w:pPr>
        <w:spacing w:line="360" w:lineRule="auto"/>
        <w:ind w:firstLine="420" w:firstLineChars="200"/>
        <w:rPr>
          <w:rFonts w:hint="eastAsia" w:ascii="宋体" w:hAnsi="宋体" w:cs="宋体"/>
          <w:bCs/>
          <w:szCs w:val="21"/>
        </w:rPr>
      </w:pPr>
      <w:r>
        <w:rPr>
          <w:rFonts w:hint="eastAsia" w:ascii="宋体" w:hAnsi="宋体" w:cs="宋体"/>
          <w:bCs/>
          <w:szCs w:val="21"/>
        </w:rPr>
        <w:t>1、货物的包装：化学品的包装必须满足国家标准《化学试剂包装及标志》</w:t>
      </w:r>
      <w:r>
        <w:rPr>
          <w:rFonts w:ascii="宋体" w:hAnsi="宋体" w:cs="宋体"/>
          <w:bCs/>
          <w:szCs w:val="21"/>
        </w:rPr>
        <w:t>GB 15346-2012</w:t>
      </w:r>
      <w:r>
        <w:rPr>
          <w:rFonts w:hint="eastAsia" w:ascii="宋体" w:hAnsi="宋体" w:cs="宋体"/>
          <w:bCs/>
          <w:szCs w:val="21"/>
        </w:rPr>
        <w:t>。对于瓶装或桶装的化学品，其标识必须包含化学品的名称、分子式、有效成分含量及等级、净重、供货厂家、批号，生产日期、有效期、产品质量符合标准的证明和标准编号等信息。对于运送散装化学品的储槽上必须有标识，必须包含化学品的名称等信息，运送人员同时提供产品质量检验报告。</w:t>
      </w:r>
    </w:p>
    <w:p w14:paraId="512CF73F">
      <w:pPr>
        <w:spacing w:line="360" w:lineRule="auto"/>
        <w:ind w:firstLine="420" w:firstLineChars="200"/>
        <w:rPr>
          <w:rFonts w:hint="eastAsia" w:ascii="宋体" w:hAnsi="宋体" w:cs="宋体"/>
          <w:bCs/>
          <w:szCs w:val="21"/>
        </w:rPr>
      </w:pPr>
      <w:r>
        <w:rPr>
          <w:rFonts w:hint="eastAsia" w:ascii="宋体" w:hAnsi="宋体" w:cs="宋体"/>
          <w:bCs/>
          <w:szCs w:val="21"/>
        </w:rPr>
        <w:t>2、中标人应根据货物的特点，用符合规格密封良好的槽罐车送至采购人厂区指定的地点，槽罐必须注意防泄漏，车身干净整洁,注意环境保护。槽罐车实际容量可根据采购人实际送货需求调整。按最新交通运输法，载货后整车总质量必须＜49吨。以上由中标人承担运输及装卸等费用，自行卸货。</w:t>
      </w:r>
    </w:p>
    <w:p w14:paraId="451601D4">
      <w:pPr>
        <w:spacing w:line="360" w:lineRule="auto"/>
        <w:ind w:firstLine="420" w:firstLineChars="200"/>
        <w:rPr>
          <w:rFonts w:hint="eastAsia" w:ascii="宋体" w:hAnsi="宋体" w:cs="宋体"/>
          <w:b/>
          <w:bCs/>
          <w:szCs w:val="21"/>
        </w:rPr>
      </w:pPr>
      <w:r>
        <w:rPr>
          <w:rFonts w:hint="eastAsia" w:ascii="宋体" w:hAnsi="宋体" w:cs="宋体"/>
          <w:bCs/>
          <w:szCs w:val="21"/>
        </w:rPr>
        <w:t>3、中标人负责将每车次货物运抵采购人指定的厂区地点，货到后中标人需到采购人地磅过磅，并提供该车次产品的签字盖章的出厂化验报告及送货单，过磅后货到采购人指定地点，在采购人完成取样后，方可卸货。卸货后中标人必须再次到采购人地磅过空磅，签字确认并拿取过磅单后，方可离厂。项目指定两人进行收货验收。</w:t>
      </w:r>
    </w:p>
    <w:p w14:paraId="785108F7">
      <w:pPr>
        <w:spacing w:line="360" w:lineRule="auto"/>
        <w:rPr>
          <w:rFonts w:hint="eastAsia" w:ascii="宋体" w:hAnsi="宋体" w:cs="宋体"/>
          <w:b/>
          <w:szCs w:val="21"/>
        </w:rPr>
      </w:pPr>
      <w:bookmarkStart w:id="26" w:name="_Toc30593"/>
      <w:r>
        <w:rPr>
          <w:rFonts w:hint="eastAsia" w:ascii="宋体" w:hAnsi="宋体" w:cs="宋体"/>
          <w:b/>
          <w:szCs w:val="21"/>
        </w:rPr>
        <w:t>四、检验标准</w:t>
      </w:r>
      <w:bookmarkEnd w:id="26"/>
    </w:p>
    <w:p w14:paraId="57D1DB99">
      <w:pPr>
        <w:spacing w:line="360" w:lineRule="auto"/>
        <w:ind w:firstLine="420" w:firstLineChars="200"/>
        <w:rPr>
          <w:rFonts w:hint="eastAsia" w:ascii="宋体" w:hAnsi="宋体" w:cs="宋体"/>
          <w:szCs w:val="21"/>
        </w:rPr>
      </w:pPr>
      <w:r>
        <w:rPr>
          <w:rFonts w:hint="eastAsia" w:ascii="宋体" w:hAnsi="宋体" w:cs="宋体"/>
          <w:szCs w:val="21"/>
        </w:rPr>
        <w:t>《火电厂用工业氢氧化钠试验方法》</w:t>
      </w:r>
      <w:r>
        <w:rPr>
          <w:rFonts w:ascii="宋体" w:hAnsi="宋体" w:cs="宋体"/>
          <w:szCs w:val="21"/>
        </w:rPr>
        <w:t>DL/T425-2015</w:t>
      </w:r>
      <w:r>
        <w:rPr>
          <w:rFonts w:hint="eastAsia" w:ascii="宋体" w:hAnsi="宋体" w:cs="宋体"/>
          <w:szCs w:val="21"/>
        </w:rPr>
        <w:t>。</w:t>
      </w:r>
    </w:p>
    <w:p w14:paraId="28E25DC4">
      <w:pPr>
        <w:spacing w:line="360" w:lineRule="auto"/>
        <w:rPr>
          <w:rFonts w:hint="eastAsia" w:ascii="宋体" w:hAnsi="宋体" w:cs="宋体"/>
          <w:b/>
          <w:szCs w:val="21"/>
        </w:rPr>
      </w:pPr>
      <w:bookmarkStart w:id="27" w:name="_Toc11335"/>
      <w:r>
        <w:rPr>
          <w:rFonts w:hint="eastAsia" w:ascii="宋体" w:hAnsi="宋体" w:cs="宋体"/>
          <w:b/>
          <w:szCs w:val="21"/>
        </w:rPr>
        <w:t>五、验收及质量要求</w:t>
      </w:r>
      <w:bookmarkEnd w:id="27"/>
    </w:p>
    <w:p w14:paraId="0F33F23C">
      <w:pPr>
        <w:spacing w:line="360" w:lineRule="auto"/>
        <w:ind w:firstLine="420" w:firstLineChars="200"/>
        <w:rPr>
          <w:rFonts w:hint="eastAsia" w:ascii="宋体" w:hAnsi="宋体" w:cs="宋体"/>
          <w:bCs/>
          <w:szCs w:val="21"/>
        </w:rPr>
      </w:pPr>
      <w:r>
        <w:rPr>
          <w:rFonts w:hint="eastAsia" w:ascii="宋体" w:hAnsi="宋体" w:cs="宋体"/>
          <w:bCs/>
          <w:szCs w:val="21"/>
        </w:rPr>
        <w:t>1、中标人在送货时，必须提供每一批货物的产品有效成分的检验报告、合格证明等相关质量证明文件及送货单，要求必须签字盖章。否则，禁止过磅。</w:t>
      </w:r>
    </w:p>
    <w:p w14:paraId="56E0ACF4">
      <w:pPr>
        <w:spacing w:line="360" w:lineRule="auto"/>
        <w:ind w:firstLine="420" w:firstLineChars="200"/>
        <w:rPr>
          <w:rFonts w:hint="eastAsia" w:ascii="宋体" w:hAnsi="宋体" w:cs="宋体"/>
          <w:bCs/>
          <w:szCs w:val="21"/>
        </w:rPr>
      </w:pPr>
      <w:r>
        <w:rPr>
          <w:rFonts w:hint="eastAsia" w:ascii="宋体" w:hAnsi="宋体" w:cs="宋体"/>
          <w:bCs/>
          <w:szCs w:val="21"/>
        </w:rPr>
        <w:t>2、车次过磅后中标人送达产品到采购人指定地点进行抽样取样，每次取样时，供需双方应当共同见证取样，且取样单须经供需双方共同签字签章确认（中标人拒绝派人参加取样或者拒绝签字盖章确认的，不影响采购人取样的效力）。采购人完成取样并且实验室检测合格后，由中标人负责卸货至采购人指定地点，卸货费用已经包含在合同价款中。卸货后中标人必须再次到采购人地磅过空磅，签字确认并拿取过磅单后，方可离厂。如退货，中标人必须在10小时内将第二车送货到厂。</w:t>
      </w:r>
    </w:p>
    <w:p w14:paraId="0457FF96">
      <w:pPr>
        <w:spacing w:line="360" w:lineRule="auto"/>
        <w:ind w:firstLine="420" w:firstLineChars="200"/>
        <w:rPr>
          <w:rFonts w:hint="eastAsia" w:ascii="宋体" w:hAnsi="宋体" w:cs="宋体"/>
          <w:bCs/>
          <w:szCs w:val="21"/>
        </w:rPr>
      </w:pPr>
      <w:r>
        <w:rPr>
          <w:rFonts w:hint="eastAsia" w:ascii="宋体" w:hAnsi="宋体" w:cs="宋体"/>
          <w:bCs/>
          <w:szCs w:val="21"/>
        </w:rPr>
        <w:t>3、双方代表在验收中不能取得一致意见时，可提请双方认可的国家权威检验部门进行检验，其出具的检验证书是具有法律效力的最终检验结果，对双方都有约束力，检验费由责任方负担。</w:t>
      </w:r>
    </w:p>
    <w:p w14:paraId="3EF4C308">
      <w:pPr>
        <w:spacing w:line="360" w:lineRule="auto"/>
        <w:ind w:firstLine="420" w:firstLineChars="200"/>
        <w:rPr>
          <w:rFonts w:hint="eastAsia" w:ascii="宋体" w:hAnsi="宋体" w:cs="宋体"/>
          <w:bCs/>
          <w:szCs w:val="21"/>
        </w:rPr>
      </w:pPr>
      <w:r>
        <w:rPr>
          <w:rFonts w:hint="eastAsia" w:ascii="宋体" w:hAnsi="宋体" w:cs="宋体"/>
          <w:bCs/>
          <w:szCs w:val="21"/>
        </w:rPr>
        <w:t>4、不予收货：中标人货物经采购人分析检测室检验确认且确认为本车次产品不合格。</w:t>
      </w:r>
    </w:p>
    <w:p w14:paraId="00C524D5">
      <w:pPr>
        <w:widowControl w:val="0"/>
        <w:adjustRightInd/>
        <w:snapToGrid/>
        <w:spacing w:line="360" w:lineRule="auto"/>
        <w:ind w:firstLine="420" w:firstLineChars="200"/>
        <w:jc w:val="both"/>
        <w:rPr>
          <w:rFonts w:hint="eastAsia" w:ascii="宋体" w:hAnsi="宋体" w:cs="宋体"/>
          <w:bCs/>
          <w:szCs w:val="21"/>
        </w:rPr>
      </w:pPr>
      <w:r>
        <w:rPr>
          <w:rFonts w:hint="eastAsia" w:ascii="宋体" w:hAnsi="宋体" w:cs="宋体"/>
          <w:bCs/>
          <w:szCs w:val="21"/>
        </w:rPr>
        <w:t>5、若采购人在运行生产使用过程中，中标人的产品被采购人上级主管部门检查质量不合格，并对采购人进行做出相关处罚，由此所产生的责任及采购人损失全由中标人承担。</w:t>
      </w:r>
    </w:p>
    <w:p w14:paraId="0EC0D838">
      <w:pPr>
        <w:pStyle w:val="18"/>
        <w:rPr>
          <w:rFonts w:hint="eastAsia" w:hAnsi="宋体" w:cs="宋体"/>
          <w:bCs/>
          <w:szCs w:val="21"/>
          <w:lang w:val="en-US" w:eastAsia="zh-CN"/>
        </w:rPr>
      </w:pPr>
      <w:r>
        <w:rPr>
          <w:rFonts w:hint="eastAsia" w:hAnsi="宋体" w:cs="宋体"/>
          <w:bCs/>
          <w:szCs w:val="21"/>
          <w:lang w:val="en-US" w:eastAsia="zh-CN"/>
        </w:rPr>
        <w:t>六、其他要求</w:t>
      </w:r>
    </w:p>
    <w:p w14:paraId="0D47FF2A">
      <w:pPr>
        <w:ind w:firstLine="420" w:firstLineChars="200"/>
        <w:rPr>
          <w:rFonts w:hint="default" w:ascii="宋体" w:hAnsi="宋体" w:cs="宋体"/>
          <w:bCs/>
          <w:szCs w:val="21"/>
          <w:lang w:val="en-US" w:eastAsia="zh-CN"/>
        </w:rPr>
      </w:pPr>
      <w:r>
        <w:rPr>
          <w:rFonts w:hint="eastAsia" w:ascii="宋体" w:hAnsi="宋体" w:cs="宋体"/>
          <w:bCs/>
          <w:sz w:val="21"/>
          <w:szCs w:val="21"/>
          <w:lang w:val="en-US" w:eastAsia="zh-CN"/>
        </w:rPr>
        <w:t>★1、</w:t>
      </w:r>
      <w:r>
        <w:rPr>
          <w:rFonts w:hint="eastAsia" w:ascii="宋体" w:hAnsi="宋体" w:eastAsia="宋体" w:cs="宋体"/>
          <w:bCs/>
          <w:sz w:val="21"/>
          <w:szCs w:val="21"/>
          <w:lang w:val="en-US" w:eastAsia="zh-CN"/>
        </w:rPr>
        <w:t>成交人</w:t>
      </w:r>
      <w:r>
        <w:rPr>
          <w:rFonts w:hint="eastAsia" w:ascii="宋体" w:hAnsi="宋体" w:cs="宋体"/>
          <w:bCs/>
          <w:sz w:val="21"/>
          <w:szCs w:val="21"/>
          <w:lang w:val="en-US" w:eastAsia="zh-CN"/>
        </w:rPr>
        <w:t>（或其委托的运输单位）</w:t>
      </w:r>
      <w:r>
        <w:rPr>
          <w:rFonts w:hint="eastAsia" w:ascii="宋体" w:hAnsi="宋体" w:eastAsia="宋体" w:cs="宋体"/>
          <w:bCs/>
          <w:sz w:val="21"/>
          <w:szCs w:val="21"/>
          <w:lang w:val="en-US" w:eastAsia="zh-CN"/>
        </w:rPr>
        <w:t>必须为所有投入本</w:t>
      </w:r>
      <w:r>
        <w:rPr>
          <w:rFonts w:hint="eastAsia" w:ascii="宋体" w:hAnsi="宋体" w:cs="宋体"/>
          <w:bCs/>
          <w:sz w:val="21"/>
          <w:szCs w:val="21"/>
          <w:lang w:val="en-US" w:eastAsia="zh-CN"/>
        </w:rPr>
        <w:t>服务</w:t>
      </w:r>
      <w:r>
        <w:rPr>
          <w:rFonts w:hint="eastAsia" w:ascii="宋体" w:hAnsi="宋体" w:eastAsia="宋体" w:cs="宋体"/>
          <w:bCs/>
          <w:sz w:val="21"/>
          <w:szCs w:val="21"/>
          <w:lang w:val="en-US" w:eastAsia="zh-CN"/>
        </w:rPr>
        <w:t>项目的工作人员</w:t>
      </w:r>
      <w:r>
        <w:rPr>
          <w:rFonts w:hint="eastAsia" w:ascii="宋体" w:hAnsi="宋体" w:cs="宋体"/>
          <w:bCs/>
          <w:sz w:val="21"/>
          <w:szCs w:val="21"/>
          <w:lang w:val="en-US" w:eastAsia="zh-CN"/>
        </w:rPr>
        <w:t>（含运输司机及装卸人员）</w:t>
      </w:r>
      <w:r>
        <w:rPr>
          <w:rFonts w:hint="eastAsia" w:ascii="宋体" w:hAnsi="宋体" w:eastAsia="宋体" w:cs="宋体"/>
          <w:bCs/>
          <w:sz w:val="21"/>
          <w:szCs w:val="21"/>
          <w:lang w:val="en-US" w:eastAsia="zh-CN"/>
        </w:rPr>
        <w:t>购买社保和人身意外伤害保险。在该购买的人身意外伤害保险项下，被保险人因意外伤害死亡时的赔偿金额应不低于人民币120万/人，且保险期限不短于本合同有效期间及本项目</w:t>
      </w:r>
      <w:r>
        <w:rPr>
          <w:rFonts w:hint="eastAsia" w:ascii="宋体" w:hAnsi="宋体" w:cs="宋体"/>
          <w:bCs/>
          <w:sz w:val="21"/>
          <w:szCs w:val="21"/>
          <w:lang w:val="en-US" w:eastAsia="zh-CN"/>
        </w:rPr>
        <w:t>实际服务期。成交人在合同签订后7个工作日内须向采购人提供相关的保险购买证明材料。</w:t>
      </w:r>
    </w:p>
    <w:p w14:paraId="5EF56C9D">
      <w:pPr>
        <w:rPr>
          <w:rFonts w:hint="eastAsia" w:ascii="宋体" w:hAnsi="宋体" w:eastAsia="宋体" w:cs="宋体"/>
          <w:color w:val="auto"/>
          <w:sz w:val="28"/>
          <w:szCs w:val="28"/>
          <w:highlight w:val="none"/>
        </w:rPr>
      </w:pPr>
      <w:r>
        <w:rPr>
          <w:rFonts w:hint="eastAsia" w:ascii="宋体" w:hAnsi="宋体" w:eastAsia="宋体" w:cs="宋体"/>
          <w:b/>
          <w:color w:val="auto"/>
          <w:kern w:val="2"/>
          <w:szCs w:val="21"/>
          <w:highlight w:val="none"/>
        </w:rPr>
        <w:br w:type="page"/>
      </w:r>
    </w:p>
    <w:p w14:paraId="5FC5D484">
      <w:pPr>
        <w:pStyle w:val="3"/>
        <w:spacing w:before="0" w:after="0" w:line="240" w:lineRule="auto"/>
        <w:rPr>
          <w:rFonts w:hint="eastAsia" w:ascii="宋体" w:hAnsi="宋体" w:eastAsia="宋体" w:cs="宋体"/>
          <w:color w:val="auto"/>
          <w:sz w:val="24"/>
          <w:szCs w:val="24"/>
          <w:highlight w:val="none"/>
        </w:rPr>
      </w:pPr>
      <w:bookmarkStart w:id="28" w:name="_Toc29961"/>
      <w:bookmarkStart w:id="29" w:name="_Toc22182"/>
      <w:r>
        <w:rPr>
          <w:rFonts w:hint="eastAsia" w:ascii="宋体" w:hAnsi="宋体" w:eastAsia="宋体" w:cs="宋体"/>
          <w:color w:val="auto"/>
          <w:sz w:val="28"/>
          <w:szCs w:val="28"/>
          <w:highlight w:val="none"/>
        </w:rPr>
        <w:t>第四部分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投标人须知</w:t>
      </w:r>
      <w:bookmarkEnd w:id="28"/>
      <w:bookmarkEnd w:id="29"/>
    </w:p>
    <w:p w14:paraId="10AABF69">
      <w:pPr>
        <w:pStyle w:val="4"/>
        <w:numPr>
          <w:ilvl w:val="0"/>
          <w:numId w:val="3"/>
        </w:numPr>
        <w:spacing w:before="0" w:after="0" w:line="480" w:lineRule="auto"/>
        <w:jc w:val="center"/>
        <w:rPr>
          <w:rFonts w:hint="eastAsia" w:ascii="宋体" w:hAnsi="宋体" w:eastAsia="宋体" w:cs="宋体"/>
          <w:color w:val="auto"/>
          <w:highlight w:val="none"/>
        </w:rPr>
      </w:pPr>
      <w:bookmarkStart w:id="30" w:name="_Toc13491"/>
      <w:bookmarkStart w:id="31" w:name="_Toc27713"/>
      <w:r>
        <w:rPr>
          <w:rFonts w:hint="eastAsia" w:ascii="宋体" w:hAnsi="宋体" w:eastAsia="宋体" w:cs="宋体"/>
          <w:color w:val="auto"/>
          <w:highlight w:val="none"/>
        </w:rPr>
        <w:t>说明</w:t>
      </w:r>
      <w:bookmarkEnd w:id="30"/>
      <w:bookmarkEnd w:id="31"/>
    </w:p>
    <w:p w14:paraId="5AFEB613">
      <w:pPr>
        <w:pStyle w:val="5"/>
        <w:widowControl w:val="0"/>
        <w:numPr>
          <w:ilvl w:val="0"/>
          <w:numId w:val="0"/>
        </w:numPr>
        <w:overflowPunct w:val="0"/>
        <w:ind w:left="425" w:leftChars="0" w:hanging="425" w:firstLineChars="0"/>
        <w:rPr>
          <w:rFonts w:hint="eastAsia" w:ascii="宋体" w:hAnsi="宋体" w:eastAsia="宋体" w:cs="宋体"/>
          <w:color w:val="auto"/>
          <w:sz w:val="21"/>
          <w:szCs w:val="21"/>
          <w:highlight w:val="none"/>
        </w:rPr>
      </w:pPr>
      <w:bookmarkStart w:id="32" w:name="_Toc26172"/>
      <w:bookmarkStart w:id="33" w:name="_Toc24033"/>
      <w:r>
        <w:rPr>
          <w:rFonts w:hint="default" w:ascii="宋体" w:hAnsi="宋体" w:eastAsia="宋体" w:cs="宋体"/>
          <w:b/>
          <w:bCs/>
          <w:color w:val="auto"/>
          <w:sz w:val="21"/>
          <w:szCs w:val="21"/>
          <w:lang w:val="en-US" w:eastAsia="zh-CN" w:bidi="ar-SA"/>
        </w:rPr>
        <w:t>1.</w:t>
      </w:r>
      <w:r>
        <w:rPr>
          <w:rFonts w:hint="eastAsia" w:ascii="宋体" w:hAnsi="宋体" w:eastAsia="宋体" w:cs="宋体"/>
          <w:color w:val="auto"/>
          <w:sz w:val="21"/>
          <w:szCs w:val="21"/>
          <w:highlight w:val="none"/>
        </w:rPr>
        <w:t>适用范围</w:t>
      </w:r>
      <w:bookmarkEnd w:id="32"/>
      <w:bookmarkEnd w:id="33"/>
    </w:p>
    <w:p w14:paraId="047B1BC1">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1.1.</w:t>
      </w:r>
      <w:r>
        <w:rPr>
          <w:rFonts w:hint="eastAsia" w:ascii="宋体" w:hAnsi="宋体" w:eastAsia="宋体" w:cs="宋体"/>
          <w:color w:val="auto"/>
          <w:szCs w:val="21"/>
          <w:highlight w:val="none"/>
        </w:rPr>
        <w:t>采购范围：见本文件《用户需求书》</w:t>
      </w:r>
    </w:p>
    <w:p w14:paraId="3ED6BDBE">
      <w:pPr>
        <w:rPr>
          <w:rFonts w:hint="eastAsia" w:ascii="宋体" w:hAnsi="宋体" w:eastAsia="宋体" w:cs="宋体"/>
          <w:color w:val="auto"/>
          <w:highlight w:val="none"/>
        </w:rPr>
      </w:pPr>
    </w:p>
    <w:p w14:paraId="59A19ECA">
      <w:pPr>
        <w:pStyle w:val="5"/>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34" w:name="_Toc32724"/>
      <w:bookmarkStart w:id="35" w:name="_Toc303084246"/>
      <w:bookmarkStart w:id="36" w:name="_Toc298847174"/>
      <w:bookmarkStart w:id="37" w:name="_Toc1530"/>
      <w:bookmarkStart w:id="38" w:name="_Toc12935"/>
      <w:bookmarkStart w:id="39" w:name="_Toc382049092"/>
      <w:r>
        <w:rPr>
          <w:rFonts w:hint="default" w:ascii="宋体" w:hAnsi="宋体" w:eastAsia="宋体" w:cs="宋体"/>
          <w:b/>
          <w:bCs/>
          <w:vanish/>
          <w:color w:val="auto"/>
          <w:sz w:val="24"/>
          <w:szCs w:val="21"/>
          <w:lang w:val="en-US" w:eastAsia="zh-CN" w:bidi="ar-SA"/>
        </w:rPr>
        <w:t>2.</w:t>
      </w:r>
      <w:r>
        <w:rPr>
          <w:rFonts w:hint="eastAsia" w:ascii="宋体" w:hAnsi="宋体" w:eastAsia="宋体" w:cs="宋体"/>
          <w:color w:val="auto"/>
          <w:sz w:val="21"/>
          <w:szCs w:val="21"/>
          <w:highlight w:val="none"/>
        </w:rPr>
        <w:t>定义</w:t>
      </w:r>
      <w:bookmarkEnd w:id="34"/>
      <w:bookmarkEnd w:id="35"/>
      <w:bookmarkEnd w:id="36"/>
      <w:bookmarkEnd w:id="37"/>
      <w:bookmarkEnd w:id="38"/>
      <w:bookmarkEnd w:id="39"/>
    </w:p>
    <w:p w14:paraId="35793855">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2.1.</w:t>
      </w:r>
      <w:r>
        <w:rPr>
          <w:rFonts w:hint="eastAsia" w:ascii="宋体" w:hAnsi="宋体" w:eastAsia="宋体" w:cs="宋体"/>
          <w:color w:val="auto"/>
          <w:szCs w:val="21"/>
          <w:highlight w:val="none"/>
        </w:rPr>
        <w:t>采购人：见投标邀请书。</w:t>
      </w:r>
    </w:p>
    <w:p w14:paraId="208FEBB7">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2.2.</w:t>
      </w:r>
      <w:r>
        <w:rPr>
          <w:rFonts w:hint="eastAsia" w:ascii="宋体" w:hAnsi="宋体" w:eastAsia="宋体" w:cs="宋体"/>
          <w:color w:val="auto"/>
          <w:szCs w:val="21"/>
          <w:highlight w:val="none"/>
        </w:rPr>
        <w:t>投标人：响应采购并且符合采购文件规定资格条件和参加投标竞争的法人、其他组织或者自然人。</w:t>
      </w:r>
    </w:p>
    <w:p w14:paraId="7377F50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2.3.</w:t>
      </w:r>
      <w:r>
        <w:rPr>
          <w:rFonts w:hint="eastAsia" w:ascii="宋体" w:hAnsi="宋体" w:eastAsia="宋体" w:cs="宋体"/>
          <w:color w:val="auto"/>
          <w:szCs w:val="21"/>
          <w:highlight w:val="none"/>
        </w:rPr>
        <w:t>法人：法人是依法在国内进行注册并具有民事权利能力和民事行为能力，依法独立享有民事权利和承担民事义务的组织。</w:t>
      </w:r>
    </w:p>
    <w:p w14:paraId="5FD91DE7">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2.4.</w:t>
      </w:r>
      <w:r>
        <w:rPr>
          <w:rFonts w:hint="eastAsia" w:ascii="宋体" w:hAnsi="宋体" w:eastAsia="宋体" w:cs="宋体"/>
          <w:color w:val="auto"/>
          <w:szCs w:val="21"/>
          <w:highlight w:val="none"/>
        </w:rPr>
        <w:t>中标人：指经评标委员会评审推荐、采购人确认的获得本项目中标资格的投标人。</w:t>
      </w:r>
    </w:p>
    <w:p w14:paraId="0355CDAE">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2.5.</w:t>
      </w:r>
      <w:r>
        <w:rPr>
          <w:rFonts w:hint="eastAsia" w:ascii="宋体" w:hAnsi="宋体" w:eastAsia="宋体" w:cs="宋体"/>
          <w:color w:val="auto"/>
          <w:szCs w:val="21"/>
          <w:highlight w:val="none"/>
        </w:rPr>
        <w:t>采购代理机构：见投标邀请书。</w:t>
      </w:r>
    </w:p>
    <w:p w14:paraId="00A29C70">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2.6.</w:t>
      </w:r>
      <w:r>
        <w:rPr>
          <w:rFonts w:hint="eastAsia" w:ascii="宋体" w:hAnsi="宋体" w:eastAsia="宋体" w:cs="宋体"/>
          <w:color w:val="auto"/>
          <w:szCs w:val="21"/>
          <w:highlight w:val="none"/>
        </w:rPr>
        <w:t>评标委员会：评标委员会是依据相关规定组建的专门负责本次采购其评标工作的临时性机构。</w:t>
      </w:r>
    </w:p>
    <w:p w14:paraId="1C10C4B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2.7.</w:t>
      </w:r>
      <w:r>
        <w:rPr>
          <w:rFonts w:hint="eastAsia" w:ascii="宋体" w:hAnsi="宋体" w:eastAsia="宋体" w:cs="宋体"/>
          <w:color w:val="auto"/>
          <w:szCs w:val="21"/>
          <w:highlight w:val="none"/>
        </w:rPr>
        <w:t>合同：指由本次采购所产生的合同或合约文件。</w:t>
      </w:r>
    </w:p>
    <w:p w14:paraId="66DFE99F">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2.8.</w:t>
      </w:r>
      <w:r>
        <w:rPr>
          <w:rFonts w:hint="eastAsia" w:ascii="宋体" w:hAnsi="宋体" w:eastAsia="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71A6EFAA">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2.9.</w:t>
      </w:r>
      <w:r>
        <w:rPr>
          <w:rFonts w:hint="eastAsia" w:ascii="宋体" w:hAnsi="宋体" w:eastAsia="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3F40D584">
      <w:pPr>
        <w:rPr>
          <w:rFonts w:hint="eastAsia" w:ascii="宋体" w:hAnsi="宋体" w:eastAsia="宋体" w:cs="宋体"/>
          <w:color w:val="auto"/>
          <w:highlight w:val="none"/>
        </w:rPr>
      </w:pPr>
    </w:p>
    <w:p w14:paraId="432ED375">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40" w:name="_Toc27125"/>
      <w:bookmarkStart w:id="41" w:name="_Toc13475"/>
      <w:r>
        <w:rPr>
          <w:rFonts w:hint="default" w:ascii="宋体" w:hAnsi="宋体" w:eastAsia="宋体" w:cs="宋体"/>
          <w:b/>
          <w:bCs/>
          <w:vanish/>
          <w:color w:val="auto"/>
          <w:sz w:val="24"/>
          <w:szCs w:val="21"/>
          <w:lang w:val="en-US" w:eastAsia="zh-CN" w:bidi="ar-SA"/>
        </w:rPr>
        <w:t>3.</w:t>
      </w:r>
      <w:r>
        <w:rPr>
          <w:rFonts w:hint="eastAsia" w:ascii="宋体" w:hAnsi="宋体" w:eastAsia="宋体" w:cs="宋体"/>
          <w:color w:val="auto"/>
          <w:sz w:val="21"/>
          <w:szCs w:val="21"/>
          <w:highlight w:val="none"/>
        </w:rPr>
        <w:t>货物和服务</w:t>
      </w:r>
      <w:bookmarkEnd w:id="40"/>
      <w:bookmarkEnd w:id="41"/>
    </w:p>
    <w:p w14:paraId="0AA2C3DD">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3.1.</w:t>
      </w:r>
      <w:r>
        <w:rPr>
          <w:rFonts w:hint="eastAsia" w:ascii="宋体" w:hAnsi="宋体" w:eastAsia="宋体" w:cs="宋体"/>
          <w:color w:val="auto"/>
          <w:szCs w:val="21"/>
          <w:highlight w:val="none"/>
        </w:rPr>
        <w:t>货物是指各种形态和种类的物品，包括原材料、燃料、设备、产品等。</w:t>
      </w:r>
    </w:p>
    <w:p w14:paraId="1C954E4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3.2.</w:t>
      </w:r>
      <w:r>
        <w:rPr>
          <w:rFonts w:hint="eastAsia" w:ascii="宋体" w:hAnsi="宋体" w:eastAsia="宋体" w:cs="宋体"/>
          <w:color w:val="auto"/>
          <w:szCs w:val="21"/>
          <w:highlight w:val="none"/>
        </w:rPr>
        <w:t>服务是指除货物和工程以外的其他采购对象。</w:t>
      </w:r>
    </w:p>
    <w:p w14:paraId="37BA5EA7">
      <w:pPr>
        <w:rPr>
          <w:rFonts w:hint="eastAsia" w:ascii="宋体" w:hAnsi="宋体" w:eastAsia="宋体" w:cs="宋体"/>
          <w:color w:val="auto"/>
          <w:highlight w:val="none"/>
        </w:rPr>
      </w:pPr>
    </w:p>
    <w:p w14:paraId="34FAAA39">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42" w:name="_Toc2272"/>
      <w:bookmarkStart w:id="43" w:name="_Toc29121"/>
      <w:r>
        <w:rPr>
          <w:rFonts w:hint="default" w:ascii="宋体" w:hAnsi="宋体" w:eastAsia="宋体" w:cs="宋体"/>
          <w:b/>
          <w:bCs/>
          <w:vanish/>
          <w:color w:val="auto"/>
          <w:sz w:val="24"/>
          <w:szCs w:val="21"/>
          <w:lang w:val="en-US" w:eastAsia="zh-CN" w:bidi="ar-SA"/>
        </w:rPr>
        <w:t>4.</w:t>
      </w:r>
      <w:r>
        <w:rPr>
          <w:rFonts w:hint="eastAsia" w:ascii="宋体" w:hAnsi="宋体" w:eastAsia="宋体" w:cs="宋体"/>
          <w:color w:val="auto"/>
          <w:sz w:val="21"/>
          <w:szCs w:val="21"/>
          <w:highlight w:val="none"/>
        </w:rPr>
        <w:t>投标费用</w:t>
      </w:r>
      <w:bookmarkEnd w:id="42"/>
      <w:bookmarkEnd w:id="43"/>
    </w:p>
    <w:p w14:paraId="4F5FB7D7">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4.1.</w:t>
      </w:r>
      <w:r>
        <w:rPr>
          <w:rFonts w:hint="eastAsia" w:ascii="宋体" w:hAnsi="宋体" w:eastAsia="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2A25ECA6">
      <w:pPr>
        <w:widowControl w:val="0"/>
        <w:adjustRightInd/>
        <w:snapToGrid/>
        <w:jc w:val="both"/>
        <w:rPr>
          <w:rFonts w:hint="eastAsia" w:ascii="宋体" w:hAnsi="宋体" w:eastAsia="宋体" w:cs="宋体"/>
          <w:color w:val="auto"/>
          <w:szCs w:val="21"/>
          <w:highlight w:val="none"/>
        </w:rPr>
      </w:pPr>
    </w:p>
    <w:p w14:paraId="36DA294C">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44" w:name="_Toc3547"/>
      <w:bookmarkStart w:id="45" w:name="_Toc9607"/>
      <w:r>
        <w:rPr>
          <w:rFonts w:hint="default" w:ascii="宋体" w:hAnsi="宋体" w:eastAsia="宋体" w:cs="宋体"/>
          <w:b/>
          <w:bCs/>
          <w:vanish/>
          <w:color w:val="auto"/>
          <w:sz w:val="24"/>
          <w:szCs w:val="21"/>
          <w:lang w:val="en-US" w:eastAsia="zh-CN" w:bidi="ar-SA"/>
        </w:rPr>
        <w:t>5.</w:t>
      </w:r>
      <w:r>
        <w:rPr>
          <w:rFonts w:hint="eastAsia" w:ascii="宋体" w:hAnsi="宋体" w:eastAsia="宋体" w:cs="宋体"/>
          <w:color w:val="auto"/>
          <w:sz w:val="21"/>
          <w:szCs w:val="21"/>
          <w:highlight w:val="none"/>
        </w:rPr>
        <w:t>知识产权</w:t>
      </w:r>
      <w:bookmarkEnd w:id="44"/>
      <w:bookmarkEnd w:id="45"/>
    </w:p>
    <w:p w14:paraId="177198EA">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5.1.</w:t>
      </w:r>
      <w:r>
        <w:rPr>
          <w:rFonts w:hint="eastAsia" w:ascii="宋体" w:hAnsi="宋体" w:eastAsia="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248648A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5.2.</w:t>
      </w:r>
      <w:r>
        <w:rPr>
          <w:rFonts w:hint="eastAsia" w:ascii="宋体" w:hAnsi="宋体" w:eastAsia="宋体" w:cs="宋体"/>
          <w:color w:val="auto"/>
          <w:szCs w:val="21"/>
          <w:highlight w:val="none"/>
        </w:rPr>
        <w:t>采购人享有本项目实施过程中产生的知识成果及知识产权。</w:t>
      </w:r>
    </w:p>
    <w:p w14:paraId="6A694B75">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5.3.</w:t>
      </w:r>
      <w:r>
        <w:rPr>
          <w:rFonts w:hint="eastAsia" w:ascii="宋体" w:hAnsi="宋体" w:eastAsia="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66F40C7E">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5.4.</w:t>
      </w:r>
      <w:r>
        <w:rPr>
          <w:rFonts w:hint="eastAsia" w:ascii="宋体" w:hAnsi="宋体" w:eastAsia="宋体" w:cs="宋体"/>
          <w:color w:val="auto"/>
          <w:szCs w:val="21"/>
          <w:highlight w:val="none"/>
        </w:rPr>
        <w:t>采购货物为计算机办公设备时，投标人提供的产品必须是预装正版操作系统软件的计算机产品。</w:t>
      </w:r>
    </w:p>
    <w:p w14:paraId="46D68A95">
      <w:pPr>
        <w:widowControl w:val="0"/>
        <w:adjustRightInd/>
        <w:snapToGrid/>
        <w:ind w:left="567"/>
        <w:jc w:val="both"/>
        <w:rPr>
          <w:rFonts w:hint="eastAsia" w:ascii="宋体" w:hAnsi="宋体" w:eastAsia="宋体" w:cs="宋体"/>
          <w:color w:val="auto"/>
          <w:szCs w:val="21"/>
          <w:highlight w:val="none"/>
        </w:rPr>
      </w:pPr>
    </w:p>
    <w:p w14:paraId="33D8380B">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46" w:name="_Toc26720"/>
      <w:bookmarkStart w:id="47" w:name="_Toc11466"/>
      <w:r>
        <w:rPr>
          <w:rFonts w:hint="default" w:ascii="宋体" w:hAnsi="宋体" w:eastAsia="宋体" w:cs="宋体"/>
          <w:b/>
          <w:bCs/>
          <w:vanish/>
          <w:color w:val="auto"/>
          <w:sz w:val="24"/>
          <w:szCs w:val="21"/>
          <w:lang w:val="en-US" w:eastAsia="zh-CN" w:bidi="ar-SA"/>
        </w:rPr>
        <w:t>6.</w:t>
      </w:r>
      <w:r>
        <w:rPr>
          <w:rFonts w:hint="eastAsia" w:ascii="宋体" w:hAnsi="宋体" w:eastAsia="宋体" w:cs="宋体"/>
          <w:color w:val="auto"/>
          <w:sz w:val="21"/>
          <w:szCs w:val="21"/>
          <w:highlight w:val="none"/>
        </w:rPr>
        <w:t>关于联合体投标</w:t>
      </w:r>
      <w:bookmarkEnd w:id="46"/>
      <w:bookmarkEnd w:id="47"/>
    </w:p>
    <w:p w14:paraId="5FE298AF">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6.1.</w:t>
      </w:r>
      <w:r>
        <w:rPr>
          <w:rFonts w:hint="eastAsia" w:ascii="宋体" w:hAnsi="宋体" w:eastAsia="宋体" w:cs="宋体"/>
          <w:color w:val="auto"/>
          <w:szCs w:val="21"/>
          <w:highlight w:val="none"/>
        </w:rPr>
        <w:t>对接受联合体投标的项目：两个以上的自然人、法人或者其他组织可以组成一个联合体，以一个投标人的身份共同参加采购活动。</w:t>
      </w:r>
    </w:p>
    <w:p w14:paraId="6F3B04C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6.2.</w:t>
      </w:r>
      <w:r>
        <w:rPr>
          <w:rFonts w:hint="eastAsia" w:ascii="宋体" w:hAnsi="宋体" w:eastAsia="宋体" w:cs="宋体"/>
          <w:color w:val="auto"/>
          <w:szCs w:val="21"/>
          <w:highlight w:val="none"/>
        </w:rPr>
        <w:t>以联合体形式参与项目的供应商在领购采购文件时，应提供所有联合体组成成员的营业执照复印件，并加盖各联合体组成成员的公章。</w:t>
      </w:r>
    </w:p>
    <w:p w14:paraId="647A416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6.3.</w:t>
      </w:r>
      <w:r>
        <w:rPr>
          <w:rFonts w:hint="eastAsia" w:ascii="宋体" w:hAnsi="宋体" w:eastAsia="宋体" w:cs="宋体"/>
          <w:color w:val="auto"/>
          <w:szCs w:val="21"/>
          <w:highlight w:val="none"/>
        </w:rPr>
        <w:t>联合体各方均应具有独立承担民事责任能力的法人或其他组织。</w:t>
      </w:r>
    </w:p>
    <w:p w14:paraId="0B798A11">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6.4.</w:t>
      </w:r>
      <w:r>
        <w:rPr>
          <w:rFonts w:hint="eastAsia" w:ascii="宋体" w:hAnsi="宋体" w:eastAsia="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6DAE36C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6.5.</w:t>
      </w:r>
      <w:r>
        <w:rPr>
          <w:rFonts w:hint="eastAsia" w:ascii="宋体" w:hAnsi="宋体" w:eastAsia="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070B7578">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6.6.</w:t>
      </w:r>
      <w:r>
        <w:rPr>
          <w:rFonts w:hint="eastAsia" w:ascii="宋体" w:hAnsi="宋体" w:eastAsia="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79E2216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6.7.</w:t>
      </w:r>
      <w:r>
        <w:rPr>
          <w:rFonts w:hint="eastAsia" w:ascii="宋体" w:hAnsi="宋体" w:eastAsia="宋体" w:cs="宋体"/>
          <w:color w:val="auto"/>
          <w:szCs w:val="21"/>
          <w:highlight w:val="none"/>
        </w:rPr>
        <w:t>供应商为联合体的，可以由联合体中的任意一方交纳保证金，其交纳的保证金对联合体各方均具有约束力。</w:t>
      </w:r>
    </w:p>
    <w:p w14:paraId="204D7E2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6.8.</w:t>
      </w:r>
      <w:r>
        <w:rPr>
          <w:rFonts w:hint="eastAsia" w:ascii="宋体" w:hAnsi="宋体" w:eastAsia="宋体" w:cs="宋体"/>
          <w:color w:val="auto"/>
          <w:szCs w:val="21"/>
          <w:highlight w:val="none"/>
        </w:rPr>
        <w:t>除联合体协议明确授权盖章单位外，联合体投标时投标文件中所有要求盖章的地方均须加盖联合体所有组成成员的公章，否则该处盖章无效。</w:t>
      </w:r>
    </w:p>
    <w:p w14:paraId="1FE85EE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6.9.</w:t>
      </w:r>
      <w:r>
        <w:rPr>
          <w:rFonts w:hint="eastAsia" w:ascii="宋体" w:hAnsi="宋体" w:eastAsia="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2B5090DD">
      <w:pPr>
        <w:widowControl w:val="0"/>
        <w:adjustRightInd/>
        <w:snapToGrid/>
        <w:ind w:left="567"/>
        <w:jc w:val="both"/>
        <w:rPr>
          <w:rFonts w:hint="eastAsia" w:ascii="宋体" w:hAnsi="宋体" w:eastAsia="宋体" w:cs="宋体"/>
          <w:color w:val="auto"/>
          <w:szCs w:val="21"/>
          <w:highlight w:val="none"/>
        </w:rPr>
      </w:pPr>
    </w:p>
    <w:p w14:paraId="721BE472">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48" w:name="_Toc28044"/>
      <w:bookmarkStart w:id="49" w:name="_Toc1603"/>
      <w:r>
        <w:rPr>
          <w:rFonts w:hint="default" w:ascii="宋体" w:hAnsi="宋体" w:eastAsia="宋体" w:cs="宋体"/>
          <w:b/>
          <w:bCs/>
          <w:vanish/>
          <w:color w:val="auto"/>
          <w:sz w:val="24"/>
          <w:szCs w:val="21"/>
          <w:lang w:val="en-US" w:eastAsia="zh-CN" w:bidi="ar-SA"/>
        </w:rPr>
        <w:t>7.</w:t>
      </w:r>
      <w:r>
        <w:rPr>
          <w:rFonts w:hint="eastAsia" w:ascii="宋体" w:hAnsi="宋体" w:eastAsia="宋体" w:cs="宋体"/>
          <w:color w:val="auto"/>
          <w:sz w:val="21"/>
          <w:szCs w:val="21"/>
          <w:highlight w:val="none"/>
        </w:rPr>
        <w:t>关于分支机构投标</w:t>
      </w:r>
      <w:bookmarkEnd w:id="48"/>
      <w:bookmarkEnd w:id="49"/>
      <w:bookmarkStart w:id="50" w:name="EB389f116341dd4693875bc7987e7327f3"/>
    </w:p>
    <w:p w14:paraId="03B3572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7.1.</w:t>
      </w:r>
      <w:r>
        <w:rPr>
          <w:rFonts w:hint="eastAsia" w:ascii="宋体" w:hAnsi="宋体" w:eastAsia="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50"/>
    </w:p>
    <w:p w14:paraId="608BF8F7">
      <w:pPr>
        <w:widowControl w:val="0"/>
        <w:adjustRightInd/>
        <w:snapToGrid/>
        <w:ind w:left="567"/>
        <w:jc w:val="both"/>
        <w:rPr>
          <w:rFonts w:hint="eastAsia" w:ascii="宋体" w:hAnsi="宋体" w:eastAsia="宋体" w:cs="宋体"/>
          <w:color w:val="auto"/>
          <w:szCs w:val="21"/>
          <w:highlight w:val="none"/>
        </w:rPr>
      </w:pPr>
    </w:p>
    <w:p w14:paraId="56CB4587">
      <w:pPr>
        <w:pStyle w:val="5"/>
        <w:widowControl w:val="0"/>
        <w:numPr>
          <w:ilvl w:val="0"/>
          <w:numId w:val="0"/>
        </w:numPr>
        <w:overflowPunct w:val="0"/>
        <w:ind w:left="425" w:leftChars="0" w:hanging="425" w:firstLineChars="0"/>
        <w:rPr>
          <w:rFonts w:hint="eastAsia" w:ascii="宋体" w:hAnsi="宋体" w:eastAsia="宋体" w:cs="宋体"/>
          <w:color w:val="auto"/>
          <w:sz w:val="21"/>
          <w:szCs w:val="21"/>
          <w:highlight w:val="none"/>
        </w:rPr>
      </w:pPr>
      <w:bookmarkStart w:id="51" w:name="_Toc13953"/>
      <w:bookmarkStart w:id="52" w:name="_Toc7429"/>
      <w:r>
        <w:rPr>
          <w:rFonts w:hint="default" w:ascii="宋体" w:hAnsi="宋体" w:eastAsia="宋体" w:cs="宋体"/>
          <w:b/>
          <w:bCs/>
          <w:color w:val="auto"/>
          <w:sz w:val="21"/>
          <w:szCs w:val="21"/>
          <w:lang w:val="en-US" w:eastAsia="zh-CN" w:bidi="ar-SA"/>
        </w:rPr>
        <w:t>8.</w:t>
      </w:r>
      <w:r>
        <w:rPr>
          <w:rFonts w:hint="eastAsia" w:ascii="宋体" w:hAnsi="宋体" w:eastAsia="宋体" w:cs="宋体"/>
          <w:color w:val="auto"/>
          <w:sz w:val="21"/>
          <w:szCs w:val="21"/>
          <w:highlight w:val="none"/>
        </w:rPr>
        <w:t>踏勘现场</w:t>
      </w:r>
      <w:bookmarkEnd w:id="51"/>
      <w:bookmarkEnd w:id="52"/>
    </w:p>
    <w:p w14:paraId="450D617E">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8.1.</w:t>
      </w:r>
      <w:r>
        <w:rPr>
          <w:rFonts w:hint="eastAsia" w:ascii="宋体" w:hAnsi="宋体" w:eastAsia="宋体" w:cs="宋体"/>
          <w:color w:val="auto"/>
          <w:szCs w:val="21"/>
          <w:highlight w:val="none"/>
        </w:rPr>
        <w:t>《投标资料表》规定组织踏勘现场的，采购人按《投标资料表》规定的时间、地点组织响应人踏勘项目现场；</w:t>
      </w:r>
    </w:p>
    <w:p w14:paraId="09F3E86B">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8.2.</w:t>
      </w:r>
      <w:r>
        <w:rPr>
          <w:rFonts w:hint="eastAsia" w:ascii="宋体" w:hAnsi="宋体" w:eastAsia="宋体" w:cs="宋体"/>
          <w:color w:val="auto"/>
          <w:szCs w:val="21"/>
          <w:highlight w:val="none"/>
        </w:rPr>
        <w:t>响应人踏勘现场发生的费用自理；</w:t>
      </w:r>
    </w:p>
    <w:p w14:paraId="3D0DA9F1">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8.3.</w:t>
      </w:r>
      <w:r>
        <w:rPr>
          <w:rFonts w:hint="eastAsia" w:ascii="宋体" w:hAnsi="宋体" w:eastAsia="宋体" w:cs="宋体"/>
          <w:color w:val="auto"/>
          <w:szCs w:val="21"/>
          <w:highlight w:val="none"/>
        </w:rPr>
        <w:t>除采购人的原因外，响应人自行负责在踏勘现场中所发生的人员伤亡和财产损失；</w:t>
      </w:r>
    </w:p>
    <w:p w14:paraId="36BDFD21">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8.4.</w:t>
      </w:r>
      <w:r>
        <w:rPr>
          <w:rFonts w:hint="eastAsia" w:ascii="宋体" w:hAnsi="宋体" w:eastAsia="宋体" w:cs="宋体"/>
          <w:color w:val="auto"/>
          <w:szCs w:val="21"/>
          <w:highlight w:val="none"/>
        </w:rPr>
        <w:t>采购人在踏勘现场中介绍的实施地点和相关的周边环境情况，供响应人在编制响应文件时参考，采购人不对响应人据此作出的判断和决策负责；</w:t>
      </w:r>
    </w:p>
    <w:p w14:paraId="54952FAE">
      <w:pPr>
        <w:rPr>
          <w:rFonts w:hint="eastAsia" w:ascii="宋体" w:hAnsi="宋体" w:eastAsia="宋体" w:cs="宋体"/>
          <w:color w:val="auto"/>
          <w:highlight w:val="none"/>
        </w:rPr>
      </w:pPr>
    </w:p>
    <w:p w14:paraId="7E397467">
      <w:pPr>
        <w:pStyle w:val="4"/>
        <w:numPr>
          <w:ilvl w:val="0"/>
          <w:numId w:val="3"/>
        </w:numPr>
        <w:spacing w:before="0" w:after="0" w:line="360" w:lineRule="auto"/>
        <w:jc w:val="center"/>
        <w:rPr>
          <w:rFonts w:hint="eastAsia" w:ascii="宋体" w:hAnsi="宋体" w:eastAsia="宋体" w:cs="宋体"/>
          <w:color w:val="auto"/>
          <w:highlight w:val="none"/>
        </w:rPr>
      </w:pPr>
      <w:bookmarkStart w:id="53" w:name="_Toc4226"/>
      <w:bookmarkStart w:id="54" w:name="_Toc6667"/>
      <w:r>
        <w:rPr>
          <w:rFonts w:hint="eastAsia" w:ascii="宋体" w:hAnsi="宋体" w:eastAsia="宋体" w:cs="宋体"/>
          <w:color w:val="auto"/>
          <w:highlight w:val="none"/>
        </w:rPr>
        <w:t>采购文件</w:t>
      </w:r>
      <w:bookmarkEnd w:id="53"/>
      <w:bookmarkEnd w:id="54"/>
    </w:p>
    <w:p w14:paraId="36B37788">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55" w:name="_Toc26882"/>
      <w:bookmarkStart w:id="56" w:name="_Toc7836"/>
      <w:r>
        <w:rPr>
          <w:rFonts w:hint="default" w:ascii="宋体" w:hAnsi="宋体" w:eastAsia="宋体" w:cs="宋体"/>
          <w:b/>
          <w:bCs/>
          <w:vanish/>
          <w:color w:val="auto"/>
          <w:sz w:val="24"/>
          <w:szCs w:val="21"/>
          <w:lang w:val="en-US" w:eastAsia="zh-CN" w:bidi="ar-SA"/>
        </w:rPr>
        <w:t>9.</w:t>
      </w:r>
      <w:r>
        <w:rPr>
          <w:rFonts w:hint="eastAsia" w:ascii="宋体" w:hAnsi="宋体" w:eastAsia="宋体" w:cs="宋体"/>
          <w:color w:val="auto"/>
          <w:sz w:val="21"/>
          <w:szCs w:val="21"/>
          <w:highlight w:val="none"/>
        </w:rPr>
        <w:t>采购文件的组成</w:t>
      </w:r>
      <w:bookmarkEnd w:id="55"/>
      <w:bookmarkEnd w:id="56"/>
    </w:p>
    <w:p w14:paraId="60776EF5">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9.1.</w:t>
      </w:r>
      <w:r>
        <w:rPr>
          <w:rFonts w:hint="eastAsia" w:ascii="宋体" w:hAnsi="宋体" w:eastAsia="宋体" w:cs="宋体"/>
          <w:color w:val="auto"/>
          <w:szCs w:val="21"/>
          <w:highlight w:val="none"/>
        </w:rPr>
        <w:t>采购文件包括：</w:t>
      </w:r>
    </w:p>
    <w:p w14:paraId="5B2D7C8E">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（1）投标邀请书；</w:t>
      </w:r>
    </w:p>
    <w:p w14:paraId="24072649">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（2）投标资料表；</w:t>
      </w:r>
    </w:p>
    <w:p w14:paraId="5959C09B">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（3）用户需求书；</w:t>
      </w:r>
    </w:p>
    <w:p w14:paraId="59463A58">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（4）投标人须知；</w:t>
      </w:r>
    </w:p>
    <w:p w14:paraId="6F28F117">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14:paraId="7D55A0C4">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256F69BD">
      <w:pPr>
        <w:widowControl w:val="0"/>
        <w:numPr>
          <w:ilvl w:val="0"/>
          <w:numId w:val="0"/>
        </w:numP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（7）在采购过程中由采购代理机构发出的澄清更正文件等。</w:t>
      </w:r>
    </w:p>
    <w:p w14:paraId="39B8FBB9">
      <w:pPr>
        <w:rPr>
          <w:rFonts w:hint="eastAsia" w:ascii="宋体" w:hAnsi="宋体" w:eastAsia="宋体" w:cs="宋体"/>
          <w:color w:val="auto"/>
          <w:highlight w:val="none"/>
        </w:rPr>
      </w:pPr>
    </w:p>
    <w:p w14:paraId="2057BD1D">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57" w:name="_Toc1069"/>
      <w:bookmarkStart w:id="58" w:name="_Toc30700"/>
      <w:r>
        <w:rPr>
          <w:rFonts w:hint="default" w:ascii="宋体" w:hAnsi="宋体" w:eastAsia="宋体" w:cs="宋体"/>
          <w:b/>
          <w:bCs/>
          <w:vanish/>
          <w:color w:val="auto"/>
          <w:sz w:val="24"/>
          <w:szCs w:val="21"/>
          <w:lang w:val="en-US" w:eastAsia="zh-CN" w:bidi="ar-SA"/>
        </w:rPr>
        <w:t>10.</w:t>
      </w:r>
      <w:r>
        <w:rPr>
          <w:rFonts w:hint="eastAsia" w:ascii="宋体" w:hAnsi="宋体" w:eastAsia="宋体" w:cs="宋体"/>
          <w:color w:val="auto"/>
          <w:sz w:val="21"/>
          <w:szCs w:val="21"/>
          <w:highlight w:val="none"/>
        </w:rPr>
        <w:t>采购文件的澄清或修改</w:t>
      </w:r>
      <w:bookmarkEnd w:id="57"/>
      <w:bookmarkEnd w:id="58"/>
    </w:p>
    <w:p w14:paraId="4C066688">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10.1.</w:t>
      </w:r>
      <w:r>
        <w:rPr>
          <w:rFonts w:hint="eastAsia" w:ascii="宋体" w:hAnsi="宋体" w:eastAsia="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2A2C7D8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10.2.</w:t>
      </w:r>
      <w:r>
        <w:rPr>
          <w:rFonts w:hint="eastAsia" w:ascii="宋体" w:hAnsi="宋体" w:eastAsia="宋体" w:cs="宋体"/>
          <w:b/>
          <w:bCs/>
          <w:color w:val="auto"/>
          <w:szCs w:val="21"/>
          <w:highlight w:val="none"/>
        </w:rPr>
        <w:t>采购期间，投标人有义务上网查看，公告一经上网发布，即视为送达。因投标人未及时上网查看而造成的所有后果，由投标人自行承担。</w:t>
      </w:r>
    </w:p>
    <w:p w14:paraId="6E3E8A88">
      <w:pPr>
        <w:pStyle w:val="4"/>
        <w:numPr>
          <w:ilvl w:val="0"/>
          <w:numId w:val="3"/>
        </w:numPr>
        <w:spacing w:before="0" w:after="0" w:line="360" w:lineRule="auto"/>
        <w:jc w:val="center"/>
        <w:rPr>
          <w:rFonts w:hint="eastAsia" w:ascii="宋体" w:hAnsi="宋体" w:eastAsia="宋体" w:cs="宋体"/>
          <w:color w:val="auto"/>
          <w:highlight w:val="none"/>
        </w:rPr>
      </w:pPr>
      <w:bookmarkStart w:id="59" w:name="_Toc1822"/>
      <w:bookmarkStart w:id="60" w:name="_Toc24096"/>
      <w:r>
        <w:rPr>
          <w:rFonts w:hint="eastAsia" w:ascii="宋体" w:hAnsi="宋体" w:eastAsia="宋体" w:cs="宋体"/>
          <w:color w:val="auto"/>
          <w:highlight w:val="none"/>
        </w:rPr>
        <w:t>投标文件的编制</w:t>
      </w:r>
      <w:bookmarkEnd w:id="59"/>
      <w:bookmarkEnd w:id="60"/>
    </w:p>
    <w:p w14:paraId="15335DE6">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61" w:name="_Toc7703"/>
      <w:bookmarkStart w:id="62" w:name="_Toc31507"/>
      <w:r>
        <w:rPr>
          <w:rFonts w:hint="default" w:ascii="宋体" w:hAnsi="宋体" w:eastAsia="宋体" w:cs="宋体"/>
          <w:b/>
          <w:bCs/>
          <w:vanish/>
          <w:color w:val="auto"/>
          <w:sz w:val="24"/>
          <w:szCs w:val="21"/>
          <w:lang w:val="en-US" w:eastAsia="zh-CN" w:bidi="ar-SA"/>
        </w:rPr>
        <w:t>11.</w:t>
      </w:r>
      <w:r>
        <w:rPr>
          <w:rFonts w:hint="eastAsia" w:ascii="宋体" w:hAnsi="宋体" w:eastAsia="宋体" w:cs="宋体"/>
          <w:color w:val="auto"/>
          <w:sz w:val="21"/>
          <w:szCs w:val="21"/>
          <w:highlight w:val="none"/>
        </w:rPr>
        <w:t>投标文件的语言及度量衡单位</w:t>
      </w:r>
      <w:bookmarkEnd w:id="61"/>
      <w:bookmarkEnd w:id="62"/>
    </w:p>
    <w:p w14:paraId="3E9FC08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11.1.</w:t>
      </w:r>
      <w:r>
        <w:rPr>
          <w:rFonts w:hint="eastAsia" w:ascii="宋体" w:hAnsi="宋体" w:eastAsia="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3460A222">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11.2.</w:t>
      </w:r>
      <w:r>
        <w:rPr>
          <w:rFonts w:hint="eastAsia" w:ascii="宋体" w:hAnsi="宋体" w:eastAsia="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34CF47AE">
      <w:pPr>
        <w:widowControl w:val="0"/>
        <w:adjustRightInd/>
        <w:snapToGrid/>
        <w:ind w:left="567"/>
        <w:jc w:val="both"/>
        <w:rPr>
          <w:rFonts w:hint="eastAsia" w:ascii="宋体" w:hAnsi="宋体" w:eastAsia="宋体" w:cs="宋体"/>
          <w:color w:val="auto"/>
          <w:szCs w:val="21"/>
          <w:highlight w:val="none"/>
        </w:rPr>
      </w:pPr>
    </w:p>
    <w:p w14:paraId="78A772E4">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63" w:name="_Toc303084256"/>
      <w:bookmarkStart w:id="64" w:name="_Toc382049103"/>
      <w:bookmarkStart w:id="65" w:name="_Toc28866"/>
      <w:bookmarkStart w:id="66" w:name="_Toc307934854"/>
      <w:bookmarkStart w:id="67" w:name="_Toc8646"/>
      <w:bookmarkStart w:id="68" w:name="_Toc17448"/>
      <w:r>
        <w:rPr>
          <w:rFonts w:hint="default" w:ascii="宋体" w:hAnsi="宋体" w:eastAsia="宋体" w:cs="宋体"/>
          <w:b/>
          <w:bCs/>
          <w:vanish/>
          <w:color w:val="auto"/>
          <w:sz w:val="24"/>
          <w:szCs w:val="21"/>
          <w:lang w:val="en-US" w:eastAsia="zh-CN" w:bidi="ar-SA"/>
        </w:rPr>
        <w:t>12.</w:t>
      </w:r>
      <w:r>
        <w:rPr>
          <w:rFonts w:hint="eastAsia" w:ascii="宋体" w:hAnsi="宋体" w:eastAsia="宋体" w:cs="宋体"/>
          <w:color w:val="auto"/>
          <w:sz w:val="21"/>
          <w:szCs w:val="21"/>
          <w:highlight w:val="none"/>
        </w:rPr>
        <w:t>投标文件的组成</w:t>
      </w:r>
      <w:bookmarkEnd w:id="63"/>
      <w:bookmarkEnd w:id="64"/>
      <w:bookmarkEnd w:id="65"/>
      <w:bookmarkEnd w:id="66"/>
      <w:bookmarkEnd w:id="67"/>
      <w:bookmarkEnd w:id="68"/>
    </w:p>
    <w:p w14:paraId="59D4C1D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12.1.</w:t>
      </w:r>
      <w:r>
        <w:rPr>
          <w:rFonts w:hint="eastAsia" w:ascii="宋体" w:hAnsi="宋体" w:eastAsia="宋体" w:cs="宋体"/>
          <w:color w:val="auto"/>
          <w:szCs w:val="21"/>
          <w:highlight w:val="none"/>
        </w:rPr>
        <w:t>包括但不限于采购文件附件格式中要求提供的表格。</w:t>
      </w:r>
    </w:p>
    <w:p w14:paraId="1431937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12.2.</w:t>
      </w:r>
      <w:r>
        <w:rPr>
          <w:rFonts w:hint="eastAsia" w:ascii="宋体" w:hAnsi="宋体" w:eastAsia="宋体" w:cs="宋体"/>
          <w:color w:val="auto"/>
          <w:szCs w:val="21"/>
          <w:highlight w:val="none"/>
        </w:rPr>
        <w:t>上述文件须按顺序装订成册，并编制投标文件目录。</w:t>
      </w:r>
    </w:p>
    <w:p w14:paraId="15F1AC44">
      <w:pPr>
        <w:rPr>
          <w:rFonts w:hint="eastAsia" w:ascii="宋体" w:hAnsi="宋体" w:eastAsia="宋体" w:cs="宋体"/>
          <w:color w:val="auto"/>
          <w:highlight w:val="none"/>
        </w:rPr>
      </w:pPr>
    </w:p>
    <w:p w14:paraId="52936904">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69" w:name="_Toc31523"/>
      <w:bookmarkStart w:id="70" w:name="_Toc9990"/>
      <w:r>
        <w:rPr>
          <w:rFonts w:hint="default" w:ascii="宋体" w:hAnsi="宋体" w:eastAsia="宋体" w:cs="宋体"/>
          <w:b/>
          <w:bCs/>
          <w:vanish/>
          <w:color w:val="auto"/>
          <w:sz w:val="24"/>
          <w:szCs w:val="21"/>
          <w:lang w:val="en-US" w:eastAsia="zh-CN" w:bidi="ar-SA"/>
        </w:rPr>
        <w:t>13.</w:t>
      </w:r>
      <w:r>
        <w:rPr>
          <w:rFonts w:hint="eastAsia" w:ascii="宋体" w:hAnsi="宋体" w:eastAsia="宋体" w:cs="宋体"/>
          <w:color w:val="auto"/>
          <w:sz w:val="21"/>
          <w:szCs w:val="21"/>
          <w:highlight w:val="none"/>
        </w:rPr>
        <w:t>投标文件编制</w:t>
      </w:r>
      <w:bookmarkEnd w:id="69"/>
      <w:bookmarkEnd w:id="70"/>
      <w:bookmarkStart w:id="71" w:name="_Toc303084258"/>
    </w:p>
    <w:p w14:paraId="6FF56D0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13.1.</w:t>
      </w:r>
      <w:r>
        <w:rPr>
          <w:rFonts w:hint="eastAsia" w:ascii="宋体" w:hAnsi="宋体" w:eastAsia="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7A8D1CB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13.2.</w:t>
      </w:r>
      <w:r>
        <w:rPr>
          <w:rFonts w:hint="eastAsia" w:ascii="宋体" w:hAnsi="宋体" w:eastAsia="宋体" w:cs="宋体"/>
          <w:color w:val="auto"/>
          <w:szCs w:val="21"/>
          <w:highlight w:val="none"/>
        </w:rPr>
        <w:t>因投标文件编制存在歧义对投标人产生负面影响的，投标人自行承担后果。</w:t>
      </w:r>
    </w:p>
    <w:p w14:paraId="37C79512">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13.3.</w:t>
      </w:r>
      <w:r>
        <w:rPr>
          <w:rFonts w:hint="eastAsia" w:ascii="宋体" w:hAnsi="宋体" w:eastAsia="宋体" w:cs="宋体"/>
          <w:color w:val="auto"/>
          <w:szCs w:val="21"/>
          <w:highlight w:val="none"/>
        </w:rPr>
        <w:t>投标单位名称与投标人公章不一致，若投标单位名称已进行变更，应在投标文件中提供相应的证明材料并加盖公章，否则投标文件无效。</w:t>
      </w:r>
    </w:p>
    <w:p w14:paraId="6A3EA448">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13.4.</w:t>
      </w:r>
      <w:r>
        <w:rPr>
          <w:rFonts w:hint="eastAsia" w:ascii="宋体" w:hAnsi="宋体" w:eastAsia="宋体" w:cs="宋体"/>
          <w:color w:val="auto"/>
          <w:szCs w:val="21"/>
          <w:highlight w:val="none"/>
        </w:rPr>
        <w:t>投标文件密封、标记及内容与本项目采购信息不符，导致无法分辨所投项目为本项目的，投标文件无效。</w:t>
      </w:r>
    </w:p>
    <w:p w14:paraId="7262EE7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13.5.</w:t>
      </w:r>
      <w:r>
        <w:rPr>
          <w:rFonts w:hint="eastAsia" w:ascii="宋体" w:hAnsi="宋体" w:eastAsia="宋体" w:cs="宋体"/>
          <w:color w:val="auto"/>
          <w:szCs w:val="21"/>
          <w:highlight w:val="none"/>
        </w:rPr>
        <w:t>投标人须客观撰写投标人简介（格式自理，并提供相关证明）以及所投的产品或服务说明。</w:t>
      </w:r>
    </w:p>
    <w:p w14:paraId="22527C7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13.6.</w:t>
      </w:r>
      <w:r>
        <w:rPr>
          <w:rFonts w:hint="eastAsia" w:ascii="宋体" w:hAnsi="宋体" w:eastAsia="宋体" w:cs="宋体"/>
          <w:color w:val="auto"/>
          <w:szCs w:val="21"/>
          <w:highlight w:val="none"/>
        </w:rPr>
        <w:t>投标文件若出现以下内容，经评标委员会认定有可能间接影响评审秩序，作废标处理。</w:t>
      </w:r>
    </w:p>
    <w:p w14:paraId="4E650805">
      <w:pPr>
        <w:pStyle w:val="44"/>
        <w:widowControl w:val="0"/>
        <w:numPr>
          <w:ilvl w:val="0"/>
          <w:numId w:val="4"/>
        </w:numPr>
        <w:adjustRightInd/>
        <w:snapToGrid/>
        <w:ind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投标文件内出现无官方证明文件的行业地域排名或使用“国家级”、“最高级”、“最佳”等用语字眼的。</w:t>
      </w:r>
    </w:p>
    <w:p w14:paraId="77FBEA59">
      <w:pPr>
        <w:pStyle w:val="44"/>
        <w:widowControl w:val="0"/>
        <w:numPr>
          <w:ilvl w:val="0"/>
          <w:numId w:val="4"/>
        </w:numPr>
        <w:adjustRightInd/>
        <w:snapToGrid/>
        <w:ind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投标文件内出现恶意诋毁、贬低其他生产经营者的商品或者服务的内容。</w:t>
      </w:r>
    </w:p>
    <w:p w14:paraId="6295114A">
      <w:pPr>
        <w:keepNext w:val="0"/>
        <w:keepLines w:val="0"/>
        <w:pageBreakBefore w:val="0"/>
        <w:widowControl w:val="0"/>
        <w:numPr>
          <w:ilvl w:val="1"/>
          <w:numId w:val="0"/>
        </w:numPr>
        <w:kinsoku/>
        <w:wordWrap/>
        <w:overflowPunct w:val="0"/>
        <w:topLinePunct w:val="0"/>
        <w:autoSpaceDE/>
        <w:autoSpaceDN/>
        <w:bidi w:val="0"/>
        <w:spacing w:line="264" w:lineRule="auto"/>
        <w:ind w:left="567" w:leftChars="0" w:hanging="567" w:firstLineChars="0"/>
        <w:textAlignment w:val="auto"/>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13.7.</w:t>
      </w:r>
      <w:r>
        <w:rPr>
          <w:rFonts w:hint="eastAsia" w:ascii="宋体" w:hAnsi="宋体" w:eastAsia="宋体" w:cs="宋体"/>
          <w:color w:val="auto"/>
          <w:szCs w:val="21"/>
          <w:highlight w:val="none"/>
        </w:rPr>
        <w:t>有下列情形之一的，视为投标人串通投标，其投标无效：</w:t>
      </w:r>
    </w:p>
    <w:p w14:paraId="79C964DE">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w:t>
      </w:r>
    </w:p>
    <w:p w14:paraId="696621E1">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2DC29E3B">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（3）不同投标人的投标文件载明的项目管理成员或者联系人员为同一人；</w:t>
      </w:r>
    </w:p>
    <w:p w14:paraId="2D9258C6">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057C9659">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20D3559B">
      <w:pPr>
        <w:keepNext w:val="0"/>
        <w:keepLines w:val="0"/>
        <w:pageBreakBefore w:val="0"/>
        <w:widowControl w:val="0"/>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（6）不同投标人的投标保证金从同一单位或者个人的账户转出。</w:t>
      </w:r>
    </w:p>
    <w:bookmarkEnd w:id="71"/>
    <w:p w14:paraId="1AA637A5">
      <w:pPr>
        <w:rPr>
          <w:rFonts w:hint="eastAsia" w:ascii="宋体" w:hAnsi="宋体" w:eastAsia="宋体" w:cs="宋体"/>
          <w:color w:val="auto"/>
          <w:highlight w:val="none"/>
        </w:rPr>
      </w:pPr>
    </w:p>
    <w:p w14:paraId="2E629C4B">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72" w:name="_Toc18204"/>
      <w:bookmarkStart w:id="73" w:name="_Toc10858"/>
      <w:r>
        <w:rPr>
          <w:rFonts w:hint="default" w:ascii="宋体" w:hAnsi="宋体" w:eastAsia="宋体" w:cs="宋体"/>
          <w:b/>
          <w:bCs/>
          <w:vanish/>
          <w:color w:val="auto"/>
          <w:sz w:val="24"/>
          <w:szCs w:val="21"/>
          <w:lang w:val="en-US" w:eastAsia="zh-CN" w:bidi="ar-SA"/>
        </w:rPr>
        <w:t>14.</w:t>
      </w:r>
      <w:r>
        <w:rPr>
          <w:rFonts w:hint="eastAsia" w:ascii="宋体" w:hAnsi="宋体" w:eastAsia="宋体" w:cs="宋体"/>
          <w:color w:val="auto"/>
          <w:sz w:val="21"/>
          <w:szCs w:val="21"/>
          <w:highlight w:val="none"/>
        </w:rPr>
        <w:t>投标报价说明</w:t>
      </w:r>
      <w:bookmarkEnd w:id="72"/>
      <w:bookmarkEnd w:id="73"/>
    </w:p>
    <w:p w14:paraId="00A1A61D">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14.1.</w:t>
      </w:r>
      <w:r>
        <w:rPr>
          <w:rFonts w:hint="eastAsia" w:ascii="宋体" w:hAnsi="宋体" w:eastAsia="宋体" w:cs="宋体"/>
          <w:color w:val="auto"/>
          <w:szCs w:val="21"/>
          <w:highlight w:val="none"/>
        </w:rPr>
        <w:t>本次采购，投标人应按用户需求中的要求进行投标报价，少报无效。</w:t>
      </w:r>
    </w:p>
    <w:p w14:paraId="308D186D">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14.2.</w:t>
      </w:r>
      <w:r>
        <w:rPr>
          <w:rFonts w:hint="eastAsia" w:ascii="宋体" w:hAnsi="宋体" w:eastAsia="宋体" w:cs="宋体"/>
          <w:color w:val="auto"/>
          <w:szCs w:val="21"/>
          <w:highlight w:val="none"/>
        </w:rPr>
        <w:t>投标人所提供的货物或服务均以人民币（或相关费率）报价。</w:t>
      </w:r>
    </w:p>
    <w:p w14:paraId="1C89562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14.3.</w:t>
      </w:r>
      <w:r>
        <w:rPr>
          <w:rFonts w:hint="eastAsia" w:ascii="宋体" w:hAnsi="宋体" w:eastAsia="宋体" w:cs="宋体"/>
          <w:color w:val="auto"/>
          <w:szCs w:val="21"/>
          <w:highlight w:val="none"/>
        </w:rPr>
        <w:t>投标报价应包含完成本次采购所有服务内容的费用，包含各种税务费及合同实施过程中的全部费用和售后服务费等。</w:t>
      </w:r>
    </w:p>
    <w:p w14:paraId="093A1F5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14.4.</w:t>
      </w: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5ABA0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14.5.</w:t>
      </w:r>
      <w:r>
        <w:rPr>
          <w:rFonts w:hint="eastAsia" w:ascii="宋体" w:hAnsi="宋体" w:eastAsia="宋体" w:cs="宋体"/>
          <w:color w:val="auto"/>
          <w:szCs w:val="21"/>
          <w:highlight w:val="none"/>
        </w:rPr>
        <w:t>中标后开出的所有发票必须与中标人的名称一致。</w:t>
      </w:r>
    </w:p>
    <w:p w14:paraId="43E28E0F">
      <w:pPr>
        <w:rPr>
          <w:rFonts w:hint="eastAsia" w:ascii="宋体" w:hAnsi="宋体" w:eastAsia="宋体" w:cs="宋体"/>
          <w:color w:val="auto"/>
          <w:highlight w:val="none"/>
        </w:rPr>
      </w:pPr>
    </w:p>
    <w:p w14:paraId="7EB14A65">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74" w:name="_Toc22962"/>
      <w:bookmarkStart w:id="75" w:name="_Toc23224"/>
      <w:r>
        <w:rPr>
          <w:rFonts w:hint="default" w:ascii="宋体" w:hAnsi="宋体" w:eastAsia="宋体" w:cs="宋体"/>
          <w:b/>
          <w:bCs/>
          <w:vanish/>
          <w:color w:val="auto"/>
          <w:sz w:val="24"/>
          <w:szCs w:val="21"/>
          <w:lang w:val="en-US" w:eastAsia="zh-CN" w:bidi="ar-SA"/>
        </w:rPr>
        <w:t>15.</w:t>
      </w:r>
      <w:r>
        <w:rPr>
          <w:rFonts w:hint="eastAsia" w:ascii="宋体" w:hAnsi="宋体" w:eastAsia="宋体" w:cs="宋体"/>
          <w:color w:val="auto"/>
          <w:sz w:val="21"/>
          <w:szCs w:val="21"/>
          <w:highlight w:val="none"/>
        </w:rPr>
        <w:t>投标人所提供的服务或货物的证明文件</w:t>
      </w:r>
      <w:bookmarkEnd w:id="74"/>
      <w:bookmarkEnd w:id="75"/>
    </w:p>
    <w:p w14:paraId="29D630C8">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bookmarkStart w:id="76" w:name="_Hlt107925668"/>
      <w:bookmarkEnd w:id="76"/>
      <w:bookmarkStart w:id="77" w:name="_Hlt107925638"/>
      <w:bookmarkEnd w:id="77"/>
      <w:r>
        <w:rPr>
          <w:rFonts w:hint="default" w:ascii="宋体" w:hAnsi="宋体" w:eastAsia="宋体" w:cs="宋体"/>
          <w:color w:val="auto"/>
          <w:sz w:val="21"/>
          <w:szCs w:val="21"/>
          <w:lang w:val="en-US" w:eastAsia="zh-CN" w:bidi="ar-SA"/>
        </w:rPr>
        <w:t>15.1.</w:t>
      </w:r>
      <w:r>
        <w:rPr>
          <w:rFonts w:hint="eastAsia" w:ascii="宋体" w:hAnsi="宋体" w:eastAsia="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0277106D">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15.2.</w:t>
      </w:r>
      <w:r>
        <w:rPr>
          <w:rFonts w:hint="eastAsia" w:ascii="宋体" w:hAnsi="宋体" w:eastAsia="宋体" w:cs="宋体"/>
          <w:color w:val="auto"/>
          <w:szCs w:val="21"/>
          <w:highlight w:val="none"/>
        </w:rPr>
        <w:t>有下列情形之一的，视为投标人弄虚作假，其投标无效：</w:t>
      </w:r>
    </w:p>
    <w:p w14:paraId="5841029E">
      <w:pPr>
        <w:pStyle w:val="44"/>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1、使用通过受让或者租借等方式获取的资格、资质证书投标的，属于以他人名义投标。</w:t>
      </w:r>
    </w:p>
    <w:p w14:paraId="75776327">
      <w:pPr>
        <w:pStyle w:val="44"/>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2、投标人有下列情形之一的，属于以其他方式弄虚作假的行为：</w:t>
      </w:r>
    </w:p>
    <w:p w14:paraId="430850D2">
      <w:pPr>
        <w:pStyle w:val="44"/>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（1）使用伪造、变造的许可证件；</w:t>
      </w:r>
    </w:p>
    <w:p w14:paraId="73DDEF1A">
      <w:pPr>
        <w:pStyle w:val="44"/>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（2）提供虚假的财务状况或者业绩；</w:t>
      </w:r>
    </w:p>
    <w:p w14:paraId="5608B111">
      <w:pPr>
        <w:pStyle w:val="44"/>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（3）提供虚假的项目负责人或者主要技术人员简历、劳动关系证明；</w:t>
      </w:r>
    </w:p>
    <w:p w14:paraId="7610F3F8">
      <w:pPr>
        <w:pStyle w:val="44"/>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（4）提供虚假的信用状况；</w:t>
      </w:r>
    </w:p>
    <w:p w14:paraId="4127230D">
      <w:pPr>
        <w:pStyle w:val="44"/>
        <w:keepNext w:val="0"/>
        <w:keepLines w:val="0"/>
        <w:pageBreakBefore w:val="0"/>
        <w:widowControl w:val="0"/>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（5）其他弄虚作假的行为。</w:t>
      </w:r>
    </w:p>
    <w:p w14:paraId="5A9993CC">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78" w:name="_Toc608"/>
      <w:bookmarkStart w:id="79" w:name="_Toc7952"/>
      <w:r>
        <w:rPr>
          <w:rFonts w:hint="default" w:ascii="宋体" w:hAnsi="宋体" w:eastAsia="宋体" w:cs="宋体"/>
          <w:b/>
          <w:bCs/>
          <w:vanish/>
          <w:color w:val="auto"/>
          <w:sz w:val="24"/>
          <w:szCs w:val="21"/>
          <w:lang w:val="en-US" w:eastAsia="zh-CN" w:bidi="ar-SA"/>
        </w:rPr>
        <w:t>16.</w:t>
      </w:r>
      <w:r>
        <w:rPr>
          <w:rFonts w:hint="eastAsia" w:ascii="宋体" w:hAnsi="宋体" w:eastAsia="宋体" w:cs="宋体"/>
          <w:color w:val="auto"/>
          <w:sz w:val="21"/>
          <w:szCs w:val="21"/>
          <w:highlight w:val="none"/>
        </w:rPr>
        <w:t>投标有效期</w:t>
      </w:r>
      <w:bookmarkEnd w:id="78"/>
      <w:bookmarkEnd w:id="79"/>
    </w:p>
    <w:p w14:paraId="4E0BB5EE">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16.1.</w:t>
      </w:r>
      <w:r>
        <w:rPr>
          <w:rFonts w:hint="eastAsia" w:ascii="宋体" w:hAnsi="宋体" w:eastAsia="宋体" w:cs="宋体"/>
          <w:color w:val="auto"/>
          <w:szCs w:val="21"/>
          <w:highlight w:val="none"/>
        </w:rPr>
        <w:t>投标文件应根据投标人须知的规定在投标截止日后的90天内保持有效。</w:t>
      </w:r>
    </w:p>
    <w:p w14:paraId="0CC6A0C6">
      <w:pPr>
        <w:widowControl w:val="0"/>
        <w:adjustRightInd/>
        <w:snapToGrid/>
        <w:ind w:left="567"/>
        <w:jc w:val="both"/>
        <w:rPr>
          <w:rFonts w:hint="eastAsia" w:ascii="宋体" w:hAnsi="宋体" w:eastAsia="宋体" w:cs="宋体"/>
          <w:color w:val="auto"/>
          <w:highlight w:val="none"/>
        </w:rPr>
      </w:pPr>
    </w:p>
    <w:p w14:paraId="7AB21468">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80" w:name="_Toc26775"/>
      <w:bookmarkStart w:id="81" w:name="_Toc23353"/>
      <w:r>
        <w:rPr>
          <w:rFonts w:hint="default" w:ascii="宋体" w:hAnsi="宋体" w:eastAsia="宋体" w:cs="宋体"/>
          <w:b/>
          <w:bCs/>
          <w:vanish/>
          <w:color w:val="auto"/>
          <w:sz w:val="24"/>
          <w:szCs w:val="21"/>
          <w:lang w:val="en-US" w:eastAsia="zh-CN" w:bidi="ar-SA"/>
        </w:rPr>
        <w:t>17.</w:t>
      </w:r>
      <w:r>
        <w:rPr>
          <w:rFonts w:hint="eastAsia" w:ascii="宋体" w:hAnsi="宋体" w:eastAsia="宋体" w:cs="宋体"/>
          <w:color w:val="auto"/>
          <w:sz w:val="21"/>
          <w:szCs w:val="21"/>
          <w:highlight w:val="none"/>
        </w:rPr>
        <w:t>投标保证金</w:t>
      </w:r>
      <w:bookmarkEnd w:id="80"/>
      <w:bookmarkEnd w:id="81"/>
      <w:bookmarkStart w:id="82" w:name="_Ref179619405"/>
    </w:p>
    <w:p w14:paraId="7BB57D6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17.1.</w:t>
      </w:r>
      <w:r>
        <w:rPr>
          <w:rFonts w:hint="eastAsia" w:ascii="宋体" w:hAnsi="宋体" w:eastAsia="宋体" w:cs="宋体"/>
          <w:color w:val="auto"/>
          <w:szCs w:val="21"/>
          <w:highlight w:val="none"/>
        </w:rPr>
        <w:t>投标人应在投标文件递交截止前提交相应的投标保证金，并作为其投标的一部分。</w:t>
      </w:r>
      <w:bookmarkEnd w:id="82"/>
    </w:p>
    <w:p w14:paraId="1FC442B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17.2.</w:t>
      </w:r>
      <w:r>
        <w:rPr>
          <w:rFonts w:hint="eastAsia" w:ascii="宋体" w:hAnsi="宋体" w:eastAsia="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23F8C51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17.3.</w:t>
      </w:r>
      <w:r>
        <w:rPr>
          <w:rFonts w:hint="eastAsia" w:ascii="宋体" w:hAnsi="宋体" w:eastAsia="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1D020151">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17.4.</w:t>
      </w:r>
      <w:r>
        <w:rPr>
          <w:rFonts w:hint="eastAsia" w:ascii="宋体" w:hAnsi="宋体" w:eastAsia="宋体" w:cs="宋体"/>
          <w:color w:val="auto"/>
          <w:szCs w:val="21"/>
          <w:highlight w:val="none"/>
        </w:rPr>
        <w:t>凡没有根据本须知（17.1和17.3）的规定随附有效的投标保证金的投标，将被视为非响应性投标予以拒绝。</w:t>
      </w:r>
    </w:p>
    <w:p w14:paraId="34A6C0DF">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17.5.</w:t>
      </w:r>
      <w:r>
        <w:rPr>
          <w:rFonts w:hint="eastAsia" w:ascii="宋体" w:hAnsi="宋体" w:eastAsia="宋体" w:cs="宋体"/>
          <w:color w:val="auto"/>
          <w:szCs w:val="21"/>
          <w:highlight w:val="none"/>
        </w:rPr>
        <w:t>投标保证金有效期应当与投标有效期一致。采购人如果按照采购文件另外规定延长了投标文件有效期，则投标担保的有效期也相应延长。</w:t>
      </w:r>
    </w:p>
    <w:p w14:paraId="14ED8DAB">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17.6.</w:t>
      </w:r>
      <w:r>
        <w:rPr>
          <w:rFonts w:hint="eastAsia" w:ascii="宋体" w:hAnsi="宋体" w:eastAsia="宋体" w:cs="宋体"/>
          <w:color w:val="auto"/>
          <w:szCs w:val="21"/>
          <w:highlight w:val="none"/>
        </w:rPr>
        <w:t>中标人在签订采购合同并按采购文件第（</w:t>
      </w: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rPr>
        <w:t>）条规定提交履约担保金后，携带退保证金声明函、投标保证金汇款单复印件（加盖公章）和合同正本到采购人处办理投标保证金（无息）退回手续。</w:t>
      </w:r>
    </w:p>
    <w:p w14:paraId="26B869E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17.7.</w:t>
      </w:r>
      <w:r>
        <w:rPr>
          <w:rFonts w:hint="eastAsia" w:ascii="宋体" w:hAnsi="宋体" w:eastAsia="宋体" w:cs="宋体"/>
          <w:color w:val="auto"/>
          <w:szCs w:val="21"/>
          <w:highlight w:val="none"/>
        </w:rPr>
        <w:t>下列任何情况发生时，投标保证金将不予退还：</w:t>
      </w:r>
    </w:p>
    <w:p w14:paraId="5F297B4C">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（1）投标人在采购文件中规定的投标有效期内撤回其投标；</w:t>
      </w:r>
    </w:p>
    <w:p w14:paraId="6FF63833">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（2）中标人无正当理由不与采购人订立合同，在签订合同时向采购人提出附加条件，或者不按照采购文件要求提交履约保证金的；</w:t>
      </w:r>
    </w:p>
    <w:p w14:paraId="224815CD">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（3）中标人将本项目转让给他人，或者在投标文件中未说明，且未经采购人同意，将中标项目分包给他人的；</w:t>
      </w:r>
    </w:p>
    <w:p w14:paraId="3A5E82B0">
      <w:pPr>
        <w:widowControl w:val="0"/>
        <w:adjustRightInd/>
        <w:snapToGrid/>
        <w:ind w:left="540" w:leftChars="2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（4）投标人提供虚假投标文件或虚假补充文件的。</w:t>
      </w:r>
    </w:p>
    <w:p w14:paraId="59E58678">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17.8.</w:t>
      </w:r>
      <w:r>
        <w:rPr>
          <w:rFonts w:hint="eastAsia" w:ascii="宋体" w:hAnsi="宋体" w:eastAsia="宋体" w:cs="宋体"/>
          <w:color w:val="auto"/>
          <w:szCs w:val="21"/>
          <w:highlight w:val="none"/>
        </w:rPr>
        <w:t>在中标通知书发出后，未中标投标人的投标保证金，由采购人自行返还至投标人的原转出账户。</w:t>
      </w:r>
    </w:p>
    <w:p w14:paraId="689544BC">
      <w:pPr>
        <w:rPr>
          <w:rFonts w:hint="eastAsia" w:ascii="宋体" w:hAnsi="宋体" w:eastAsia="宋体" w:cs="宋体"/>
          <w:color w:val="auto"/>
          <w:highlight w:val="none"/>
        </w:rPr>
      </w:pPr>
    </w:p>
    <w:p w14:paraId="34C91D7C">
      <w:pPr>
        <w:pStyle w:val="4"/>
        <w:numPr>
          <w:ilvl w:val="0"/>
          <w:numId w:val="3"/>
        </w:numPr>
        <w:spacing w:before="0" w:after="0" w:line="360" w:lineRule="auto"/>
        <w:jc w:val="center"/>
        <w:rPr>
          <w:rFonts w:hint="eastAsia" w:ascii="宋体" w:hAnsi="宋体" w:eastAsia="宋体" w:cs="宋体"/>
          <w:color w:val="auto"/>
          <w:highlight w:val="none"/>
        </w:rPr>
      </w:pPr>
      <w:bookmarkStart w:id="83" w:name="_Toc16774"/>
      <w:bookmarkStart w:id="84" w:name="_Toc15223"/>
      <w:r>
        <w:rPr>
          <w:rFonts w:hint="eastAsia" w:ascii="宋体" w:hAnsi="宋体" w:eastAsia="宋体" w:cs="宋体"/>
          <w:color w:val="auto"/>
          <w:highlight w:val="none"/>
        </w:rPr>
        <w:t>投标文件的递交</w:t>
      </w:r>
      <w:bookmarkEnd w:id="83"/>
      <w:bookmarkEnd w:id="84"/>
    </w:p>
    <w:p w14:paraId="203283DE">
      <w:pPr>
        <w:pStyle w:val="5"/>
        <w:widowControl w:val="0"/>
        <w:numPr>
          <w:ilvl w:val="0"/>
          <w:numId w:val="0"/>
        </w:numPr>
        <w:overflowPunct w:val="0"/>
        <w:ind w:left="425" w:leftChars="0" w:hanging="425" w:firstLineChars="0"/>
        <w:rPr>
          <w:rFonts w:hint="eastAsia" w:ascii="宋体" w:hAnsi="宋体" w:eastAsia="宋体" w:cs="宋体"/>
          <w:color w:val="auto"/>
          <w:sz w:val="21"/>
          <w:szCs w:val="21"/>
          <w:highlight w:val="none"/>
        </w:rPr>
      </w:pPr>
      <w:bookmarkStart w:id="85" w:name="_Toc303084264"/>
      <w:bookmarkStart w:id="86" w:name="_Toc28686"/>
      <w:bookmarkStart w:id="87" w:name="_Toc8167"/>
      <w:bookmarkStart w:id="88" w:name="_Toc382049111"/>
      <w:bookmarkStart w:id="89" w:name="_Toc24997"/>
      <w:r>
        <w:rPr>
          <w:rFonts w:hint="eastAsia" w:ascii="宋体" w:hAnsi="宋体" w:cs="宋体"/>
          <w:b/>
          <w:bCs/>
          <w:vanish/>
          <w:color w:val="auto"/>
          <w:sz w:val="24"/>
          <w:szCs w:val="21"/>
          <w:lang w:val="en-US" w:eastAsia="zh-CN" w:bidi="ar-SA"/>
        </w:rPr>
        <w:t>1</w:t>
      </w:r>
      <w:r>
        <w:rPr>
          <w:rFonts w:hint="default" w:ascii="宋体" w:hAnsi="宋体" w:eastAsia="宋体" w:cs="宋体"/>
          <w:b/>
          <w:bCs/>
          <w:vanish/>
          <w:color w:val="auto"/>
          <w:sz w:val="24"/>
          <w:szCs w:val="21"/>
          <w:lang w:val="en-US" w:eastAsia="zh-CN" w:bidi="ar-SA"/>
        </w:rPr>
        <w:t>8.</w:t>
      </w:r>
      <w:r>
        <w:rPr>
          <w:rFonts w:hint="eastAsia" w:ascii="宋体" w:hAnsi="宋体" w:eastAsia="宋体" w:cs="宋体"/>
          <w:color w:val="auto"/>
          <w:sz w:val="21"/>
          <w:szCs w:val="21"/>
          <w:highlight w:val="none"/>
        </w:rPr>
        <w:t>投标文件的装订，签署，密封和标记</w:t>
      </w:r>
      <w:bookmarkEnd w:id="85"/>
      <w:bookmarkEnd w:id="86"/>
      <w:bookmarkEnd w:id="87"/>
      <w:bookmarkEnd w:id="88"/>
      <w:bookmarkEnd w:id="89"/>
    </w:p>
    <w:p w14:paraId="42279EC2">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18.1.</w:t>
      </w:r>
      <w:r>
        <w:rPr>
          <w:rFonts w:hint="eastAsia" w:ascii="宋体" w:hAnsi="宋体" w:eastAsia="宋体" w:cs="宋体"/>
          <w:color w:val="auto"/>
          <w:szCs w:val="21"/>
          <w:highlight w:val="none"/>
        </w:rPr>
        <w:t>投标人应按《投标资料表》的份数准备商务文件、技术文件、电子文件（</w:t>
      </w:r>
      <w:r>
        <w:rPr>
          <w:rFonts w:hint="eastAsia" w:ascii="宋体" w:hAnsi="宋体" w:eastAsia="宋体" w:cs="宋体"/>
          <w:b/>
          <w:bCs/>
          <w:color w:val="auto"/>
          <w:szCs w:val="21"/>
          <w:highlight w:val="none"/>
          <w:lang w:val="en-US" w:eastAsia="zh-CN"/>
        </w:rPr>
        <w:t>价格文件、</w:t>
      </w:r>
      <w:r>
        <w:rPr>
          <w:rFonts w:hint="eastAsia" w:ascii="宋体" w:hAnsi="宋体" w:eastAsia="宋体" w:cs="宋体"/>
          <w:b/>
          <w:color w:val="auto"/>
          <w:szCs w:val="21"/>
          <w:highlight w:val="none"/>
        </w:rPr>
        <w:t>商务文件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技术文件</w:t>
      </w:r>
      <w:r>
        <w:rPr>
          <w:rFonts w:hint="eastAsia" w:ascii="宋体" w:hAnsi="宋体" w:eastAsia="宋体" w:cs="宋体"/>
          <w:b/>
          <w:color w:val="auto"/>
          <w:szCs w:val="21"/>
          <w:highlight w:val="none"/>
        </w:rPr>
        <w:t>分别单独装订成册</w:t>
      </w:r>
      <w:r>
        <w:rPr>
          <w:rFonts w:hint="eastAsia" w:ascii="宋体" w:hAnsi="宋体" w:eastAsia="宋体" w:cs="宋体"/>
          <w:color w:val="auto"/>
          <w:szCs w:val="21"/>
          <w:highlight w:val="none"/>
        </w:rPr>
        <w:t>），每一份投标文件均需编上页次，装订成册（不允许使用活页夹，否则由此产生的风险由投标人自行承担）。所有投标文件必须封入密封完好的信封或包装，封口加盖公章。</w:t>
      </w:r>
    </w:p>
    <w:p w14:paraId="406AC401">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18.2.</w:t>
      </w:r>
      <w:r>
        <w:rPr>
          <w:rFonts w:hint="eastAsia" w:ascii="宋体" w:hAnsi="宋体" w:eastAsia="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40B8CDBE">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18.3.</w:t>
      </w:r>
      <w:r>
        <w:rPr>
          <w:rFonts w:hint="eastAsia" w:ascii="宋体" w:hAnsi="宋体" w:eastAsia="宋体" w:cs="宋体"/>
          <w:color w:val="auto"/>
          <w:szCs w:val="21"/>
          <w:highlight w:val="none"/>
        </w:rPr>
        <w:t>联合体投标文件的【正本】及【副本】的封面及骑缝均须加盖所有联合体组成成员的公章。（文件每页盖章等同于盖骑缝章）</w:t>
      </w:r>
    </w:p>
    <w:p w14:paraId="73EDAC0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18.4.</w:t>
      </w:r>
      <w:r>
        <w:rPr>
          <w:rFonts w:hint="eastAsia" w:ascii="宋体" w:hAnsi="宋体" w:eastAsia="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6354865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18.5.</w:t>
      </w:r>
      <w:r>
        <w:rPr>
          <w:rFonts w:hint="eastAsia" w:ascii="宋体" w:hAnsi="宋体" w:eastAsia="宋体" w:cs="宋体"/>
          <w:color w:val="auto"/>
          <w:szCs w:val="21"/>
          <w:highlight w:val="none"/>
        </w:rPr>
        <w:t>除投标人对错误处修改外，全套投标文件应无涂改或行间插字和增删。如有修改，修改处须由法定代表人或其正式授权代表在旁边签字及盖章。</w:t>
      </w:r>
    </w:p>
    <w:p w14:paraId="77927CF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18.6.</w:t>
      </w:r>
      <w:r>
        <w:rPr>
          <w:rFonts w:hint="eastAsia" w:ascii="宋体" w:hAnsi="宋体" w:eastAsia="宋体" w:cs="宋体"/>
          <w:color w:val="auto"/>
          <w:szCs w:val="21"/>
          <w:highlight w:val="none"/>
        </w:rPr>
        <w:t>投标人应将投标文件进行非透明的封装，以防止投标文件内容的泄露。采购代理机构将拒绝接收采用透明包装进行密封的投标文件。</w:t>
      </w:r>
    </w:p>
    <w:p w14:paraId="5B71A7E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18.7.</w:t>
      </w:r>
      <w:r>
        <w:rPr>
          <w:rFonts w:hint="eastAsia" w:ascii="宋体" w:hAnsi="宋体" w:eastAsia="宋体" w:cs="宋体"/>
          <w:color w:val="auto"/>
          <w:szCs w:val="21"/>
          <w:highlight w:val="none"/>
        </w:rPr>
        <w:t>密封破损导致投标文件内容直接或间接泄露的投标文件，采购代理机构将拒绝接收。</w:t>
      </w:r>
    </w:p>
    <w:p w14:paraId="2FABCEA0">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18.8.</w:t>
      </w:r>
      <w:r>
        <w:rPr>
          <w:rFonts w:hint="eastAsia" w:ascii="宋体" w:hAnsi="宋体" w:eastAsia="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2B67D8A6">
      <w:pPr>
        <w:widowControl w:val="0"/>
        <w:numPr>
          <w:ilvl w:val="1"/>
          <w:numId w:val="0"/>
        </w:numPr>
        <w:overflowPunct w:val="0"/>
        <w:ind w:left="567" w:leftChars="0" w:hanging="567" w:firstLineChars="0"/>
        <w:rPr>
          <w:rFonts w:hint="eastAsia" w:ascii="宋体" w:hAnsi="宋体" w:eastAsia="宋体" w:cs="宋体"/>
          <w:b/>
          <w:bCs/>
          <w:color w:val="auto"/>
          <w:szCs w:val="21"/>
          <w:highlight w:val="none"/>
        </w:rPr>
      </w:pPr>
      <w:r>
        <w:rPr>
          <w:rFonts w:hint="default" w:ascii="宋体" w:hAnsi="宋体" w:eastAsia="宋体" w:cs="宋体"/>
          <w:b/>
          <w:bCs/>
          <w:color w:val="auto"/>
          <w:sz w:val="21"/>
          <w:szCs w:val="21"/>
          <w:lang w:val="en-US" w:eastAsia="zh-CN" w:bidi="ar-SA"/>
        </w:rPr>
        <w:t>18.9.</w:t>
      </w:r>
      <w:r>
        <w:rPr>
          <w:rFonts w:hint="eastAsia" w:ascii="宋体" w:hAnsi="宋体" w:eastAsia="宋体" w:cs="宋体"/>
          <w:b/>
          <w:bCs/>
          <w:color w:val="auto"/>
          <w:szCs w:val="21"/>
          <w:highlight w:val="none"/>
        </w:rPr>
        <w:t>未单独提交唱标信封的投标人投标文件不进行唱标，投标文件作无效处理。</w:t>
      </w:r>
    </w:p>
    <w:p w14:paraId="30D09D05">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18.10.</w:t>
      </w:r>
      <w:r>
        <w:rPr>
          <w:rFonts w:hint="eastAsia" w:ascii="宋体" w:hAnsi="宋体" w:eastAsia="宋体" w:cs="宋体"/>
          <w:color w:val="auto"/>
          <w:szCs w:val="21"/>
          <w:highlight w:val="none"/>
        </w:rPr>
        <w:t xml:space="preserve">所有的信封均应注明： </w:t>
      </w:r>
    </w:p>
    <w:p w14:paraId="37EC182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收件人： </w:t>
      </w:r>
    </w:p>
    <w:p w14:paraId="72AC421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w:t>
      </w:r>
    </w:p>
    <w:p w14:paraId="4E797A25">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1202870D">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项目采购项目编号：</w:t>
      </w:r>
    </w:p>
    <w:p w14:paraId="49923C92">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18.11.</w:t>
      </w:r>
      <w:r>
        <w:rPr>
          <w:rFonts w:hint="eastAsia" w:ascii="宋体" w:hAnsi="宋体" w:eastAsia="宋体" w:cs="宋体"/>
          <w:color w:val="auto"/>
          <w:szCs w:val="21"/>
          <w:highlight w:val="none"/>
        </w:rPr>
        <w:t>密封信封上的项目编号错误或项目名称出现严重歧义的（包括采购内容不符），采购代理机构将拒绝接收。</w:t>
      </w:r>
    </w:p>
    <w:p w14:paraId="666F8E95">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18.12.</w:t>
      </w:r>
      <w:r>
        <w:rPr>
          <w:rFonts w:hint="eastAsia" w:ascii="宋体" w:hAnsi="宋体" w:eastAsia="宋体" w:cs="宋体"/>
          <w:color w:val="auto"/>
          <w:szCs w:val="21"/>
          <w:highlight w:val="none"/>
        </w:rPr>
        <w:t>采购代理机构对所有投标文件的误投或提前启封概不负责。</w:t>
      </w:r>
    </w:p>
    <w:p w14:paraId="53E984D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18.13.</w:t>
      </w:r>
      <w:r>
        <w:rPr>
          <w:rFonts w:hint="eastAsia" w:ascii="宋体" w:hAnsi="宋体" w:eastAsia="宋体" w:cs="宋体"/>
          <w:color w:val="auto"/>
          <w:szCs w:val="21"/>
          <w:highlight w:val="none"/>
        </w:rPr>
        <w:t>投标人同时参加几个包投标时必须按采购文件要求按包号分别制作投标文件，分别密封递交。</w:t>
      </w:r>
    </w:p>
    <w:p w14:paraId="3C879EC7">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18.14.</w:t>
      </w:r>
      <w:r>
        <w:rPr>
          <w:rFonts w:hint="eastAsia" w:ascii="宋体" w:hAnsi="宋体" w:eastAsia="宋体" w:cs="宋体"/>
          <w:color w:val="auto"/>
          <w:szCs w:val="21"/>
          <w:highlight w:val="none"/>
        </w:rPr>
        <w:t>传真、电传的投标文件将被拒绝。</w:t>
      </w:r>
    </w:p>
    <w:p w14:paraId="1F6F263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18.15.</w:t>
      </w:r>
      <w:r>
        <w:rPr>
          <w:rFonts w:hint="eastAsia" w:ascii="宋体" w:hAnsi="宋体" w:eastAsia="宋体" w:cs="宋体"/>
          <w:color w:val="auto"/>
          <w:szCs w:val="21"/>
          <w:highlight w:val="none"/>
        </w:rPr>
        <w:t>递交的投标文件中所提供的通讯方式应保持联络畅通，因联系不上而导致的所有后果由投标人自行承担。</w:t>
      </w:r>
    </w:p>
    <w:p w14:paraId="2A6778A5">
      <w:pPr>
        <w:rPr>
          <w:rFonts w:hint="eastAsia" w:ascii="宋体" w:hAnsi="宋体" w:eastAsia="宋体" w:cs="宋体"/>
          <w:color w:val="auto"/>
          <w:highlight w:val="none"/>
        </w:rPr>
      </w:pPr>
    </w:p>
    <w:p w14:paraId="08070FE9">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90" w:name="_Toc22631"/>
      <w:bookmarkStart w:id="91" w:name="_Toc20802"/>
      <w:r>
        <w:rPr>
          <w:rFonts w:hint="default" w:ascii="宋体" w:hAnsi="宋体" w:eastAsia="宋体" w:cs="宋体"/>
          <w:b/>
          <w:bCs/>
          <w:vanish/>
          <w:color w:val="auto"/>
          <w:sz w:val="24"/>
          <w:szCs w:val="21"/>
          <w:lang w:val="en-US" w:eastAsia="zh-CN" w:bidi="ar-SA"/>
        </w:rPr>
        <w:t>19.</w:t>
      </w:r>
      <w:r>
        <w:rPr>
          <w:rFonts w:hint="eastAsia" w:ascii="宋体" w:hAnsi="宋体" w:eastAsia="宋体" w:cs="宋体"/>
          <w:color w:val="auto"/>
          <w:sz w:val="21"/>
          <w:szCs w:val="21"/>
          <w:highlight w:val="none"/>
        </w:rPr>
        <w:t>迟交的投标文件</w:t>
      </w:r>
      <w:bookmarkEnd w:id="90"/>
      <w:bookmarkEnd w:id="91"/>
    </w:p>
    <w:p w14:paraId="56D2E7B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19.1.</w:t>
      </w:r>
      <w:r>
        <w:rPr>
          <w:rFonts w:hint="eastAsia" w:ascii="宋体" w:hAnsi="宋体" w:eastAsia="宋体" w:cs="宋体"/>
          <w:color w:val="auto"/>
          <w:szCs w:val="21"/>
          <w:highlight w:val="none"/>
        </w:rPr>
        <w:t>投标人在投标截止时间之后提交的投标文件，采购代理机构将拒绝接收。</w:t>
      </w:r>
    </w:p>
    <w:p w14:paraId="3206EAF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19.2.</w:t>
      </w:r>
      <w:r>
        <w:rPr>
          <w:rFonts w:hint="eastAsia" w:ascii="宋体" w:hAnsi="宋体" w:eastAsia="宋体" w:cs="宋体"/>
          <w:color w:val="auto"/>
          <w:szCs w:val="21"/>
          <w:highlight w:val="none"/>
        </w:rPr>
        <w:t>有违反其他法律规定情形的，采购代理机构将拒绝接收。</w:t>
      </w:r>
    </w:p>
    <w:p w14:paraId="59EA339E">
      <w:pPr>
        <w:rPr>
          <w:rFonts w:hint="eastAsia" w:ascii="宋体" w:hAnsi="宋体" w:eastAsia="宋体" w:cs="宋体"/>
          <w:color w:val="auto"/>
          <w:highlight w:val="none"/>
        </w:rPr>
      </w:pPr>
    </w:p>
    <w:p w14:paraId="37C9C4C1">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92" w:name="_Toc22292"/>
      <w:bookmarkStart w:id="93" w:name="_Toc29681"/>
      <w:r>
        <w:rPr>
          <w:rFonts w:hint="default" w:ascii="宋体" w:hAnsi="宋体" w:eastAsia="宋体" w:cs="宋体"/>
          <w:b/>
          <w:bCs/>
          <w:vanish/>
          <w:color w:val="auto"/>
          <w:sz w:val="24"/>
          <w:szCs w:val="21"/>
          <w:lang w:val="en-US" w:eastAsia="zh-CN" w:bidi="ar-SA"/>
        </w:rPr>
        <w:t>20.</w:t>
      </w:r>
      <w:r>
        <w:rPr>
          <w:rFonts w:hint="eastAsia" w:ascii="宋体" w:hAnsi="宋体" w:eastAsia="宋体" w:cs="宋体"/>
          <w:color w:val="auto"/>
          <w:sz w:val="21"/>
          <w:szCs w:val="21"/>
          <w:highlight w:val="none"/>
        </w:rPr>
        <w:t>投标样品（如需提交）</w:t>
      </w:r>
      <w:bookmarkEnd w:id="92"/>
      <w:bookmarkEnd w:id="93"/>
    </w:p>
    <w:p w14:paraId="2E4AC77A">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20.1.</w:t>
      </w:r>
      <w:r>
        <w:rPr>
          <w:rFonts w:hint="eastAsia" w:ascii="宋体" w:hAnsi="宋体" w:eastAsia="宋体" w:cs="宋体"/>
          <w:color w:val="auto"/>
          <w:szCs w:val="21"/>
          <w:highlight w:val="none"/>
        </w:rPr>
        <w:t>如有必要，采购代理机构可以要求投标人提供本服务项目涉及的部分设备或产品样品，投标人在投标时应提交《样品清单》。</w:t>
      </w:r>
    </w:p>
    <w:p w14:paraId="30567EB5">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20.2.</w:t>
      </w:r>
      <w:r>
        <w:rPr>
          <w:rFonts w:hint="eastAsia" w:ascii="宋体" w:hAnsi="宋体" w:eastAsia="宋体" w:cs="宋体"/>
          <w:color w:val="auto"/>
          <w:szCs w:val="21"/>
          <w:highlight w:val="none"/>
        </w:rPr>
        <w:t>为方便评标，投标人在提供样品时，应在所提供的样品表面显著位置标注投标人的名称、包号、样品名称、采购文件规定的服务或货物编号。</w:t>
      </w:r>
    </w:p>
    <w:p w14:paraId="038BFA9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20.3.</w:t>
      </w:r>
      <w:r>
        <w:rPr>
          <w:rFonts w:hint="eastAsia" w:ascii="宋体" w:hAnsi="宋体" w:eastAsia="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43CB39B0">
      <w:pPr>
        <w:rPr>
          <w:rFonts w:hint="eastAsia" w:ascii="宋体" w:hAnsi="宋体" w:eastAsia="宋体" w:cs="宋体"/>
          <w:color w:val="auto"/>
          <w:highlight w:val="none"/>
        </w:rPr>
      </w:pPr>
    </w:p>
    <w:p w14:paraId="23870D32">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94" w:name="_Toc9777"/>
      <w:bookmarkStart w:id="95" w:name="_Toc303084265"/>
      <w:bookmarkStart w:id="96" w:name="_Toc11650"/>
      <w:bookmarkStart w:id="97" w:name="_Toc382049112"/>
      <w:bookmarkStart w:id="98" w:name="_Toc12147"/>
      <w:r>
        <w:rPr>
          <w:rFonts w:hint="default" w:ascii="宋体" w:hAnsi="宋体" w:eastAsia="宋体" w:cs="宋体"/>
          <w:b/>
          <w:bCs/>
          <w:vanish/>
          <w:color w:val="auto"/>
          <w:sz w:val="24"/>
          <w:szCs w:val="21"/>
          <w:lang w:val="en-US" w:eastAsia="zh-CN" w:bidi="ar-SA"/>
        </w:rPr>
        <w:t>21.</w:t>
      </w:r>
      <w:r>
        <w:rPr>
          <w:rFonts w:hint="eastAsia" w:ascii="宋体" w:hAnsi="宋体" w:eastAsia="宋体" w:cs="宋体"/>
          <w:color w:val="auto"/>
          <w:sz w:val="21"/>
          <w:szCs w:val="21"/>
          <w:highlight w:val="none"/>
        </w:rPr>
        <w:t>投标截止期</w:t>
      </w:r>
      <w:bookmarkEnd w:id="94"/>
      <w:bookmarkEnd w:id="95"/>
      <w:bookmarkEnd w:id="96"/>
      <w:bookmarkEnd w:id="97"/>
      <w:bookmarkEnd w:id="98"/>
    </w:p>
    <w:p w14:paraId="41966E2D">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21.1.</w:t>
      </w:r>
      <w:r>
        <w:rPr>
          <w:rFonts w:hint="eastAsia" w:ascii="宋体" w:hAnsi="宋体" w:eastAsia="宋体" w:cs="宋体"/>
          <w:color w:val="auto"/>
          <w:szCs w:val="21"/>
          <w:highlight w:val="none"/>
        </w:rPr>
        <w:t>投标人应在采购文件规定的截止日期和时间内，将投标文件送达到指定地点。</w:t>
      </w:r>
    </w:p>
    <w:p w14:paraId="179540E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21.2.</w:t>
      </w:r>
      <w:r>
        <w:rPr>
          <w:rFonts w:hint="eastAsia" w:ascii="宋体" w:hAnsi="宋体" w:eastAsia="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58BDEA70">
      <w:pPr>
        <w:rPr>
          <w:rFonts w:hint="eastAsia" w:ascii="宋体" w:hAnsi="宋体" w:eastAsia="宋体" w:cs="宋体"/>
          <w:color w:val="auto"/>
          <w:highlight w:val="none"/>
        </w:rPr>
      </w:pPr>
    </w:p>
    <w:p w14:paraId="578A5DB1">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99" w:name="_Toc2762"/>
      <w:bookmarkStart w:id="100" w:name="_Toc28397"/>
      <w:r>
        <w:rPr>
          <w:rFonts w:hint="default" w:ascii="宋体" w:hAnsi="宋体" w:eastAsia="宋体" w:cs="宋体"/>
          <w:b/>
          <w:bCs/>
          <w:vanish/>
          <w:color w:val="auto"/>
          <w:sz w:val="24"/>
          <w:szCs w:val="21"/>
          <w:lang w:val="en-US" w:eastAsia="zh-CN" w:bidi="ar-SA"/>
        </w:rPr>
        <w:t>22.</w:t>
      </w:r>
      <w:r>
        <w:rPr>
          <w:rFonts w:hint="eastAsia" w:ascii="宋体" w:hAnsi="宋体" w:eastAsia="宋体" w:cs="宋体"/>
          <w:color w:val="auto"/>
          <w:sz w:val="21"/>
          <w:szCs w:val="21"/>
          <w:highlight w:val="none"/>
        </w:rPr>
        <w:t>投标文件的补充、修改与撤回</w:t>
      </w:r>
      <w:bookmarkEnd w:id="99"/>
      <w:bookmarkEnd w:id="100"/>
    </w:p>
    <w:p w14:paraId="75F00DDB">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22.1.</w:t>
      </w:r>
      <w:r>
        <w:rPr>
          <w:rFonts w:hint="eastAsia" w:ascii="宋体" w:hAnsi="宋体" w:eastAsia="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1A0F965F">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22.2.</w:t>
      </w:r>
      <w:r>
        <w:rPr>
          <w:rFonts w:hint="eastAsia" w:ascii="宋体" w:hAnsi="宋体" w:eastAsia="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277B8EF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22.3.</w:t>
      </w:r>
      <w:r>
        <w:rPr>
          <w:rFonts w:hint="eastAsia" w:ascii="宋体" w:hAnsi="宋体" w:eastAsia="宋体" w:cs="宋体"/>
          <w:color w:val="auto"/>
          <w:szCs w:val="21"/>
          <w:highlight w:val="none"/>
        </w:rPr>
        <w:t>投标文件一经递交不予退还。</w:t>
      </w:r>
    </w:p>
    <w:p w14:paraId="6F1CBFCF">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22.4.</w:t>
      </w:r>
      <w:r>
        <w:rPr>
          <w:rFonts w:hint="eastAsia" w:ascii="宋体" w:hAnsi="宋体" w:eastAsia="宋体" w:cs="宋体"/>
          <w:color w:val="auto"/>
          <w:szCs w:val="21"/>
          <w:highlight w:val="none"/>
        </w:rPr>
        <w:t>在提交投标文件截止时间至投标有效期满之前，投标人不得撤回其投标，否则其投标保证金将不予退还。</w:t>
      </w:r>
    </w:p>
    <w:p w14:paraId="3BD35F87">
      <w:pPr>
        <w:pStyle w:val="13"/>
        <w:rPr>
          <w:rFonts w:hint="eastAsia" w:ascii="宋体" w:hAnsi="宋体" w:eastAsia="宋体" w:cs="宋体"/>
          <w:color w:val="auto"/>
          <w:highlight w:val="none"/>
        </w:rPr>
      </w:pPr>
    </w:p>
    <w:p w14:paraId="626D40C0">
      <w:pPr>
        <w:pStyle w:val="4"/>
        <w:numPr>
          <w:ilvl w:val="0"/>
          <w:numId w:val="3"/>
        </w:numPr>
        <w:spacing w:before="0" w:after="0" w:line="360" w:lineRule="auto"/>
        <w:jc w:val="center"/>
        <w:rPr>
          <w:rFonts w:hint="eastAsia" w:ascii="宋体" w:hAnsi="宋体" w:eastAsia="宋体" w:cs="宋体"/>
          <w:color w:val="auto"/>
          <w:highlight w:val="none"/>
        </w:rPr>
      </w:pPr>
      <w:bookmarkStart w:id="101" w:name="_Toc1131"/>
      <w:bookmarkStart w:id="102" w:name="_Toc2417"/>
      <w:r>
        <w:rPr>
          <w:rFonts w:hint="eastAsia" w:ascii="宋体" w:hAnsi="宋体" w:eastAsia="宋体" w:cs="宋体"/>
          <w:color w:val="auto"/>
          <w:highlight w:val="none"/>
        </w:rPr>
        <w:t>开标与评标</w:t>
      </w:r>
      <w:bookmarkEnd w:id="101"/>
      <w:bookmarkEnd w:id="102"/>
    </w:p>
    <w:p w14:paraId="04ECDF27">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03" w:name="_Toc24942"/>
      <w:bookmarkStart w:id="104" w:name="_Toc2656"/>
      <w:r>
        <w:rPr>
          <w:rFonts w:hint="default" w:ascii="宋体" w:hAnsi="宋体" w:eastAsia="宋体" w:cs="宋体"/>
          <w:b/>
          <w:bCs/>
          <w:vanish/>
          <w:color w:val="auto"/>
          <w:sz w:val="24"/>
          <w:szCs w:val="21"/>
          <w:lang w:val="en-US" w:eastAsia="zh-CN" w:bidi="ar-SA"/>
        </w:rPr>
        <w:t>23.</w:t>
      </w:r>
      <w:r>
        <w:rPr>
          <w:rFonts w:hint="eastAsia" w:ascii="宋体" w:hAnsi="宋体" w:eastAsia="宋体" w:cs="宋体"/>
          <w:color w:val="auto"/>
          <w:sz w:val="21"/>
          <w:szCs w:val="21"/>
          <w:highlight w:val="none"/>
        </w:rPr>
        <w:t>开标</w:t>
      </w:r>
      <w:bookmarkEnd w:id="103"/>
      <w:bookmarkEnd w:id="104"/>
    </w:p>
    <w:p w14:paraId="4C4442DD">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23.1.</w:t>
      </w:r>
      <w:r>
        <w:rPr>
          <w:rFonts w:hint="eastAsia" w:ascii="宋体" w:hAnsi="宋体" w:eastAsia="宋体" w:cs="宋体"/>
          <w:color w:val="auto"/>
          <w:szCs w:val="21"/>
          <w:highlight w:val="none"/>
        </w:rPr>
        <w:t>采购代理机构按本采购文件所规定的时间和地点公开开标，并邀请所有投标人代表参加。</w:t>
      </w:r>
    </w:p>
    <w:p w14:paraId="7C3D32CF">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23.2.</w:t>
      </w:r>
      <w:r>
        <w:rPr>
          <w:rFonts w:hint="eastAsia" w:ascii="宋体" w:hAnsi="宋体" w:eastAsia="宋体" w:cs="宋体"/>
          <w:color w:val="auto"/>
          <w:szCs w:val="21"/>
          <w:highlight w:val="none"/>
        </w:rPr>
        <w:t>开标程序：</w:t>
      </w:r>
    </w:p>
    <w:p w14:paraId="65696D6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23.3.</w:t>
      </w:r>
      <w:r>
        <w:rPr>
          <w:rFonts w:hint="eastAsia" w:ascii="宋体" w:hAnsi="宋体" w:eastAsia="宋体" w:cs="宋体"/>
          <w:color w:val="auto"/>
          <w:szCs w:val="21"/>
          <w:highlight w:val="none"/>
        </w:rPr>
        <w:t>开标会由采购代理机构主持，投标人的法定代表人或其授权代表携带有效身份证明准时参加开标会并签名报到。</w:t>
      </w:r>
    </w:p>
    <w:p w14:paraId="2D6106D7">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23.4.</w:t>
      </w:r>
      <w:r>
        <w:rPr>
          <w:rFonts w:hint="eastAsia" w:ascii="宋体" w:hAnsi="宋体" w:eastAsia="宋体" w:cs="宋体"/>
          <w:color w:val="auto"/>
          <w:szCs w:val="21"/>
          <w:highlight w:val="none"/>
        </w:rPr>
        <w:t>开标时，由投标人或者其推选的代表检查投标文件的密封情况；经确认无误后，由采购人或者采购代理机构工作人员当众拆封，宣布投标人名称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投标价格和采购文件规定的需要宣布的其他内容；</w:t>
      </w:r>
    </w:p>
    <w:p w14:paraId="7D9B9D50">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23.5.</w:t>
      </w:r>
      <w:r>
        <w:rPr>
          <w:rFonts w:hint="eastAsia" w:ascii="宋体" w:hAnsi="宋体" w:eastAsia="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7484DF9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23.6.</w:t>
      </w:r>
      <w:r>
        <w:rPr>
          <w:rFonts w:hint="eastAsia" w:ascii="宋体" w:hAnsi="宋体" w:eastAsia="宋体" w:cs="宋体"/>
          <w:color w:val="auto"/>
          <w:szCs w:val="21"/>
          <w:highlight w:val="none"/>
        </w:rPr>
        <w:t>投标人未参加开标的，视同认可开标结果。</w:t>
      </w:r>
    </w:p>
    <w:p w14:paraId="1815B63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23.7.</w:t>
      </w:r>
      <w:r>
        <w:rPr>
          <w:rFonts w:hint="eastAsia" w:ascii="宋体" w:hAnsi="宋体" w:eastAsia="宋体" w:cs="宋体"/>
          <w:color w:val="auto"/>
          <w:szCs w:val="21"/>
          <w:highlight w:val="none"/>
        </w:rPr>
        <w:t>合格投标人不足3家的，不得开标；</w:t>
      </w:r>
    </w:p>
    <w:p w14:paraId="575670B8">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23.8.</w:t>
      </w:r>
      <w:r>
        <w:rPr>
          <w:rFonts w:hint="eastAsia" w:ascii="宋体" w:hAnsi="宋体" w:eastAsia="宋体" w:cs="宋体"/>
          <w:color w:val="auto"/>
          <w:szCs w:val="21"/>
          <w:highlight w:val="none"/>
        </w:rPr>
        <w:t>开标过程应当由采购人或者采购代理机构负责记录，由参加开标的各投标人代表和相关工作人员签字确认。</w:t>
      </w:r>
    </w:p>
    <w:p w14:paraId="48C15B93">
      <w:pPr>
        <w:widowControl w:val="0"/>
        <w:adjustRightInd/>
        <w:snapToGrid/>
        <w:ind w:left="567"/>
        <w:jc w:val="both"/>
        <w:rPr>
          <w:rFonts w:hint="eastAsia" w:ascii="宋体" w:hAnsi="宋体" w:eastAsia="宋体" w:cs="宋体"/>
          <w:color w:val="auto"/>
          <w:highlight w:val="none"/>
        </w:rPr>
      </w:pPr>
    </w:p>
    <w:p w14:paraId="4BAC4BED">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05" w:name="_Toc22350"/>
      <w:bookmarkStart w:id="106" w:name="_Toc7843"/>
      <w:r>
        <w:rPr>
          <w:rFonts w:hint="default" w:ascii="宋体" w:hAnsi="宋体" w:eastAsia="宋体" w:cs="宋体"/>
          <w:b/>
          <w:bCs/>
          <w:vanish/>
          <w:color w:val="auto"/>
          <w:sz w:val="24"/>
          <w:szCs w:val="21"/>
          <w:lang w:val="en-US" w:eastAsia="zh-CN" w:bidi="ar-SA"/>
        </w:rPr>
        <w:t>24.</w:t>
      </w:r>
      <w:r>
        <w:rPr>
          <w:rFonts w:hint="eastAsia" w:ascii="宋体" w:hAnsi="宋体" w:eastAsia="宋体" w:cs="宋体"/>
          <w:color w:val="auto"/>
          <w:sz w:val="21"/>
          <w:szCs w:val="21"/>
          <w:highlight w:val="none"/>
        </w:rPr>
        <w:t>评标委员会及评标方法</w:t>
      </w:r>
      <w:bookmarkEnd w:id="105"/>
      <w:bookmarkEnd w:id="106"/>
    </w:p>
    <w:p w14:paraId="3868643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24.1.</w:t>
      </w:r>
      <w:r>
        <w:rPr>
          <w:rFonts w:hint="eastAsia" w:ascii="宋体" w:hAnsi="宋体" w:eastAsia="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18AA6BD2">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24.2.</w:t>
      </w:r>
      <w:r>
        <w:rPr>
          <w:rFonts w:hint="eastAsia" w:ascii="宋体" w:hAnsi="宋体" w:eastAsia="宋体" w:cs="宋体"/>
          <w:color w:val="auto"/>
          <w:szCs w:val="21"/>
          <w:highlight w:val="none"/>
        </w:rPr>
        <w:t>评审方法：本次采购的评审方法采用</w:t>
      </w:r>
      <w:r>
        <w:rPr>
          <w:rFonts w:hint="eastAsia" w:ascii="宋体" w:hAnsi="宋体" w:eastAsia="宋体" w:cs="宋体"/>
          <w:b/>
          <w:color w:val="auto"/>
          <w:sz w:val="21"/>
          <w:szCs w:val="21"/>
          <w:highlight w:val="none"/>
        </w:rPr>
        <w:t>最低评标价法</w:t>
      </w:r>
      <w:r>
        <w:rPr>
          <w:rFonts w:hint="eastAsia" w:ascii="宋体" w:hAnsi="宋体" w:eastAsia="宋体" w:cs="宋体"/>
          <w:color w:val="auto"/>
          <w:szCs w:val="21"/>
          <w:highlight w:val="none"/>
        </w:rPr>
        <w:t>。</w:t>
      </w:r>
    </w:p>
    <w:p w14:paraId="4CEA77A8">
      <w:pPr>
        <w:widowControl w:val="0"/>
        <w:numPr>
          <w:ilvl w:val="1"/>
          <w:numId w:val="0"/>
        </w:numPr>
        <w:overflowPunct w:val="0"/>
        <w:ind w:left="567" w:leftChars="0" w:hanging="567" w:firstLineChars="0"/>
        <w:rPr>
          <w:rFonts w:hint="eastAsia" w:ascii="宋体" w:hAnsi="宋体" w:eastAsia="宋体" w:cs="宋体"/>
          <w:b w:val="0"/>
          <w:bCs w:val="0"/>
          <w:color w:val="auto"/>
          <w:szCs w:val="21"/>
          <w:highlight w:val="none"/>
        </w:rPr>
      </w:pPr>
      <w:r>
        <w:rPr>
          <w:rFonts w:hint="default" w:ascii="宋体" w:hAnsi="宋体" w:eastAsia="宋体" w:cs="宋体"/>
          <w:b w:val="0"/>
          <w:bCs w:val="0"/>
          <w:color w:val="auto"/>
          <w:sz w:val="21"/>
          <w:szCs w:val="21"/>
          <w:lang w:val="en-US" w:eastAsia="zh-CN" w:bidi="ar-SA"/>
        </w:rPr>
        <w:t>24.3.</w:t>
      </w:r>
      <w:r>
        <w:rPr>
          <w:rFonts w:hint="eastAsia" w:ascii="宋体" w:hAnsi="宋体" w:eastAsia="宋体" w:cs="宋体"/>
          <w:b w:val="0"/>
          <w:bCs w:val="0"/>
          <w:color w:val="auto"/>
          <w:szCs w:val="21"/>
          <w:highlight w:val="none"/>
        </w:rPr>
        <w:t>定标原则：</w:t>
      </w:r>
      <w:r>
        <w:rPr>
          <w:rFonts w:hint="eastAsia" w:ascii="宋体" w:hAnsi="宋体" w:eastAsia="宋体" w:cs="宋体"/>
          <w:b/>
          <w:bCs/>
          <w:color w:val="auto"/>
          <w:sz w:val="21"/>
          <w:szCs w:val="21"/>
          <w:highlight w:val="none"/>
        </w:rPr>
        <w:t>本项目的评标方法采用最低评标价法，是指投标文件满足采购文件全部实质性要求，且投标报价（暂定总价）最低的投标人为中标候选人的评审方法。评审结果按投标报价由低到高顺序排列。如最低投标报价相同，则现场给与最低报价相同的投标人二次报价的机会；如二次报价还相同，则采用现场随机抽签方式确定。投标文件满足采购文件全部实质性要求且投标报价最低（或中签）的投标人为排名第一的中标候选人，投标文件满足采购文件全部实质性要求且投标报价次低的投标人为排名第二的中标候选人，如此类推。</w:t>
      </w:r>
    </w:p>
    <w:p w14:paraId="150B2982">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24.4.</w:t>
      </w:r>
      <w:r>
        <w:rPr>
          <w:rFonts w:hint="eastAsia" w:ascii="宋体" w:hAnsi="宋体" w:eastAsia="宋体" w:cs="宋体"/>
          <w:color w:val="auto"/>
          <w:szCs w:val="21"/>
          <w:highlight w:val="none"/>
        </w:rPr>
        <w:t>在评标期间，评标委员会可要求投标人对其投标文件进行澄清，但不得寻求、提供实质性内容做任何更改。有关澄清的要求和答复均应以纸质版形式提交，如投标人拒绝评标委员会要求对其投标文件进行澄清的要求，所造成的后果由投标人自行承担。</w:t>
      </w:r>
    </w:p>
    <w:p w14:paraId="7808260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24.5.</w:t>
      </w:r>
      <w:r>
        <w:rPr>
          <w:rFonts w:hint="eastAsia" w:ascii="宋体" w:hAnsi="宋体" w:eastAsia="宋体" w:cs="宋体"/>
          <w:color w:val="auto"/>
          <w:szCs w:val="21"/>
          <w:highlight w:val="none"/>
        </w:rPr>
        <w:t>评标委员会和采购人在评审过程中有权核对投标文件中相关材料的原件，投标人在接到通知后应在评标委员会规定的时间内提交原件核查。</w:t>
      </w:r>
    </w:p>
    <w:p w14:paraId="6854D68B">
      <w:pPr>
        <w:rPr>
          <w:rFonts w:hint="eastAsia" w:ascii="宋体" w:hAnsi="宋体" w:eastAsia="宋体" w:cs="宋体"/>
          <w:color w:val="auto"/>
          <w:highlight w:val="none"/>
        </w:rPr>
      </w:pPr>
    </w:p>
    <w:p w14:paraId="6EC9DA8F">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07" w:name="_Toc20245"/>
      <w:bookmarkStart w:id="108" w:name="_Toc17191"/>
      <w:r>
        <w:rPr>
          <w:rFonts w:hint="default" w:ascii="宋体" w:hAnsi="宋体" w:eastAsia="宋体" w:cs="宋体"/>
          <w:b/>
          <w:bCs/>
          <w:vanish/>
          <w:color w:val="auto"/>
          <w:sz w:val="24"/>
          <w:szCs w:val="21"/>
          <w:lang w:val="en-US" w:eastAsia="zh-CN" w:bidi="ar-SA"/>
        </w:rPr>
        <w:t>25.</w:t>
      </w:r>
      <w:r>
        <w:rPr>
          <w:rFonts w:hint="eastAsia" w:ascii="宋体" w:hAnsi="宋体" w:eastAsia="宋体" w:cs="宋体"/>
          <w:color w:val="auto"/>
          <w:sz w:val="21"/>
          <w:szCs w:val="21"/>
          <w:highlight w:val="none"/>
        </w:rPr>
        <w:t>评审原则及评标过程的保密</w:t>
      </w:r>
      <w:bookmarkEnd w:id="107"/>
      <w:bookmarkEnd w:id="108"/>
    </w:p>
    <w:p w14:paraId="0F5F64A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25.1.</w:t>
      </w:r>
      <w:r>
        <w:rPr>
          <w:rFonts w:hint="eastAsia" w:ascii="宋体" w:hAnsi="宋体" w:eastAsia="宋体" w:cs="宋体"/>
          <w:color w:val="auto"/>
          <w:szCs w:val="21"/>
          <w:highlight w:val="none"/>
        </w:rPr>
        <w:t>评审的基本原则：评标委员会将依据采购文件的规定，遵循“公开、公平、公正、择优、信用”的原则进行评审工作。</w:t>
      </w:r>
    </w:p>
    <w:p w14:paraId="01E069AD">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25.2.</w:t>
      </w:r>
      <w:r>
        <w:rPr>
          <w:rFonts w:hint="eastAsia" w:ascii="宋体" w:hAnsi="宋体" w:eastAsia="宋体" w:cs="宋体"/>
          <w:color w:val="auto"/>
          <w:szCs w:val="21"/>
          <w:highlight w:val="none"/>
        </w:rPr>
        <w:t>从公开开标到签订合同，凡与审查、澄清、评审和投标有关的资料以及定标意见相关的事项，均不得向投标人及与评标无关的其他人透露。</w:t>
      </w:r>
    </w:p>
    <w:p w14:paraId="4E7408F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25.3.</w:t>
      </w:r>
      <w:r>
        <w:rPr>
          <w:rFonts w:hint="eastAsia" w:ascii="宋体" w:hAnsi="宋体" w:eastAsia="宋体" w:cs="宋体"/>
          <w:color w:val="auto"/>
          <w:szCs w:val="21"/>
          <w:highlight w:val="none"/>
        </w:rPr>
        <w:t>任何单位和个人不得非法干预、影响评标的过程和结果。</w:t>
      </w:r>
    </w:p>
    <w:p w14:paraId="227786F0">
      <w:pPr>
        <w:rPr>
          <w:rFonts w:hint="eastAsia" w:ascii="宋体" w:hAnsi="宋体" w:eastAsia="宋体" w:cs="宋体"/>
          <w:color w:val="auto"/>
          <w:highlight w:val="none"/>
        </w:rPr>
      </w:pPr>
    </w:p>
    <w:p w14:paraId="50A9A9B4">
      <w:pPr>
        <w:pStyle w:val="5"/>
        <w:widowControl w:val="0"/>
        <w:numPr>
          <w:ilvl w:val="0"/>
          <w:numId w:val="0"/>
        </w:numPr>
        <w:overflowPunct w:val="0"/>
        <w:ind w:left="425" w:leftChars="0" w:hanging="425" w:firstLineChars="0"/>
        <w:rPr>
          <w:rFonts w:hint="eastAsia" w:ascii="宋体" w:hAnsi="宋体" w:eastAsia="宋体" w:cs="宋体"/>
          <w:color w:val="auto"/>
          <w:sz w:val="21"/>
          <w:szCs w:val="21"/>
          <w:highlight w:val="none"/>
        </w:rPr>
      </w:pPr>
      <w:bookmarkStart w:id="109" w:name="_Toc30372"/>
      <w:bookmarkStart w:id="110" w:name="_Toc8887"/>
      <w:bookmarkStart w:id="111" w:name="_Toc7361"/>
      <w:r>
        <w:rPr>
          <w:rFonts w:hint="default" w:ascii="宋体" w:hAnsi="宋体" w:eastAsia="宋体" w:cs="宋体"/>
          <w:b/>
          <w:bCs/>
          <w:color w:val="auto"/>
          <w:sz w:val="21"/>
          <w:szCs w:val="21"/>
          <w:lang w:val="en-US" w:eastAsia="zh-CN" w:bidi="ar-SA"/>
        </w:rPr>
        <w:t>26.</w:t>
      </w:r>
      <w:r>
        <w:rPr>
          <w:rFonts w:hint="eastAsia" w:ascii="宋体" w:hAnsi="宋体" w:eastAsia="宋体" w:cs="宋体"/>
          <w:color w:val="auto"/>
          <w:sz w:val="21"/>
          <w:szCs w:val="21"/>
          <w:highlight w:val="none"/>
        </w:rPr>
        <w:t>评标程序</w:t>
      </w:r>
      <w:bookmarkEnd w:id="109"/>
      <w:bookmarkEnd w:id="110"/>
    </w:p>
    <w:p w14:paraId="18389441">
      <w:pPr>
        <w:widowControl w:val="0"/>
        <w:numPr>
          <w:ilvl w:val="1"/>
          <w:numId w:val="0"/>
        </w:numPr>
        <w:overflowPunct w:val="0"/>
        <w:ind w:left="567" w:leftChars="0" w:hanging="567" w:firstLineChars="0"/>
        <w:rPr>
          <w:rFonts w:hint="eastAsia" w:ascii="宋体" w:hAnsi="宋体" w:eastAsia="宋体" w:cs="宋体"/>
          <w:b/>
          <w:bCs/>
          <w:color w:val="auto"/>
          <w:szCs w:val="21"/>
          <w:highlight w:val="none"/>
        </w:rPr>
      </w:pPr>
      <w:r>
        <w:rPr>
          <w:rFonts w:hint="default" w:ascii="宋体" w:hAnsi="宋体" w:eastAsia="宋体" w:cs="宋体"/>
          <w:b/>
          <w:bCs/>
          <w:color w:val="auto"/>
          <w:sz w:val="21"/>
          <w:szCs w:val="21"/>
          <w:lang w:val="en-US" w:eastAsia="zh-CN" w:bidi="ar-SA"/>
        </w:rPr>
        <w:t>26.1.</w:t>
      </w:r>
      <w:r>
        <w:rPr>
          <w:rFonts w:hint="eastAsia" w:ascii="宋体" w:hAnsi="宋体" w:eastAsia="宋体" w:cs="宋体"/>
          <w:b/>
          <w:bCs/>
          <w:color w:val="auto"/>
          <w:szCs w:val="21"/>
          <w:highlight w:val="none"/>
        </w:rPr>
        <w:t>符合性审查</w:t>
      </w:r>
    </w:p>
    <w:p w14:paraId="59D8B47A">
      <w:pPr>
        <w:widowControl w:val="0"/>
        <w:overflowPunct w:val="0"/>
        <w:ind w:firstLine="420" w:firstLineChars="200"/>
        <w:rPr>
          <w:rFonts w:hint="eastAsia" w:ascii="宋体" w:hAnsi="宋体" w:eastAsia="宋体" w:cs="宋体"/>
          <w:b w:val="0"/>
          <w:bCs w:val="0"/>
          <w:color w:val="auto"/>
          <w:szCs w:val="21"/>
          <w:highlight w:val="none"/>
          <w:lang w:eastAsia="zh-CN"/>
        </w:rPr>
      </w:pPr>
      <w:r>
        <w:rPr>
          <w:rFonts w:hint="eastAsia" w:ascii="宋体" w:hAnsi="宋体" w:eastAsia="宋体" w:cs="宋体"/>
          <w:color w:val="auto"/>
          <w:szCs w:val="21"/>
          <w:highlight w:val="none"/>
        </w:rPr>
        <w:t>公开采购项目开</w:t>
      </w:r>
      <w:r>
        <w:rPr>
          <w:rFonts w:hint="eastAsia" w:ascii="宋体" w:hAnsi="宋体" w:eastAsia="宋体" w:cs="宋体"/>
          <w:b w:val="0"/>
          <w:bCs w:val="0"/>
          <w:color w:val="auto"/>
          <w:szCs w:val="21"/>
          <w:highlight w:val="none"/>
        </w:rPr>
        <w:t>标结束后，评标委员会根据</w:t>
      </w:r>
      <w:r>
        <w:rPr>
          <w:rFonts w:hint="eastAsia" w:ascii="宋体" w:hAnsi="宋体" w:eastAsia="宋体" w:cs="宋体"/>
          <w:b w:val="0"/>
          <w:bCs w:val="0"/>
          <w:color w:val="auto"/>
          <w:highlight w:val="none"/>
        </w:rPr>
        <w:t>《符合性</w:t>
      </w:r>
      <w:r>
        <w:rPr>
          <w:rFonts w:hint="eastAsia" w:ascii="宋体" w:hAnsi="宋体" w:eastAsia="宋体" w:cs="宋体"/>
          <w:b w:val="0"/>
          <w:bCs w:val="0"/>
          <w:color w:val="auto"/>
          <w:highlight w:val="none"/>
          <w:lang w:val="en-US" w:eastAsia="zh-CN"/>
        </w:rPr>
        <w:t>检查</w:t>
      </w:r>
      <w:r>
        <w:rPr>
          <w:rFonts w:hint="eastAsia" w:ascii="宋体" w:hAnsi="宋体" w:eastAsia="宋体" w:cs="宋体"/>
          <w:b w:val="0"/>
          <w:bCs w:val="0"/>
          <w:color w:val="auto"/>
          <w:highlight w:val="none"/>
        </w:rPr>
        <w:t>表》</w:t>
      </w:r>
      <w:r>
        <w:rPr>
          <w:rFonts w:hint="eastAsia" w:ascii="宋体" w:hAnsi="宋体" w:eastAsia="宋体" w:cs="宋体"/>
          <w:b w:val="0"/>
          <w:bCs w:val="0"/>
          <w:color w:val="auto"/>
          <w:szCs w:val="21"/>
          <w:highlight w:val="none"/>
        </w:rPr>
        <w:t>将依法对每个投标人进行符合性检查，对通过符合性检查的投标人进行评审和比较</w:t>
      </w:r>
      <w:r>
        <w:rPr>
          <w:rFonts w:hint="eastAsia" w:ascii="宋体" w:hAnsi="宋体" w:eastAsia="宋体" w:cs="宋体"/>
          <w:b w:val="0"/>
          <w:bCs w:val="0"/>
          <w:color w:val="auto"/>
          <w:szCs w:val="21"/>
          <w:highlight w:val="none"/>
          <w:lang w:eastAsia="zh-CN"/>
        </w:rPr>
        <w:t>。</w:t>
      </w:r>
    </w:p>
    <w:p w14:paraId="6A3640F1">
      <w:pPr>
        <w:widowControl w:val="0"/>
        <w:overflowPunct w:val="0"/>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投标人必须严格按照</w:t>
      </w:r>
      <w:r>
        <w:rPr>
          <w:rFonts w:hint="eastAsia" w:ascii="宋体" w:hAnsi="宋体" w:eastAsia="宋体" w:cs="宋体"/>
          <w:b w:val="0"/>
          <w:bCs w:val="0"/>
          <w:color w:val="auto"/>
          <w:highlight w:val="none"/>
        </w:rPr>
        <w:t>《符合性</w:t>
      </w:r>
      <w:r>
        <w:rPr>
          <w:rFonts w:hint="eastAsia" w:ascii="宋体" w:hAnsi="宋体" w:eastAsia="宋体" w:cs="宋体"/>
          <w:b w:val="0"/>
          <w:bCs w:val="0"/>
          <w:color w:val="auto"/>
          <w:highlight w:val="none"/>
          <w:lang w:val="en-US" w:eastAsia="zh-CN"/>
        </w:rPr>
        <w:t>检查</w:t>
      </w:r>
      <w:r>
        <w:rPr>
          <w:rFonts w:hint="eastAsia" w:ascii="宋体" w:hAnsi="宋体" w:eastAsia="宋体" w:cs="宋体"/>
          <w:b w:val="0"/>
          <w:bCs w:val="0"/>
          <w:color w:val="auto"/>
          <w:highlight w:val="none"/>
        </w:rPr>
        <w:t>表》</w:t>
      </w:r>
      <w:r>
        <w:rPr>
          <w:rFonts w:hint="eastAsia" w:ascii="宋体" w:hAnsi="宋体" w:eastAsia="宋体" w:cs="宋体"/>
          <w:b w:val="0"/>
          <w:bCs w:val="0"/>
          <w:color w:val="auto"/>
          <w:szCs w:val="21"/>
          <w:highlight w:val="none"/>
        </w:rPr>
        <w:t>的评审内容的要求如实提供证明材料并应加盖投标人公章，对缺漏或不符合项将直接导致无效投标。合格投标人不足3家的，不得评标。未通过资格性、符合性审查的投标人不进入评标阶段的评审。</w:t>
      </w:r>
    </w:p>
    <w:p w14:paraId="5C7A8E37">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《符合性</w:t>
      </w:r>
      <w:r>
        <w:rPr>
          <w:rFonts w:hint="eastAsia" w:ascii="宋体" w:hAnsi="宋体" w:eastAsia="宋体" w:cs="宋体"/>
          <w:b/>
          <w:bCs/>
          <w:color w:val="auto"/>
          <w:highlight w:val="none"/>
          <w:lang w:val="en-US" w:eastAsia="zh-CN"/>
        </w:rPr>
        <w:t>检查</w:t>
      </w:r>
      <w:r>
        <w:rPr>
          <w:rFonts w:hint="eastAsia" w:ascii="宋体" w:hAnsi="宋体" w:eastAsia="宋体" w:cs="宋体"/>
          <w:b/>
          <w:bCs/>
          <w:color w:val="auto"/>
          <w:highlight w:val="none"/>
        </w:rPr>
        <w:t>表》</w:t>
      </w:r>
    </w:p>
    <w:bookmarkEnd w:id="111"/>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7603"/>
      </w:tblGrid>
      <w:tr w14:paraId="1DAF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000" w:type="pct"/>
            <w:gridSpan w:val="2"/>
            <w:noWrap w:val="0"/>
            <w:vAlign w:val="center"/>
          </w:tcPr>
          <w:p w14:paraId="2E6ED6E2">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检查项目</w:t>
            </w:r>
          </w:p>
        </w:tc>
      </w:tr>
      <w:tr w14:paraId="140F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39" w:type="pct"/>
            <w:vMerge w:val="restart"/>
            <w:noWrap w:val="0"/>
            <w:vAlign w:val="center"/>
          </w:tcPr>
          <w:p w14:paraId="3514A63C">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商务符合性</w:t>
            </w:r>
          </w:p>
        </w:tc>
        <w:tc>
          <w:tcPr>
            <w:tcW w:w="4460" w:type="pct"/>
            <w:noWrap w:val="0"/>
            <w:vAlign w:val="center"/>
          </w:tcPr>
          <w:p w14:paraId="64C54E60">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eastAsia="宋体" w:cs="宋体"/>
                <w:color w:val="auto"/>
                <w:szCs w:val="21"/>
                <w:highlight w:val="none"/>
                <w:lang w:eastAsia="zh-CN"/>
              </w:rPr>
              <w:t>。</w:t>
            </w:r>
          </w:p>
        </w:tc>
      </w:tr>
      <w:tr w14:paraId="56B2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39" w:type="pct"/>
            <w:vMerge w:val="continue"/>
            <w:noWrap w:val="0"/>
            <w:vAlign w:val="center"/>
          </w:tcPr>
          <w:p w14:paraId="59F55358">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p>
        </w:tc>
        <w:tc>
          <w:tcPr>
            <w:tcW w:w="4460" w:type="pct"/>
            <w:noWrap w:val="0"/>
            <w:vAlign w:val="center"/>
          </w:tcPr>
          <w:p w14:paraId="41A76E73">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r>
              <w:rPr>
                <w:rFonts w:hint="eastAsia" w:ascii="宋体" w:hAnsi="宋体" w:cs="宋体"/>
                <w:color w:val="auto"/>
                <w:szCs w:val="21"/>
                <w:highlight w:val="none"/>
                <w:lang w:eastAsia="zh-CN"/>
              </w:rPr>
              <w:t>。</w:t>
            </w:r>
          </w:p>
        </w:tc>
      </w:tr>
      <w:tr w14:paraId="534A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58E2E7E2">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p>
        </w:tc>
        <w:tc>
          <w:tcPr>
            <w:tcW w:w="4460" w:type="pct"/>
            <w:noWrap w:val="0"/>
            <w:vAlign w:val="center"/>
          </w:tcPr>
          <w:p w14:paraId="1FAA6F4C">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投标人的单位负责人为同一人或者存在直接控股、管理关系的不同投标人，不得参加同一合同项下的采购活动。</w:t>
            </w:r>
          </w:p>
        </w:tc>
      </w:tr>
      <w:tr w14:paraId="52E4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1FEBF8DE">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p>
        </w:tc>
        <w:tc>
          <w:tcPr>
            <w:tcW w:w="4460" w:type="pct"/>
            <w:noWrap w:val="0"/>
            <w:vAlign w:val="center"/>
          </w:tcPr>
          <w:p w14:paraId="440C28A0">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75A7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05F63105">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p>
        </w:tc>
        <w:tc>
          <w:tcPr>
            <w:tcW w:w="4460" w:type="pct"/>
            <w:noWrap w:val="0"/>
            <w:vAlign w:val="center"/>
          </w:tcPr>
          <w:p w14:paraId="02A02A9D">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未被列入东实集团及下属企业相关领域黑名单。</w:t>
            </w:r>
          </w:p>
        </w:tc>
      </w:tr>
      <w:tr w14:paraId="22B2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061D7511">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p>
        </w:tc>
        <w:tc>
          <w:tcPr>
            <w:tcW w:w="4460" w:type="pct"/>
            <w:noWrap w:val="0"/>
            <w:vAlign w:val="center"/>
          </w:tcPr>
          <w:p w14:paraId="7443F817">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符合投标人资格要求中其他要求</w:t>
            </w:r>
            <w:r>
              <w:rPr>
                <w:rFonts w:hint="eastAsia" w:ascii="宋体" w:hAnsi="宋体" w:eastAsia="宋体" w:cs="宋体"/>
                <w:color w:val="auto"/>
                <w:szCs w:val="21"/>
                <w:highlight w:val="none"/>
                <w:lang w:eastAsia="zh-CN"/>
              </w:rPr>
              <w:t>。</w:t>
            </w:r>
          </w:p>
        </w:tc>
      </w:tr>
      <w:tr w14:paraId="7055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5D337753">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p>
        </w:tc>
        <w:tc>
          <w:tcPr>
            <w:tcW w:w="7603" w:type="dxa"/>
            <w:noWrap w:val="0"/>
            <w:vAlign w:val="center"/>
          </w:tcPr>
          <w:p w14:paraId="1B70BD8D">
            <w:pPr>
              <w:spacing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投标人须为所投产品生产厂家或授权经销商（提供相关证明文件复印件加盖投标人公章）：</w:t>
            </w:r>
          </w:p>
          <w:p w14:paraId="4F9D0D83">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①如投标人为所投产品生产厂家的，须提供在有效期内的危险化学品安全生产许可证；许可范围均须包含本次拟投货物（提供相关证明文件复印件加盖投标人公章）；</w:t>
            </w:r>
          </w:p>
          <w:p w14:paraId="657420D9">
            <w:pPr>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如投标人为所投产品授权经销商的，须提供在有效期内的许可范围均须包含本次拟投货物的危险化学品经营许可证，授权经销类供应商还需提供所投产品的经销授权书或合同等证明文件（提供相关证明文件复印件加盖投标人公章）。</w:t>
            </w:r>
          </w:p>
        </w:tc>
      </w:tr>
      <w:tr w14:paraId="2919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154AFCDF">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p>
        </w:tc>
        <w:tc>
          <w:tcPr>
            <w:tcW w:w="7603" w:type="dxa"/>
            <w:noWrap w:val="0"/>
            <w:vAlign w:val="center"/>
          </w:tcPr>
          <w:p w14:paraId="25999320">
            <w:pPr>
              <w:spacing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投标人须具有满足本项目的运输能力（自有危险化学品运输资质或与有危险化学品运输资质的单位有稳定的合作关系，提供签订的运输合同），须具有履行合同所必需的专用运输车1辆或以上，并配备相应数量的驾驶员，提供车辆自有或租赁合同及车辆允许运营的证明材料（包括但不限于道路运输经营许可证、机动车行驶证、驾驶证和道路危险货物运输押运人员从业资格证等复印件加盖投标人公章）。</w:t>
            </w:r>
          </w:p>
        </w:tc>
      </w:tr>
      <w:tr w14:paraId="3A96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68D0EBF8">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p>
        </w:tc>
        <w:tc>
          <w:tcPr>
            <w:tcW w:w="7603" w:type="dxa"/>
            <w:noWrap w:val="0"/>
            <w:vAlign w:val="center"/>
          </w:tcPr>
          <w:p w14:paraId="79BA836E">
            <w:pPr>
              <w:spacing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投标人2023年1月1日至招标公告发布之日（以合同签订时间为准）至少具有工业企业液碱业绩合同2份，且每份不小于1000吨的供货合同【需提供合同关键页及供货期限内任意一期发票；复印件加盖投标人公章。如投标人合同关键页不能体现供货量的，则除上述材料外还需提供供货量证明（签字确认的送货单或相关验收证明材料或由买方出具的证明文件）】。</w:t>
            </w:r>
          </w:p>
        </w:tc>
      </w:tr>
      <w:tr w14:paraId="68BD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539" w:type="pct"/>
            <w:vMerge w:val="continue"/>
            <w:noWrap w:val="0"/>
            <w:textDirection w:val="tbRlV"/>
            <w:vAlign w:val="center"/>
          </w:tcPr>
          <w:p w14:paraId="0D078C1A">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p>
        </w:tc>
        <w:tc>
          <w:tcPr>
            <w:tcW w:w="7603" w:type="dxa"/>
            <w:noWrap w:val="0"/>
            <w:vAlign w:val="center"/>
          </w:tcPr>
          <w:p w14:paraId="49BD37D2">
            <w:pPr>
              <w:spacing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本项目不接受联合体</w:t>
            </w:r>
          </w:p>
        </w:tc>
      </w:tr>
      <w:tr w14:paraId="608D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9" w:type="pct"/>
            <w:vMerge w:val="continue"/>
            <w:noWrap w:val="0"/>
            <w:textDirection w:val="tbRlV"/>
            <w:vAlign w:val="center"/>
          </w:tcPr>
          <w:p w14:paraId="50C322B2">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color w:val="auto"/>
                <w:szCs w:val="21"/>
                <w:highlight w:val="none"/>
              </w:rPr>
            </w:pPr>
          </w:p>
        </w:tc>
        <w:tc>
          <w:tcPr>
            <w:tcW w:w="7603" w:type="dxa"/>
            <w:noWrap w:val="0"/>
            <w:vAlign w:val="center"/>
          </w:tcPr>
          <w:p w14:paraId="5C73000D">
            <w:pPr>
              <w:spacing w:line="24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bidi="ar"/>
              </w:rPr>
              <w:t>投标人按照采购文件要求提交投标保证金</w:t>
            </w:r>
            <w:r>
              <w:rPr>
                <w:rFonts w:hint="eastAsia" w:ascii="宋体" w:hAnsi="宋体" w:eastAsia="宋体" w:cs="宋体"/>
                <w:color w:val="auto"/>
                <w:szCs w:val="21"/>
                <w:highlight w:val="none"/>
                <w:lang w:eastAsia="zh-CN" w:bidi="ar"/>
              </w:rPr>
              <w:t>。</w:t>
            </w:r>
          </w:p>
        </w:tc>
      </w:tr>
      <w:tr w14:paraId="5966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9" w:type="pct"/>
            <w:vMerge w:val="restart"/>
            <w:noWrap w:val="0"/>
            <w:vAlign w:val="center"/>
          </w:tcPr>
          <w:p w14:paraId="64509451">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技术符合性</w:t>
            </w:r>
          </w:p>
        </w:tc>
        <w:tc>
          <w:tcPr>
            <w:tcW w:w="4460" w:type="pct"/>
            <w:noWrap w:val="0"/>
            <w:vAlign w:val="center"/>
          </w:tcPr>
          <w:p w14:paraId="55D2D30C">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满足采购文件质保期要求。</w:t>
            </w:r>
          </w:p>
        </w:tc>
      </w:tr>
      <w:tr w14:paraId="41C4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39" w:type="pct"/>
            <w:vMerge w:val="continue"/>
            <w:noWrap w:val="0"/>
            <w:textDirection w:val="tbRlV"/>
            <w:vAlign w:val="center"/>
          </w:tcPr>
          <w:p w14:paraId="72C9C048">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Cs w:val="21"/>
                <w:highlight w:val="none"/>
              </w:rPr>
            </w:pPr>
          </w:p>
        </w:tc>
        <w:tc>
          <w:tcPr>
            <w:tcW w:w="4460" w:type="pct"/>
            <w:noWrap w:val="0"/>
            <w:vAlign w:val="center"/>
          </w:tcPr>
          <w:p w14:paraId="49F8F46C">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满足采购文件的投标有效期的要求。</w:t>
            </w:r>
          </w:p>
        </w:tc>
      </w:tr>
      <w:tr w14:paraId="526D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539" w:type="pct"/>
            <w:vMerge w:val="continue"/>
            <w:noWrap w:val="0"/>
            <w:vAlign w:val="center"/>
          </w:tcPr>
          <w:p w14:paraId="6443A8F5">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Cs w:val="21"/>
                <w:highlight w:val="none"/>
              </w:rPr>
            </w:pPr>
          </w:p>
        </w:tc>
        <w:tc>
          <w:tcPr>
            <w:tcW w:w="4460" w:type="pct"/>
            <w:noWrap w:val="0"/>
            <w:vAlign w:val="center"/>
          </w:tcPr>
          <w:p w14:paraId="1E0E75DF">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采购文件中带“★”号为重要和关键性的要求或参数，无对其不满足的。</w:t>
            </w:r>
          </w:p>
        </w:tc>
      </w:tr>
      <w:tr w14:paraId="2F07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539" w:type="pct"/>
            <w:vMerge w:val="continue"/>
            <w:noWrap w:val="0"/>
            <w:vAlign w:val="center"/>
          </w:tcPr>
          <w:p w14:paraId="481B6FBA">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szCs w:val="21"/>
                <w:highlight w:val="none"/>
              </w:rPr>
            </w:pPr>
          </w:p>
        </w:tc>
        <w:tc>
          <w:tcPr>
            <w:tcW w:w="4460" w:type="pct"/>
            <w:noWrap w:val="0"/>
            <w:vAlign w:val="center"/>
          </w:tcPr>
          <w:p w14:paraId="11655360">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w:t>
            </w:r>
            <w:r>
              <w:rPr>
                <w:rFonts w:hint="eastAsia" w:ascii="宋体" w:hAnsi="宋体" w:eastAsia="宋体" w:cs="宋体"/>
                <w:color w:val="auto"/>
                <w:szCs w:val="21"/>
                <w:highlight w:val="none"/>
              </w:rPr>
              <w:t>未出现</w:t>
            </w:r>
            <w:r>
              <w:rPr>
                <w:rFonts w:hint="eastAsia" w:ascii="宋体" w:hAnsi="宋体" w:eastAsia="宋体" w:cs="宋体"/>
                <w:color w:val="auto"/>
                <w:szCs w:val="21"/>
                <w:highlight w:val="none"/>
                <w:lang w:bidi="ar"/>
              </w:rPr>
              <w:t>法律、法规和</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文件规定的其他无效情形。</w:t>
            </w:r>
          </w:p>
        </w:tc>
      </w:tr>
      <w:tr w14:paraId="2A28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39" w:type="pct"/>
            <w:vMerge w:val="restart"/>
            <w:noWrap w:val="0"/>
            <w:vAlign w:val="center"/>
          </w:tcPr>
          <w:p w14:paraId="17CAFA0E">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价格符合性</w:t>
            </w:r>
          </w:p>
        </w:tc>
        <w:tc>
          <w:tcPr>
            <w:tcW w:w="4460" w:type="pct"/>
            <w:noWrap w:val="0"/>
            <w:vAlign w:val="center"/>
          </w:tcPr>
          <w:p w14:paraId="09B2610B">
            <w:pPr>
              <w:pStyle w:val="20"/>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投标报价未超过本项目任一单价最高限价。</w:t>
            </w:r>
          </w:p>
        </w:tc>
      </w:tr>
      <w:tr w14:paraId="0A96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39" w:type="pct"/>
            <w:vMerge w:val="continue"/>
            <w:noWrap w:val="0"/>
            <w:vAlign w:val="center"/>
          </w:tcPr>
          <w:p w14:paraId="4500A0BE">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Cs w:val="21"/>
                <w:highlight w:val="none"/>
              </w:rPr>
            </w:pPr>
          </w:p>
        </w:tc>
        <w:tc>
          <w:tcPr>
            <w:tcW w:w="4460" w:type="pct"/>
            <w:noWrap w:val="0"/>
            <w:vAlign w:val="center"/>
          </w:tcPr>
          <w:p w14:paraId="5BAB5015">
            <w:pPr>
              <w:pStyle w:val="20"/>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报价格式正确，必须含有开标一览表。</w:t>
            </w:r>
          </w:p>
        </w:tc>
      </w:tr>
      <w:tr w14:paraId="247C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39" w:type="pct"/>
            <w:vMerge w:val="continue"/>
            <w:noWrap w:val="0"/>
            <w:vAlign w:val="center"/>
          </w:tcPr>
          <w:p w14:paraId="17344238">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Cs w:val="21"/>
                <w:highlight w:val="none"/>
              </w:rPr>
            </w:pPr>
          </w:p>
        </w:tc>
        <w:tc>
          <w:tcPr>
            <w:tcW w:w="4460" w:type="pct"/>
            <w:noWrap w:val="0"/>
            <w:vAlign w:val="center"/>
          </w:tcPr>
          <w:p w14:paraId="5AC8BAA8">
            <w:pPr>
              <w:pStyle w:val="20"/>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投标报价合理、经济、完整，无重大缺漏项。</w:t>
            </w:r>
          </w:p>
        </w:tc>
      </w:tr>
      <w:tr w14:paraId="0801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39" w:type="pct"/>
            <w:vMerge w:val="continue"/>
            <w:noWrap w:val="0"/>
            <w:vAlign w:val="center"/>
          </w:tcPr>
          <w:p w14:paraId="59C917FC">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Cs w:val="21"/>
                <w:highlight w:val="none"/>
              </w:rPr>
            </w:pPr>
          </w:p>
        </w:tc>
        <w:tc>
          <w:tcPr>
            <w:tcW w:w="4460" w:type="pct"/>
            <w:noWrap w:val="0"/>
            <w:vAlign w:val="center"/>
          </w:tcPr>
          <w:p w14:paraId="3B074C42">
            <w:pPr>
              <w:pStyle w:val="20"/>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投标报价未低于企业自身成本价。</w:t>
            </w:r>
          </w:p>
        </w:tc>
      </w:tr>
      <w:tr w14:paraId="132E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39" w:type="pct"/>
            <w:vMerge w:val="continue"/>
            <w:noWrap w:val="0"/>
            <w:vAlign w:val="center"/>
          </w:tcPr>
          <w:p w14:paraId="792E9D81">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Cs w:val="21"/>
                <w:highlight w:val="none"/>
              </w:rPr>
            </w:pPr>
          </w:p>
        </w:tc>
        <w:tc>
          <w:tcPr>
            <w:tcW w:w="4460" w:type="pct"/>
            <w:noWrap w:val="0"/>
            <w:vAlign w:val="center"/>
          </w:tcPr>
          <w:p w14:paraId="184FCD75">
            <w:pPr>
              <w:pStyle w:val="20"/>
              <w:keepNext w:val="0"/>
              <w:keepLines w:val="0"/>
              <w:pageBreakBefore w:val="0"/>
              <w:widowControl/>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投标报价和方案必须是准确唯一的。</w:t>
            </w:r>
          </w:p>
        </w:tc>
      </w:tr>
    </w:tbl>
    <w:p w14:paraId="16FEEE57">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符合性审查确认具有有效投标文件的投标人不足三家时将重新组织采购。</w:t>
      </w:r>
    </w:p>
    <w:p w14:paraId="0F2470A2">
      <w:pPr>
        <w:widowControl w:val="0"/>
        <w:numPr>
          <w:ilvl w:val="1"/>
          <w:numId w:val="0"/>
        </w:numPr>
        <w:overflowPunct w:val="0"/>
        <w:ind w:left="567" w:leftChars="0" w:hanging="567" w:firstLineChars="0"/>
        <w:rPr>
          <w:rFonts w:hint="eastAsia" w:ascii="宋体" w:hAnsi="宋体" w:eastAsia="宋体" w:cs="宋体"/>
          <w:b/>
          <w:bCs/>
          <w:color w:val="auto"/>
          <w:szCs w:val="21"/>
          <w:highlight w:val="none"/>
        </w:rPr>
      </w:pPr>
      <w:r>
        <w:rPr>
          <w:rFonts w:hint="default" w:ascii="宋体" w:hAnsi="宋体" w:eastAsia="宋体" w:cs="宋体"/>
          <w:b/>
          <w:bCs/>
          <w:color w:val="auto"/>
          <w:sz w:val="21"/>
          <w:szCs w:val="21"/>
          <w:lang w:val="en-US" w:eastAsia="zh-CN" w:bidi="ar-SA"/>
        </w:rPr>
        <w:t>26.2.</w:t>
      </w:r>
      <w:r>
        <w:rPr>
          <w:rFonts w:hint="eastAsia" w:ascii="宋体" w:hAnsi="宋体" w:eastAsia="宋体" w:cs="宋体"/>
          <w:b/>
          <w:bCs/>
          <w:color w:val="auto"/>
          <w:szCs w:val="21"/>
          <w:highlight w:val="none"/>
        </w:rPr>
        <w:t>投标文件报价出现前后不一致的，评标委员会按照下列规定修正：</w:t>
      </w:r>
    </w:p>
    <w:p w14:paraId="722E882A">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投标文件中开标一览表（报价表）内容与投标文件中相应内容不一致的，以开标一览表（报价表）为准；</w:t>
      </w:r>
    </w:p>
    <w:p w14:paraId="0957BDA1">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大写金额和小写金额不一致的，以大写金额为准；</w:t>
      </w:r>
    </w:p>
    <w:p w14:paraId="4F7A4283">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单价金额小数点或者百分比有明显错位的，以开标一览表的总价为准，并修改单价；</w:t>
      </w:r>
    </w:p>
    <w:p w14:paraId="0666026E">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总价金额与按单价汇总金额不一致的，以单价金额计算结果为准。</w:t>
      </w:r>
    </w:p>
    <w:p w14:paraId="14EA2E58">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同时出现两种以上不一致的，按照前款规定的顺序修正。修正后的报价按照经投标人确认后产生约束力，投标人不确认的，其投标无效。</w:t>
      </w:r>
    </w:p>
    <w:p w14:paraId="2A079EE4">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4DF2BA12">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  对于投标文件中不构成实质性偏差的不正规、不一致或不规则，评标委员会可以接受，但这种接受不能损害或影响任何投标人的相对排序。</w:t>
      </w:r>
    </w:p>
    <w:p w14:paraId="30B60FE7">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3CAFE9BF">
      <w:pPr>
        <w:widowControl w:val="0"/>
        <w:tabs>
          <w:tab w:val="left" w:pos="907"/>
        </w:tabs>
        <w:adjustRightInd/>
        <w:snapToGrid/>
        <w:jc w:val="both"/>
        <w:rPr>
          <w:rFonts w:hint="eastAsia" w:ascii="宋体" w:hAnsi="宋体" w:eastAsia="宋体" w:cs="宋体"/>
          <w:color w:val="auto"/>
          <w:szCs w:val="21"/>
          <w:highlight w:val="none"/>
        </w:rPr>
      </w:pPr>
    </w:p>
    <w:p w14:paraId="63A5282D">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12" w:name="_Toc316375620"/>
      <w:bookmarkStart w:id="113" w:name="_Toc27199"/>
      <w:bookmarkStart w:id="114" w:name="_Toc24922"/>
      <w:bookmarkStart w:id="115" w:name="_Toc382049120"/>
      <w:bookmarkStart w:id="116" w:name="_Toc20328"/>
      <w:r>
        <w:rPr>
          <w:rFonts w:hint="default" w:ascii="宋体" w:hAnsi="宋体" w:eastAsia="宋体" w:cs="宋体"/>
          <w:b/>
          <w:bCs/>
          <w:vanish/>
          <w:color w:val="auto"/>
          <w:sz w:val="24"/>
          <w:szCs w:val="21"/>
          <w:lang w:val="en-US" w:eastAsia="zh-CN" w:bidi="ar-SA"/>
        </w:rPr>
        <w:t>27.</w:t>
      </w:r>
      <w:r>
        <w:rPr>
          <w:rFonts w:hint="eastAsia" w:ascii="宋体" w:hAnsi="宋体" w:eastAsia="宋体" w:cs="宋体"/>
          <w:color w:val="auto"/>
          <w:sz w:val="21"/>
          <w:szCs w:val="21"/>
          <w:highlight w:val="none"/>
        </w:rPr>
        <w:t>纪律和保密</w:t>
      </w:r>
      <w:bookmarkEnd w:id="112"/>
      <w:r>
        <w:rPr>
          <w:rFonts w:hint="eastAsia" w:ascii="宋体" w:hAnsi="宋体" w:eastAsia="宋体" w:cs="宋体"/>
          <w:color w:val="auto"/>
          <w:sz w:val="21"/>
          <w:szCs w:val="21"/>
          <w:highlight w:val="none"/>
        </w:rPr>
        <w:t>事项</w:t>
      </w:r>
      <w:bookmarkEnd w:id="113"/>
      <w:bookmarkEnd w:id="114"/>
      <w:bookmarkEnd w:id="115"/>
      <w:bookmarkEnd w:id="116"/>
    </w:p>
    <w:p w14:paraId="71B01AE1">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27.1.</w:t>
      </w:r>
      <w:r>
        <w:rPr>
          <w:rFonts w:hint="eastAsia" w:ascii="宋体" w:hAnsi="宋体" w:eastAsia="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7730C558">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27.2.</w:t>
      </w:r>
      <w:r>
        <w:rPr>
          <w:rFonts w:hint="eastAsia" w:ascii="宋体" w:hAnsi="宋体" w:eastAsia="宋体" w:cs="宋体"/>
          <w:color w:val="auto"/>
          <w:szCs w:val="21"/>
          <w:highlight w:val="none"/>
        </w:rPr>
        <w:t>投标人不得串通作弊，以不正当的手段妨碍、排挤其他投标人，扰乱采购市场，破坏公平竞争原则。否则将按相关法律规定严肃处理。</w:t>
      </w:r>
    </w:p>
    <w:p w14:paraId="7CAC5A8D">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27.3.</w:t>
      </w:r>
      <w:r>
        <w:rPr>
          <w:rFonts w:hint="eastAsia" w:ascii="宋体" w:hAnsi="宋体" w:eastAsia="宋体" w:cs="宋体"/>
          <w:color w:val="auto"/>
          <w:szCs w:val="21"/>
          <w:highlight w:val="none"/>
        </w:rPr>
        <w:t>获得本采购文件的投标人，应对文件进行保密，不得用作本次投标以外的任何用途。开标后，投标人应归还采购文件中要求保密的文件和资料。</w:t>
      </w:r>
    </w:p>
    <w:p w14:paraId="1C720269">
      <w:pPr>
        <w:rPr>
          <w:rFonts w:hint="eastAsia" w:ascii="宋体" w:hAnsi="宋体" w:eastAsia="宋体" w:cs="宋体"/>
          <w:color w:val="auto"/>
          <w:highlight w:val="none"/>
        </w:rPr>
      </w:pPr>
    </w:p>
    <w:p w14:paraId="04FEC6DD">
      <w:pPr>
        <w:pStyle w:val="4"/>
        <w:numPr>
          <w:ilvl w:val="0"/>
          <w:numId w:val="3"/>
        </w:numPr>
        <w:spacing w:before="0" w:after="0" w:line="360" w:lineRule="auto"/>
        <w:jc w:val="center"/>
        <w:rPr>
          <w:rFonts w:hint="eastAsia" w:ascii="宋体" w:hAnsi="宋体" w:eastAsia="宋体" w:cs="宋体"/>
          <w:color w:val="auto"/>
          <w:highlight w:val="none"/>
        </w:rPr>
      </w:pPr>
      <w:bookmarkStart w:id="117" w:name="_Toc20907"/>
      <w:bookmarkStart w:id="118" w:name="_Toc31114"/>
      <w:r>
        <w:rPr>
          <w:rFonts w:hint="eastAsia" w:ascii="宋体" w:hAnsi="宋体" w:eastAsia="宋体" w:cs="宋体"/>
          <w:color w:val="auto"/>
          <w:highlight w:val="none"/>
        </w:rPr>
        <w:t>授予合同</w:t>
      </w:r>
      <w:bookmarkEnd w:id="117"/>
      <w:bookmarkEnd w:id="118"/>
    </w:p>
    <w:p w14:paraId="56AE07F3">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19" w:name="_Toc20316"/>
      <w:bookmarkStart w:id="120" w:name="_Toc29350"/>
      <w:bookmarkStart w:id="121" w:name="_Toc508284011"/>
      <w:r>
        <w:rPr>
          <w:rFonts w:hint="default" w:ascii="宋体" w:hAnsi="宋体" w:eastAsia="宋体" w:cs="宋体"/>
          <w:b/>
          <w:bCs/>
          <w:vanish/>
          <w:color w:val="auto"/>
          <w:sz w:val="24"/>
          <w:szCs w:val="21"/>
          <w:lang w:val="en-US" w:eastAsia="zh-CN" w:bidi="ar-SA"/>
        </w:rPr>
        <w:t>28.</w:t>
      </w:r>
      <w:r>
        <w:rPr>
          <w:rFonts w:hint="eastAsia" w:ascii="宋体" w:hAnsi="宋体" w:eastAsia="宋体" w:cs="宋体"/>
          <w:color w:val="auto"/>
          <w:sz w:val="21"/>
          <w:szCs w:val="21"/>
          <w:highlight w:val="none"/>
        </w:rPr>
        <w:t>合同授予标准</w:t>
      </w:r>
      <w:bookmarkEnd w:id="119"/>
      <w:bookmarkEnd w:id="120"/>
      <w:bookmarkEnd w:id="121"/>
    </w:p>
    <w:p w14:paraId="03C2CADF">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28.1.</w:t>
      </w:r>
      <w:r>
        <w:rPr>
          <w:rFonts w:hint="eastAsia" w:ascii="宋体" w:hAnsi="宋体" w:eastAsia="宋体" w:cs="宋体"/>
          <w:color w:val="auto"/>
          <w:szCs w:val="21"/>
          <w:highlight w:val="none"/>
        </w:rPr>
        <w:t>根据评标委员会的评审结果，采购人按照评审报告推荐的中标候选人中按顺序依法确定中标人。</w:t>
      </w:r>
    </w:p>
    <w:p w14:paraId="0B237D40">
      <w:pPr>
        <w:rPr>
          <w:rFonts w:hint="eastAsia" w:ascii="宋体" w:hAnsi="宋体" w:eastAsia="宋体" w:cs="宋体"/>
          <w:color w:val="auto"/>
          <w:highlight w:val="none"/>
        </w:rPr>
      </w:pPr>
    </w:p>
    <w:p w14:paraId="517793F2">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22" w:name="_Toc18559"/>
      <w:bookmarkStart w:id="123" w:name="_Toc508284013"/>
      <w:bookmarkStart w:id="124" w:name="_Toc3392"/>
      <w:r>
        <w:rPr>
          <w:rFonts w:hint="default" w:ascii="宋体" w:hAnsi="宋体" w:eastAsia="宋体" w:cs="宋体"/>
          <w:b/>
          <w:bCs/>
          <w:vanish/>
          <w:color w:val="auto"/>
          <w:sz w:val="24"/>
          <w:szCs w:val="21"/>
          <w:lang w:val="en-US" w:eastAsia="zh-CN" w:bidi="ar-SA"/>
        </w:rPr>
        <w:t>29.</w:t>
      </w:r>
      <w:r>
        <w:rPr>
          <w:rFonts w:hint="eastAsia" w:ascii="宋体" w:hAnsi="宋体" w:eastAsia="宋体" w:cs="宋体"/>
          <w:color w:val="auto"/>
          <w:sz w:val="21"/>
          <w:szCs w:val="21"/>
          <w:highlight w:val="none"/>
        </w:rPr>
        <w:t>发布中标结果</w:t>
      </w:r>
      <w:bookmarkEnd w:id="122"/>
      <w:bookmarkEnd w:id="123"/>
      <w:bookmarkEnd w:id="124"/>
    </w:p>
    <w:p w14:paraId="6F05B7F1">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29.1.</w:t>
      </w:r>
      <w:r>
        <w:rPr>
          <w:rFonts w:hint="eastAsia" w:ascii="宋体" w:hAnsi="宋体" w:eastAsia="宋体" w:cs="宋体"/>
          <w:color w:val="auto"/>
          <w:szCs w:val="21"/>
          <w:highlight w:val="none"/>
        </w:rPr>
        <w:t>评标委员会提出评标书面报告和推荐中标意见报采购人确认后，采购代理机构将在指定的信息发布媒体上发布公告。</w:t>
      </w:r>
    </w:p>
    <w:p w14:paraId="29713C20">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29.2.</w:t>
      </w:r>
      <w:r>
        <w:rPr>
          <w:rFonts w:hint="eastAsia" w:ascii="宋体" w:hAnsi="宋体" w:eastAsia="宋体" w:cs="宋体"/>
          <w:color w:val="auto"/>
          <w:szCs w:val="21"/>
          <w:highlight w:val="none"/>
        </w:rPr>
        <w:t>中标公告期限为3个日历日。</w:t>
      </w:r>
    </w:p>
    <w:p w14:paraId="75BC1F53">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29.3.</w:t>
      </w:r>
      <w:r>
        <w:rPr>
          <w:rFonts w:hint="eastAsia" w:ascii="宋体" w:hAnsi="宋体" w:eastAsia="宋体" w:cs="宋体"/>
          <w:color w:val="auto"/>
          <w:szCs w:val="21"/>
          <w:highlight w:val="none"/>
        </w:rPr>
        <w:t>《中标通知书》是合同的一个组成部分，《中标通知书》对采购人和中标人均具有同等法律效力。</w:t>
      </w:r>
    </w:p>
    <w:p w14:paraId="60C860D9">
      <w:pPr>
        <w:widowControl w:val="0"/>
        <w:tabs>
          <w:tab w:val="left" w:pos="907"/>
        </w:tabs>
        <w:adjustRightInd/>
        <w:snapToGrid/>
        <w:jc w:val="both"/>
        <w:rPr>
          <w:rFonts w:hint="eastAsia" w:ascii="宋体" w:hAnsi="宋体" w:eastAsia="宋体" w:cs="宋体"/>
          <w:color w:val="auto"/>
          <w:szCs w:val="21"/>
          <w:highlight w:val="none"/>
        </w:rPr>
      </w:pPr>
    </w:p>
    <w:p w14:paraId="3A7C0779">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25" w:name="_Toc14409"/>
      <w:bookmarkStart w:id="126" w:name="_Toc12509"/>
      <w:r>
        <w:rPr>
          <w:rFonts w:hint="default" w:ascii="宋体" w:hAnsi="宋体" w:eastAsia="宋体" w:cs="宋体"/>
          <w:b/>
          <w:bCs/>
          <w:vanish/>
          <w:color w:val="auto"/>
          <w:sz w:val="24"/>
          <w:szCs w:val="21"/>
          <w:lang w:val="en-US" w:eastAsia="zh-CN" w:bidi="ar-SA"/>
        </w:rPr>
        <w:t>30.</w:t>
      </w:r>
      <w:r>
        <w:rPr>
          <w:rFonts w:hint="eastAsia" w:ascii="宋体" w:hAnsi="宋体" w:eastAsia="宋体" w:cs="宋体"/>
          <w:color w:val="auto"/>
          <w:sz w:val="21"/>
          <w:szCs w:val="21"/>
          <w:highlight w:val="none"/>
        </w:rPr>
        <w:t>资格后审</w:t>
      </w:r>
      <w:bookmarkEnd w:id="125"/>
      <w:bookmarkEnd w:id="126"/>
    </w:p>
    <w:p w14:paraId="6B5E16FA">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30.1.</w:t>
      </w:r>
      <w:r>
        <w:rPr>
          <w:rFonts w:hint="eastAsia" w:ascii="宋体" w:hAnsi="宋体" w:eastAsia="宋体" w:cs="宋体"/>
          <w:color w:val="auto"/>
          <w:szCs w:val="21"/>
          <w:highlight w:val="none"/>
        </w:rPr>
        <w:t>采购人将</w:t>
      </w:r>
      <w:r>
        <w:rPr>
          <w:rFonts w:hint="eastAsia" w:ascii="宋体" w:hAnsi="宋体" w:eastAsia="宋体" w:cs="宋体"/>
          <w:b/>
          <w:bCs/>
          <w:color w:val="auto"/>
          <w:szCs w:val="21"/>
          <w:highlight w:val="none"/>
        </w:rPr>
        <w:t>有权</w:t>
      </w:r>
      <w:r>
        <w:rPr>
          <w:rFonts w:hint="eastAsia" w:ascii="宋体" w:hAnsi="宋体" w:eastAsia="宋体" w:cs="宋体"/>
          <w:color w:val="auto"/>
          <w:szCs w:val="21"/>
          <w:highlight w:val="none"/>
        </w:rPr>
        <w:t>根据本文件中的要求，对评委会推荐的中标候选人进行资格后审。</w:t>
      </w:r>
    </w:p>
    <w:p w14:paraId="53E48108">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30.2.</w:t>
      </w:r>
      <w:r>
        <w:rPr>
          <w:rFonts w:hint="eastAsia" w:ascii="宋体" w:hAnsi="宋体" w:eastAsia="宋体" w:cs="宋体"/>
          <w:color w:val="auto"/>
          <w:szCs w:val="21"/>
          <w:highlight w:val="none"/>
        </w:rPr>
        <w:t>中标候选人须无条件配合资格后审，否则采购人有权取消其中标资格，且投标保证金可不予退还。</w:t>
      </w:r>
    </w:p>
    <w:p w14:paraId="3B0EC4B0">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30.3.</w:t>
      </w:r>
      <w:r>
        <w:rPr>
          <w:rFonts w:hint="eastAsia" w:ascii="宋体" w:hAnsi="宋体" w:eastAsia="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3509B31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30.4.</w:t>
      </w:r>
      <w:r>
        <w:rPr>
          <w:rFonts w:hint="eastAsia" w:ascii="宋体" w:hAnsi="宋体" w:eastAsia="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7721610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30.5.</w:t>
      </w:r>
      <w:r>
        <w:rPr>
          <w:rFonts w:hint="eastAsia" w:ascii="宋体" w:hAnsi="宋体" w:eastAsia="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1911EC12">
      <w:pPr>
        <w:rPr>
          <w:rFonts w:hint="eastAsia" w:ascii="宋体" w:hAnsi="宋体" w:eastAsia="宋体" w:cs="宋体"/>
          <w:color w:val="auto"/>
          <w:highlight w:val="none"/>
        </w:rPr>
      </w:pPr>
    </w:p>
    <w:p w14:paraId="05E4815B">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27" w:name="_Toc29107"/>
      <w:bookmarkStart w:id="128" w:name="_Toc28130"/>
      <w:r>
        <w:rPr>
          <w:rFonts w:hint="default" w:ascii="宋体" w:hAnsi="宋体" w:eastAsia="宋体" w:cs="宋体"/>
          <w:b/>
          <w:bCs/>
          <w:vanish/>
          <w:color w:val="auto"/>
          <w:sz w:val="24"/>
          <w:szCs w:val="21"/>
          <w:lang w:val="en-US" w:eastAsia="zh-CN" w:bidi="ar-SA"/>
        </w:rPr>
        <w:t>31.</w:t>
      </w:r>
      <w:r>
        <w:rPr>
          <w:rFonts w:hint="eastAsia" w:ascii="宋体" w:hAnsi="宋体" w:eastAsia="宋体" w:cs="宋体"/>
          <w:color w:val="auto"/>
          <w:sz w:val="21"/>
          <w:szCs w:val="21"/>
          <w:highlight w:val="none"/>
        </w:rPr>
        <w:t>合同的签订与履行</w:t>
      </w:r>
      <w:bookmarkEnd w:id="127"/>
      <w:bookmarkEnd w:id="128"/>
    </w:p>
    <w:p w14:paraId="7E7FE3C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31.1.</w:t>
      </w:r>
      <w:r>
        <w:rPr>
          <w:rFonts w:hint="eastAsia" w:ascii="宋体" w:hAnsi="宋体" w:eastAsia="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376033B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31.2.</w:t>
      </w:r>
      <w:r>
        <w:rPr>
          <w:rFonts w:hint="eastAsia" w:ascii="宋体" w:hAnsi="宋体" w:eastAsia="宋体" w:cs="宋体"/>
          <w:color w:val="auto"/>
          <w:szCs w:val="21"/>
          <w:highlight w:val="none"/>
        </w:rPr>
        <w:t>采购人与中标人应当根据合同的约定依法履行合同义务。</w:t>
      </w:r>
    </w:p>
    <w:p w14:paraId="4E5AE93D">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31.3.</w:t>
      </w:r>
      <w:r>
        <w:rPr>
          <w:rFonts w:hint="eastAsia" w:ascii="宋体" w:hAnsi="宋体" w:eastAsia="宋体" w:cs="宋体"/>
          <w:color w:val="auto"/>
          <w:szCs w:val="21"/>
          <w:highlight w:val="none"/>
        </w:rPr>
        <w:t>采购合同的履行、违约责任和解决争议的方法等适用《中华人民共和国民法典》。</w:t>
      </w:r>
    </w:p>
    <w:p w14:paraId="4C75E185">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31.4.</w:t>
      </w:r>
      <w:r>
        <w:rPr>
          <w:rFonts w:hint="eastAsia" w:ascii="宋体" w:hAnsi="宋体" w:eastAsia="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411B6F85">
      <w:pPr>
        <w:widowControl w:val="0"/>
        <w:tabs>
          <w:tab w:val="left" w:pos="907"/>
        </w:tabs>
        <w:adjustRightInd/>
        <w:snapToGrid/>
        <w:jc w:val="both"/>
        <w:rPr>
          <w:rFonts w:hint="eastAsia" w:ascii="宋体" w:hAnsi="宋体" w:eastAsia="宋体" w:cs="宋体"/>
          <w:color w:val="auto"/>
          <w:highlight w:val="none"/>
        </w:rPr>
      </w:pPr>
    </w:p>
    <w:p w14:paraId="2A7EFEA7">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29" w:name="_Toc382049124"/>
      <w:bookmarkStart w:id="130" w:name="_Toc29009"/>
      <w:bookmarkStart w:id="131" w:name="_Toc303084277"/>
      <w:bookmarkStart w:id="132" w:name="_Toc23117"/>
      <w:bookmarkStart w:id="133" w:name="_Toc29671"/>
      <w:r>
        <w:rPr>
          <w:rFonts w:hint="default" w:ascii="宋体" w:hAnsi="宋体" w:eastAsia="宋体" w:cs="宋体"/>
          <w:b/>
          <w:bCs/>
          <w:vanish/>
          <w:color w:val="auto"/>
          <w:sz w:val="24"/>
          <w:szCs w:val="21"/>
          <w:lang w:val="en-US" w:eastAsia="zh-CN" w:bidi="ar-SA"/>
        </w:rPr>
        <w:t>32.</w:t>
      </w:r>
      <w:r>
        <w:rPr>
          <w:rFonts w:hint="eastAsia" w:ascii="宋体" w:hAnsi="宋体" w:eastAsia="宋体" w:cs="宋体"/>
          <w:color w:val="auto"/>
          <w:sz w:val="21"/>
          <w:szCs w:val="21"/>
          <w:highlight w:val="none"/>
        </w:rPr>
        <w:t>履约</w:t>
      </w:r>
      <w:bookmarkEnd w:id="129"/>
      <w:bookmarkEnd w:id="130"/>
      <w:bookmarkEnd w:id="131"/>
      <w:r>
        <w:rPr>
          <w:rFonts w:hint="eastAsia" w:ascii="宋体" w:hAnsi="宋体" w:eastAsia="宋体" w:cs="宋体"/>
          <w:color w:val="auto"/>
          <w:sz w:val="21"/>
          <w:szCs w:val="21"/>
          <w:highlight w:val="none"/>
        </w:rPr>
        <w:t>担保</w:t>
      </w:r>
      <w:bookmarkEnd w:id="132"/>
      <w:bookmarkEnd w:id="133"/>
    </w:p>
    <w:p w14:paraId="27F978D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32.1.</w:t>
      </w:r>
      <w:r>
        <w:rPr>
          <w:rFonts w:hint="eastAsia" w:ascii="宋体" w:hAnsi="宋体" w:eastAsia="宋体" w:cs="宋体"/>
          <w:color w:val="auto"/>
          <w:szCs w:val="21"/>
          <w:highlight w:val="none"/>
        </w:rPr>
        <w:t>中标人在签订合同后15个日历天内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4DDC497A">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32.2.</w:t>
      </w:r>
      <w:r>
        <w:rPr>
          <w:rFonts w:hint="eastAsia" w:ascii="宋体" w:hAnsi="宋体" w:eastAsia="宋体" w:cs="宋体"/>
          <w:color w:val="auto"/>
          <w:szCs w:val="21"/>
          <w:highlight w:val="none"/>
        </w:rPr>
        <w:t>履约担保期限从合同签订之日起至项目服务期结束验收合格并结算完毕后，经双方签字7天内保持有效。</w:t>
      </w:r>
    </w:p>
    <w:p w14:paraId="73B2576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32.3.</w:t>
      </w:r>
      <w:r>
        <w:rPr>
          <w:rFonts w:hint="eastAsia" w:ascii="宋体" w:hAnsi="宋体" w:eastAsia="宋体" w:cs="宋体"/>
          <w:color w:val="auto"/>
          <w:szCs w:val="21"/>
          <w:highlight w:val="none"/>
        </w:rPr>
        <w:t>履约担保可以采用下列任何一种形式：</w:t>
      </w:r>
    </w:p>
    <w:p w14:paraId="29B1DB19">
      <w:pPr>
        <w:widowControl w:val="0"/>
        <w:numPr>
          <w:ilvl w:val="1"/>
          <w:numId w:val="0"/>
        </w:numPr>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14:paraId="5DC94402">
      <w:pPr>
        <w:widowControl w:val="0"/>
        <w:numPr>
          <w:ilvl w:val="1"/>
          <w:numId w:val="0"/>
        </w:numPr>
        <w:overflowPunct w:val="0"/>
        <w:ind w:left="630" w:leftChars="300" w:firstLine="63" w:firstLineChars="3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w:t>
      </w:r>
    </w:p>
    <w:p w14:paraId="160A7E76">
      <w:pPr>
        <w:widowControl w:val="0"/>
        <w:numPr>
          <w:ilvl w:val="1"/>
          <w:numId w:val="0"/>
        </w:numPr>
        <w:overflowPunct w:val="0"/>
        <w:ind w:left="630" w:leftChars="300" w:firstLine="63" w:firstLineChars="3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w:t>
      </w:r>
      <w:r>
        <w:rPr>
          <w:rFonts w:hint="eastAsia" w:ascii="宋体" w:hAnsi="宋体" w:cs="宋体"/>
          <w:color w:val="auto"/>
          <w:szCs w:val="21"/>
          <w:highlight w:val="none"/>
          <w:lang w:val="en-US" w:eastAsia="zh-CN"/>
        </w:rPr>
        <w:t>合同延期的</w:t>
      </w:r>
      <w:r>
        <w:rPr>
          <w:rFonts w:hint="eastAsia" w:ascii="宋体" w:hAnsi="宋体" w:eastAsia="宋体" w:cs="宋体"/>
          <w:color w:val="auto"/>
          <w:szCs w:val="21"/>
          <w:highlight w:val="none"/>
        </w:rPr>
        <w:t>，保函必须延期，办理延期手续时在银行方面所产生费用由中标人负责。</w:t>
      </w:r>
    </w:p>
    <w:p w14:paraId="72697ED3">
      <w:pPr>
        <w:widowControl w:val="0"/>
        <w:numPr>
          <w:ilvl w:val="1"/>
          <w:numId w:val="0"/>
        </w:numPr>
        <w:overflowPunct w:val="0"/>
        <w:ind w:left="630" w:leftChars="300" w:firstLine="63" w:firstLineChars="3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14:paraId="30D1C658">
      <w:pPr>
        <w:widowControl w:val="0"/>
        <w:numPr>
          <w:ilvl w:val="1"/>
          <w:numId w:val="0"/>
        </w:numPr>
        <w:overflowPunct w:val="0"/>
        <w:ind w:left="567" w:leftChars="200" w:hanging="147" w:hangingChars="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（2）履约保证金。可采用电汇、银行汇票等银行转账方式提交，但不可以采用现金方式提交。履约保证金金额</w:t>
      </w:r>
      <w:r>
        <w:rPr>
          <w:rFonts w:hint="eastAsia" w:ascii="宋体" w:hAnsi="宋体" w:eastAsia="宋体" w:cs="宋体"/>
          <w:color w:val="auto"/>
          <w:szCs w:val="21"/>
          <w:highlight w:val="none"/>
          <w:lang w:val="en-US" w:eastAsia="zh-CN"/>
        </w:rPr>
        <w:t>按采购文件要求</w:t>
      </w:r>
      <w:r>
        <w:rPr>
          <w:rFonts w:hint="eastAsia" w:ascii="宋体" w:hAnsi="宋体" w:eastAsia="宋体" w:cs="宋体"/>
          <w:color w:val="auto"/>
          <w:szCs w:val="21"/>
          <w:highlight w:val="none"/>
        </w:rPr>
        <w:t>。中标人人必须保证履约保证金以中标人的名称在（合同约定的日期）前提交至采购人指定账户。</w:t>
      </w:r>
    </w:p>
    <w:p w14:paraId="1F26ACB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32.</w:t>
      </w:r>
      <w:r>
        <w:rPr>
          <w:rFonts w:hint="eastAsia" w:ascii="宋体" w:hAnsi="宋体" w:cs="宋体"/>
          <w:color w:val="auto"/>
          <w:sz w:val="21"/>
          <w:szCs w:val="21"/>
          <w:lang w:val="en-US" w:eastAsia="zh-CN" w:bidi="ar-SA"/>
        </w:rPr>
        <w:t>4</w:t>
      </w:r>
      <w:r>
        <w:rPr>
          <w:rFonts w:hint="default" w:ascii="宋体" w:hAnsi="宋体" w:eastAsia="宋体" w:cs="宋体"/>
          <w:color w:val="auto"/>
          <w:sz w:val="21"/>
          <w:szCs w:val="21"/>
          <w:lang w:val="en-US" w:eastAsia="zh-CN" w:bidi="ar-SA"/>
        </w:rPr>
        <w:t>.</w:t>
      </w:r>
      <w:r>
        <w:rPr>
          <w:rFonts w:hint="eastAsia" w:ascii="宋体" w:hAnsi="宋体" w:eastAsia="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21882D3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32.</w:t>
      </w:r>
      <w:r>
        <w:rPr>
          <w:rFonts w:hint="eastAsia" w:ascii="宋体" w:hAnsi="宋体" w:cs="宋体"/>
          <w:color w:val="auto"/>
          <w:sz w:val="21"/>
          <w:szCs w:val="21"/>
          <w:lang w:val="en-US" w:eastAsia="zh-CN" w:bidi="ar-SA"/>
        </w:rPr>
        <w:t>5</w:t>
      </w:r>
      <w:r>
        <w:rPr>
          <w:rFonts w:hint="default" w:ascii="宋体" w:hAnsi="宋体" w:eastAsia="宋体" w:cs="宋体"/>
          <w:color w:val="auto"/>
          <w:sz w:val="21"/>
          <w:szCs w:val="21"/>
          <w:lang w:val="en-US" w:eastAsia="zh-CN" w:bidi="ar-SA"/>
        </w:rPr>
        <w:t>.</w:t>
      </w:r>
      <w:r>
        <w:rPr>
          <w:rFonts w:hint="eastAsia" w:ascii="宋体" w:hAnsi="宋体" w:eastAsia="宋体" w:cs="宋体"/>
          <w:color w:val="auto"/>
          <w:szCs w:val="21"/>
          <w:highlight w:val="none"/>
        </w:rPr>
        <w:t>为取得履约担保所需的费用，由中标人承担；若工期延误，履约担保时间延长，延长费用由中标人承担。</w:t>
      </w:r>
    </w:p>
    <w:p w14:paraId="62C4FB7F">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32.</w:t>
      </w:r>
      <w:r>
        <w:rPr>
          <w:rFonts w:hint="eastAsia" w:ascii="宋体" w:hAnsi="宋体" w:cs="宋体"/>
          <w:color w:val="auto"/>
          <w:sz w:val="21"/>
          <w:szCs w:val="21"/>
          <w:lang w:val="en-US" w:eastAsia="zh-CN" w:bidi="ar-SA"/>
        </w:rPr>
        <w:t>6</w:t>
      </w:r>
      <w:r>
        <w:rPr>
          <w:rFonts w:hint="default" w:ascii="宋体" w:hAnsi="宋体" w:eastAsia="宋体" w:cs="宋体"/>
          <w:color w:val="auto"/>
          <w:sz w:val="21"/>
          <w:szCs w:val="21"/>
          <w:lang w:val="en-US" w:eastAsia="zh-CN" w:bidi="ar-SA"/>
        </w:rPr>
        <w:t>.</w:t>
      </w:r>
      <w:r>
        <w:rPr>
          <w:rFonts w:hint="eastAsia" w:ascii="宋体" w:hAnsi="宋体" w:eastAsia="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020E94C">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32.</w:t>
      </w:r>
      <w:r>
        <w:rPr>
          <w:rFonts w:hint="eastAsia" w:ascii="宋体" w:hAnsi="宋体" w:cs="宋体"/>
          <w:color w:val="auto"/>
          <w:sz w:val="21"/>
          <w:szCs w:val="21"/>
          <w:lang w:val="en-US" w:eastAsia="zh-CN" w:bidi="ar-SA"/>
        </w:rPr>
        <w:t>7</w:t>
      </w:r>
      <w:r>
        <w:rPr>
          <w:rFonts w:hint="default" w:ascii="宋体" w:hAnsi="宋体" w:eastAsia="宋体" w:cs="宋体"/>
          <w:color w:val="auto"/>
          <w:sz w:val="21"/>
          <w:szCs w:val="21"/>
          <w:lang w:val="en-US" w:eastAsia="zh-CN" w:bidi="ar-SA"/>
        </w:rPr>
        <w:t>.</w:t>
      </w:r>
      <w:r>
        <w:rPr>
          <w:rFonts w:hint="eastAsia" w:ascii="宋体" w:hAnsi="宋体" w:eastAsia="宋体" w:cs="宋体"/>
          <w:color w:val="auto"/>
          <w:szCs w:val="21"/>
          <w:highlight w:val="none"/>
        </w:rPr>
        <w:t>下列任何情况发生时，采购人有权行使享有的担保权利：</w:t>
      </w:r>
    </w:p>
    <w:p w14:paraId="50AF1A55">
      <w:pPr>
        <w:keepNext w:val="0"/>
        <w:keepLines w:val="0"/>
        <w:pageBreakBefore w:val="0"/>
        <w:widowControl w:val="0"/>
        <w:tabs>
          <w:tab w:val="left" w:pos="907"/>
        </w:tabs>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（1）中标人将本项目转让给他人，或者在投标文件中未说明，且未经采购人同意，将中标项目分包给他人的；</w:t>
      </w:r>
    </w:p>
    <w:p w14:paraId="673DD2AF">
      <w:pPr>
        <w:keepNext w:val="0"/>
        <w:keepLines w:val="0"/>
        <w:pageBreakBefore w:val="0"/>
        <w:widowControl w:val="0"/>
        <w:tabs>
          <w:tab w:val="left" w:pos="907"/>
        </w:tabs>
        <w:kinsoku/>
        <w:wordWrap/>
        <w:overflowPunct/>
        <w:topLinePunct w:val="0"/>
        <w:autoSpaceDE/>
        <w:autoSpaceDN/>
        <w:bidi w:val="0"/>
        <w:adjustRightInd/>
        <w:snapToGrid/>
        <w:spacing w:line="24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（2）中标人在履行采购合同期间，违反有关法律法规的规定及合同约定的条款，损害了采购人的利益。</w:t>
      </w:r>
    </w:p>
    <w:p w14:paraId="2AE3702F">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32.</w:t>
      </w:r>
      <w:r>
        <w:rPr>
          <w:rFonts w:hint="eastAsia" w:ascii="宋体" w:hAnsi="宋体" w:cs="宋体"/>
          <w:color w:val="auto"/>
          <w:sz w:val="21"/>
          <w:szCs w:val="21"/>
          <w:lang w:val="en-US" w:eastAsia="zh-CN" w:bidi="ar-SA"/>
        </w:rPr>
        <w:t>8</w:t>
      </w:r>
      <w:r>
        <w:rPr>
          <w:rFonts w:hint="default" w:ascii="宋体" w:hAnsi="宋体" w:eastAsia="宋体" w:cs="宋体"/>
          <w:color w:val="auto"/>
          <w:sz w:val="21"/>
          <w:szCs w:val="21"/>
          <w:lang w:val="en-US" w:eastAsia="zh-CN" w:bidi="ar-SA"/>
        </w:rPr>
        <w:t>.</w:t>
      </w:r>
      <w:r>
        <w:rPr>
          <w:rFonts w:hint="eastAsia" w:ascii="宋体" w:hAnsi="宋体" w:eastAsia="宋体" w:cs="宋体"/>
          <w:color w:val="auto"/>
          <w:szCs w:val="21"/>
          <w:highlight w:val="none"/>
        </w:rPr>
        <w:t>在整个项目验收合格后，中标人向采购人提交退回履约担保的申请，采购人办理履约担保退还手续。</w:t>
      </w:r>
    </w:p>
    <w:p w14:paraId="1F9A0FBC">
      <w:pPr>
        <w:widowControl w:val="0"/>
        <w:tabs>
          <w:tab w:val="left" w:pos="907"/>
        </w:tabs>
        <w:adjustRightInd/>
        <w:snapToGrid/>
        <w:jc w:val="both"/>
        <w:rPr>
          <w:rFonts w:hint="eastAsia" w:ascii="宋体" w:hAnsi="宋体" w:eastAsia="宋体" w:cs="宋体"/>
          <w:color w:val="auto"/>
          <w:highlight w:val="none"/>
        </w:rPr>
      </w:pPr>
    </w:p>
    <w:p w14:paraId="68D34986">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34" w:name="_Toc19614"/>
      <w:bookmarkStart w:id="135" w:name="_Toc5214"/>
      <w:r>
        <w:rPr>
          <w:rFonts w:hint="default" w:ascii="宋体" w:hAnsi="宋体" w:eastAsia="宋体" w:cs="宋体"/>
          <w:b/>
          <w:bCs/>
          <w:vanish/>
          <w:color w:val="auto"/>
          <w:sz w:val="24"/>
          <w:szCs w:val="21"/>
          <w:lang w:val="en-US" w:eastAsia="zh-CN" w:bidi="ar-SA"/>
        </w:rPr>
        <w:t>33.</w:t>
      </w:r>
      <w:r>
        <w:rPr>
          <w:rFonts w:hint="eastAsia" w:ascii="宋体" w:hAnsi="宋体" w:eastAsia="宋体" w:cs="宋体"/>
          <w:color w:val="auto"/>
          <w:sz w:val="21"/>
          <w:szCs w:val="21"/>
          <w:highlight w:val="none"/>
        </w:rPr>
        <w:t>预付款保函（适用于预付款支付）</w:t>
      </w:r>
      <w:bookmarkEnd w:id="134"/>
      <w:bookmarkEnd w:id="135"/>
    </w:p>
    <w:p w14:paraId="39C7E2C8">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33.1.</w:t>
      </w:r>
      <w:r>
        <w:rPr>
          <w:rFonts w:hint="eastAsia" w:ascii="宋体" w:hAnsi="宋体" w:eastAsia="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7072E6C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33.2.</w:t>
      </w:r>
      <w:r>
        <w:rPr>
          <w:rFonts w:hint="eastAsia" w:ascii="宋体" w:hAnsi="宋体" w:eastAsia="宋体" w:cs="宋体"/>
          <w:color w:val="auto"/>
          <w:szCs w:val="21"/>
          <w:highlight w:val="none"/>
        </w:rPr>
        <w:t>预付款保函应：</w:t>
      </w:r>
    </w:p>
    <w:p w14:paraId="28D02158">
      <w:pPr>
        <w:keepNext w:val="0"/>
        <w:keepLines w:val="0"/>
        <w:pageBreakBefore w:val="0"/>
        <w:widowControl w:val="0"/>
        <w:tabs>
          <w:tab w:val="left" w:pos="907"/>
        </w:tabs>
        <w:kinsoku/>
        <w:wordWrap/>
        <w:overflowPunct/>
        <w:topLinePunct w:val="0"/>
        <w:autoSpaceDE/>
        <w:autoSpaceDN/>
        <w:bidi w:val="0"/>
        <w:adjustRightInd/>
        <w:snapToGrid/>
        <w:spacing w:line="264"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（1）由东莞市行政区域内的银行支行及以上银行机构开具。非东莞市行政区内的银行开具的保函要由银行所在地公证部门出具的公证书。</w:t>
      </w:r>
    </w:p>
    <w:p w14:paraId="14E51E01">
      <w:pPr>
        <w:keepNext w:val="0"/>
        <w:keepLines w:val="0"/>
        <w:pageBreakBefore w:val="0"/>
        <w:widowControl w:val="0"/>
        <w:tabs>
          <w:tab w:val="left" w:pos="907"/>
        </w:tabs>
        <w:kinsoku/>
        <w:wordWrap/>
        <w:overflowPunct/>
        <w:topLinePunct w:val="0"/>
        <w:autoSpaceDE/>
        <w:autoSpaceDN/>
        <w:bidi w:val="0"/>
        <w:adjustRightInd/>
        <w:snapToGrid/>
        <w:spacing w:line="264"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（2）必须打印，手写、涂改无效</w:t>
      </w:r>
    </w:p>
    <w:p w14:paraId="0B0D2882">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33.3.</w:t>
      </w:r>
      <w:r>
        <w:rPr>
          <w:rFonts w:hint="eastAsia" w:ascii="宋体" w:hAnsi="宋体" w:eastAsia="宋体" w:cs="宋体"/>
          <w:color w:val="auto"/>
          <w:szCs w:val="21"/>
          <w:highlight w:val="none"/>
        </w:rPr>
        <w:t>若中标人不能按本须知（34.1至34.2）的规定执行，采购人将不予支付预付款。</w:t>
      </w:r>
    </w:p>
    <w:p w14:paraId="7F488FDD">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33.4.</w:t>
      </w:r>
      <w:r>
        <w:rPr>
          <w:rFonts w:hint="eastAsia" w:ascii="宋体" w:hAnsi="宋体" w:eastAsia="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3956297A">
      <w:pPr>
        <w:rPr>
          <w:rFonts w:hint="eastAsia" w:ascii="宋体" w:hAnsi="宋体" w:eastAsia="宋体" w:cs="宋体"/>
          <w:color w:val="auto"/>
          <w:highlight w:val="none"/>
        </w:rPr>
      </w:pPr>
    </w:p>
    <w:p w14:paraId="229FC33A">
      <w:pPr>
        <w:pStyle w:val="4"/>
        <w:numPr>
          <w:ilvl w:val="0"/>
          <w:numId w:val="3"/>
        </w:numPr>
        <w:spacing w:before="0" w:after="0" w:line="360" w:lineRule="auto"/>
        <w:jc w:val="center"/>
        <w:rPr>
          <w:rFonts w:hint="eastAsia" w:ascii="宋体" w:hAnsi="宋体" w:eastAsia="宋体" w:cs="宋体"/>
          <w:color w:val="auto"/>
          <w:highlight w:val="none"/>
        </w:rPr>
      </w:pPr>
      <w:bookmarkStart w:id="136" w:name="_Toc27393"/>
      <w:bookmarkStart w:id="137" w:name="_Toc9367"/>
      <w:r>
        <w:rPr>
          <w:rFonts w:hint="eastAsia" w:ascii="宋体" w:hAnsi="宋体" w:eastAsia="宋体" w:cs="宋体"/>
          <w:color w:val="auto"/>
          <w:highlight w:val="none"/>
        </w:rPr>
        <w:t>异议</w:t>
      </w:r>
      <w:bookmarkEnd w:id="136"/>
      <w:bookmarkEnd w:id="137"/>
    </w:p>
    <w:p w14:paraId="30D36DF3">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38" w:name="_Toc20225"/>
      <w:bookmarkStart w:id="139" w:name="_Toc30528"/>
      <w:r>
        <w:rPr>
          <w:rFonts w:hint="default" w:ascii="宋体" w:hAnsi="宋体" w:eastAsia="宋体" w:cs="宋体"/>
          <w:b/>
          <w:bCs/>
          <w:vanish/>
          <w:color w:val="auto"/>
          <w:sz w:val="24"/>
          <w:szCs w:val="21"/>
          <w:lang w:val="en-US" w:eastAsia="zh-CN" w:bidi="ar-SA"/>
        </w:rPr>
        <w:t>34.</w:t>
      </w:r>
      <w:r>
        <w:rPr>
          <w:rFonts w:hint="eastAsia" w:ascii="宋体" w:hAnsi="宋体" w:eastAsia="宋体" w:cs="宋体"/>
          <w:color w:val="auto"/>
          <w:sz w:val="21"/>
          <w:szCs w:val="21"/>
          <w:highlight w:val="none"/>
        </w:rPr>
        <w:t>异议</w:t>
      </w:r>
      <w:bookmarkEnd w:id="138"/>
      <w:bookmarkEnd w:id="139"/>
    </w:p>
    <w:p w14:paraId="542FCEA4">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34.1.</w:t>
      </w:r>
      <w:r>
        <w:rPr>
          <w:rFonts w:hint="eastAsia" w:ascii="宋体" w:hAnsi="宋体" w:eastAsia="宋体" w:cs="宋体"/>
          <w:color w:val="auto"/>
          <w:szCs w:val="21"/>
          <w:highlight w:val="none"/>
          <w:lang w:val="zh-CN"/>
        </w:rPr>
        <w:t>采购文件的异议</w:t>
      </w:r>
    </w:p>
    <w:p w14:paraId="39AEC424">
      <w:pPr>
        <w:keepNext w:val="0"/>
        <w:keepLines w:val="0"/>
        <w:pageBreakBefore w:val="0"/>
        <w:widowControl w:val="0"/>
        <w:tabs>
          <w:tab w:val="left" w:pos="907"/>
        </w:tabs>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宋体"/>
          <w:color w:val="auto"/>
          <w:szCs w:val="21"/>
          <w:highlight w:val="none"/>
        </w:rPr>
      </w:pPr>
      <w:r>
        <w:rPr>
          <w:rFonts w:hint="eastAsia" w:ascii="宋体" w:hAnsi="宋体" w:eastAsia="宋体" w:cs="宋体"/>
          <w:bCs/>
          <w:color w:val="auto"/>
          <w:kern w:val="2"/>
          <w:szCs w:val="21"/>
          <w:highlight w:val="none"/>
          <w:lang w:val="zh-CN"/>
        </w:rPr>
        <w:t>投标人或者其他利害关系人对采购文件有异议的，应当在投标截止时间10日前</w:t>
      </w:r>
      <w:r>
        <w:rPr>
          <w:rFonts w:hint="eastAsia" w:ascii="宋体" w:hAnsi="宋体" w:eastAsia="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eastAsia="宋体" w:cs="宋体"/>
          <w:bCs/>
          <w:color w:val="auto"/>
          <w:kern w:val="2"/>
          <w:szCs w:val="21"/>
          <w:highlight w:val="none"/>
          <w:lang w:val="zh-CN"/>
        </w:rPr>
        <w:t>异议</w:t>
      </w:r>
      <w:r>
        <w:rPr>
          <w:rFonts w:hint="eastAsia" w:ascii="宋体" w:hAnsi="宋体" w:eastAsia="宋体" w:cs="宋体"/>
          <w:color w:val="auto"/>
          <w:kern w:val="2"/>
          <w:szCs w:val="21"/>
          <w:highlight w:val="none"/>
          <w:lang w:val="zh-CN"/>
        </w:rPr>
        <w:t>书面材料必须加盖投标人法人公章，并注明联系人、联系电话、联系地址。</w:t>
      </w:r>
      <w:r>
        <w:rPr>
          <w:rFonts w:hint="eastAsia" w:ascii="宋体" w:hAnsi="宋体" w:eastAsia="宋体" w:cs="宋体"/>
          <w:bCs/>
          <w:color w:val="auto"/>
          <w:kern w:val="2"/>
          <w:szCs w:val="21"/>
          <w:highlight w:val="none"/>
          <w:lang w:val="zh-CN"/>
        </w:rPr>
        <w:t>超出</w:t>
      </w:r>
      <w:r>
        <w:rPr>
          <w:rFonts w:hint="eastAsia" w:ascii="宋体" w:hAnsi="宋体" w:eastAsia="宋体" w:cs="宋体"/>
          <w:color w:val="auto"/>
          <w:kern w:val="2"/>
          <w:szCs w:val="21"/>
          <w:highlight w:val="none"/>
          <w:lang w:val="zh-CN"/>
        </w:rPr>
        <w:t>提交接收异议截止时间而</w:t>
      </w:r>
      <w:r>
        <w:rPr>
          <w:rFonts w:hint="eastAsia" w:ascii="宋体" w:hAnsi="宋体" w:eastAsia="宋体" w:cs="宋体"/>
          <w:bCs/>
          <w:color w:val="auto"/>
          <w:kern w:val="2"/>
          <w:szCs w:val="21"/>
          <w:highlight w:val="none"/>
          <w:lang w:val="zh-CN"/>
        </w:rPr>
        <w:t>提出的任何疑问，</w:t>
      </w:r>
      <w:r>
        <w:rPr>
          <w:rFonts w:hint="eastAsia" w:ascii="宋体" w:hAnsi="宋体" w:eastAsia="宋体" w:cs="宋体"/>
          <w:bCs/>
          <w:color w:val="auto"/>
          <w:kern w:val="2"/>
          <w:szCs w:val="21"/>
          <w:highlight w:val="none"/>
        </w:rPr>
        <w:t>采购人或</w:t>
      </w:r>
      <w:r>
        <w:rPr>
          <w:rFonts w:hint="eastAsia" w:ascii="宋体" w:hAnsi="宋体" w:eastAsia="宋体" w:cs="宋体"/>
          <w:bCs/>
          <w:color w:val="auto"/>
          <w:kern w:val="2"/>
          <w:szCs w:val="21"/>
          <w:highlight w:val="none"/>
          <w:lang w:val="zh-CN"/>
        </w:rPr>
        <w:t>采购代理机构可不予答复。</w:t>
      </w:r>
    </w:p>
    <w:p w14:paraId="53931939">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34.2.</w:t>
      </w:r>
      <w:r>
        <w:rPr>
          <w:rFonts w:hint="eastAsia" w:ascii="宋体" w:hAnsi="宋体" w:eastAsia="宋体" w:cs="宋体"/>
          <w:color w:val="auto"/>
          <w:szCs w:val="21"/>
          <w:highlight w:val="none"/>
          <w:lang w:val="zh-CN"/>
        </w:rPr>
        <w:t>评标结果异议</w:t>
      </w:r>
      <w:r>
        <w:rPr>
          <w:rFonts w:hint="eastAsia" w:ascii="宋体" w:hAnsi="宋体" w:eastAsia="宋体" w:cs="宋体"/>
          <w:color w:val="auto"/>
          <w:szCs w:val="21"/>
          <w:highlight w:val="none"/>
        </w:rPr>
        <w:t xml:space="preserve">   </w:t>
      </w:r>
    </w:p>
    <w:p w14:paraId="5E3CAA63">
      <w:pPr>
        <w:keepNext w:val="0"/>
        <w:keepLines w:val="0"/>
        <w:pageBreakBefore w:val="0"/>
        <w:widowControl w:val="0"/>
        <w:tabs>
          <w:tab w:val="left" w:pos="907"/>
        </w:tabs>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宋体"/>
          <w:bCs/>
          <w:color w:val="auto"/>
          <w:kern w:val="2"/>
          <w:szCs w:val="21"/>
          <w:highlight w:val="none"/>
          <w:lang w:val="zh-CN"/>
        </w:rPr>
      </w:pPr>
      <w:r>
        <w:rPr>
          <w:rFonts w:hint="eastAsia" w:ascii="宋体" w:hAnsi="宋体" w:eastAsia="宋体" w:cs="宋体"/>
          <w:bCs/>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681DAA3D">
      <w:pPr>
        <w:keepNext w:val="0"/>
        <w:keepLines w:val="0"/>
        <w:pageBreakBefore w:val="0"/>
        <w:widowControl w:val="0"/>
        <w:tabs>
          <w:tab w:val="left" w:pos="907"/>
        </w:tabs>
        <w:kinsoku/>
        <w:wordWrap/>
        <w:overflowPunct/>
        <w:topLinePunct w:val="0"/>
        <w:autoSpaceDE/>
        <w:autoSpaceDN/>
        <w:bidi w:val="0"/>
        <w:adjustRightInd/>
        <w:snapToGrid/>
        <w:spacing w:line="240" w:lineRule="auto"/>
        <w:ind w:left="420" w:leftChars="200" w:firstLine="0" w:firstLineChars="0"/>
        <w:jc w:val="both"/>
        <w:textAlignment w:val="auto"/>
        <w:rPr>
          <w:rFonts w:hint="eastAsia" w:ascii="宋体" w:hAnsi="宋体" w:eastAsia="宋体" w:cs="宋体"/>
          <w:bCs/>
          <w:color w:val="auto"/>
          <w:kern w:val="2"/>
          <w:szCs w:val="21"/>
          <w:highlight w:val="none"/>
          <w:lang w:val="zh-CN"/>
        </w:rPr>
      </w:pPr>
      <w:r>
        <w:rPr>
          <w:rFonts w:hint="eastAsia" w:ascii="宋体" w:hAnsi="宋体" w:eastAsia="宋体" w:cs="宋体"/>
          <w:bCs/>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5C9DA7DE">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34.3.</w:t>
      </w:r>
      <w:r>
        <w:rPr>
          <w:rFonts w:hint="eastAsia" w:ascii="宋体" w:hAnsi="宋体" w:eastAsia="宋体" w:cs="宋体"/>
          <w:color w:val="auto"/>
          <w:szCs w:val="21"/>
          <w:highlight w:val="none"/>
        </w:rPr>
        <w:t>以联合体形式参加采购活动的，其异议应当由组成联合体的所有投标人共同提出。</w:t>
      </w:r>
    </w:p>
    <w:p w14:paraId="291BEB75">
      <w:pPr>
        <w:rPr>
          <w:rFonts w:hint="eastAsia" w:ascii="宋体" w:hAnsi="宋体" w:eastAsia="宋体" w:cs="宋体"/>
          <w:color w:val="auto"/>
          <w:highlight w:val="none"/>
        </w:rPr>
      </w:pPr>
    </w:p>
    <w:p w14:paraId="4C1B5826">
      <w:pPr>
        <w:pStyle w:val="4"/>
        <w:numPr>
          <w:ilvl w:val="0"/>
          <w:numId w:val="3"/>
        </w:numPr>
        <w:spacing w:before="0" w:after="0" w:line="360" w:lineRule="auto"/>
        <w:jc w:val="center"/>
        <w:rPr>
          <w:rFonts w:hint="eastAsia" w:ascii="宋体" w:hAnsi="宋体" w:eastAsia="宋体" w:cs="宋体"/>
          <w:color w:val="auto"/>
          <w:highlight w:val="none"/>
        </w:rPr>
      </w:pPr>
      <w:bookmarkStart w:id="140" w:name="_Toc28339"/>
      <w:bookmarkStart w:id="141" w:name="_Toc1531"/>
      <w:r>
        <w:rPr>
          <w:rFonts w:hint="eastAsia" w:ascii="宋体" w:hAnsi="宋体" w:eastAsia="宋体" w:cs="宋体"/>
          <w:color w:val="auto"/>
          <w:highlight w:val="none"/>
        </w:rPr>
        <w:t>其他</w:t>
      </w:r>
      <w:bookmarkEnd w:id="140"/>
      <w:bookmarkEnd w:id="141"/>
    </w:p>
    <w:p w14:paraId="52896B26">
      <w:pPr>
        <w:pStyle w:val="5"/>
        <w:widowControl w:val="0"/>
        <w:numPr>
          <w:ilvl w:val="0"/>
          <w:numId w:val="0"/>
        </w:numPr>
        <w:overflowPunct w:val="0"/>
        <w:ind w:left="425" w:leftChars="0" w:hanging="425" w:firstLineChars="0"/>
        <w:rPr>
          <w:rFonts w:hint="eastAsia" w:ascii="宋体" w:hAnsi="宋体" w:eastAsia="宋体" w:cs="宋体"/>
          <w:vanish/>
          <w:color w:val="auto"/>
          <w:szCs w:val="21"/>
          <w:highlight w:val="none"/>
        </w:rPr>
      </w:pPr>
      <w:bookmarkStart w:id="142" w:name="_Toc21398"/>
      <w:bookmarkStart w:id="143" w:name="_Toc20728"/>
      <w:r>
        <w:rPr>
          <w:rFonts w:hint="default" w:ascii="宋体" w:hAnsi="宋体" w:eastAsia="宋体" w:cs="宋体"/>
          <w:b/>
          <w:bCs/>
          <w:vanish/>
          <w:color w:val="auto"/>
          <w:sz w:val="24"/>
          <w:szCs w:val="21"/>
          <w:lang w:val="en-US" w:eastAsia="zh-CN" w:bidi="ar-SA"/>
        </w:rPr>
        <w:t>35.</w:t>
      </w:r>
      <w:r>
        <w:rPr>
          <w:rFonts w:hint="eastAsia" w:ascii="宋体" w:hAnsi="宋体" w:eastAsia="宋体" w:cs="宋体"/>
          <w:color w:val="auto"/>
          <w:sz w:val="21"/>
          <w:szCs w:val="21"/>
          <w:highlight w:val="none"/>
        </w:rPr>
        <w:t>采购文件的解释权</w:t>
      </w:r>
      <w:bookmarkEnd w:id="142"/>
      <w:bookmarkEnd w:id="143"/>
    </w:p>
    <w:p w14:paraId="7FB42AF6">
      <w:pPr>
        <w:widowControl w:val="0"/>
        <w:numPr>
          <w:ilvl w:val="1"/>
          <w:numId w:val="0"/>
        </w:numPr>
        <w:overflowPunct w:val="0"/>
        <w:ind w:left="567" w:leftChars="0" w:hanging="567" w:firstLineChars="0"/>
        <w:rPr>
          <w:rFonts w:hint="eastAsia" w:ascii="宋体" w:hAnsi="宋体" w:eastAsia="宋体" w:cs="宋体"/>
          <w:color w:val="auto"/>
          <w:szCs w:val="21"/>
          <w:highlight w:val="none"/>
        </w:rPr>
      </w:pPr>
      <w:r>
        <w:rPr>
          <w:rFonts w:hint="default" w:ascii="宋体" w:hAnsi="宋体" w:eastAsia="宋体" w:cs="宋体"/>
          <w:color w:val="auto"/>
          <w:sz w:val="21"/>
          <w:szCs w:val="21"/>
          <w:lang w:val="en-US" w:eastAsia="zh-CN" w:bidi="ar-SA"/>
        </w:rPr>
        <w:t>35.1.</w:t>
      </w:r>
      <w:r>
        <w:rPr>
          <w:rFonts w:hint="eastAsia" w:ascii="宋体" w:hAnsi="宋体" w:eastAsia="宋体" w:cs="宋体"/>
          <w:color w:val="auto"/>
          <w:szCs w:val="21"/>
          <w:highlight w:val="none"/>
        </w:rPr>
        <w:t>本采购文件是根据国家有关法律、法规以及采购管理有关规定和参照国际惯例编制，解释权属本采购代理机构。</w:t>
      </w:r>
    </w:p>
    <w:p w14:paraId="24DA592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B3F00E2">
      <w:pPr>
        <w:pStyle w:val="3"/>
        <w:numPr>
          <w:ilvl w:val="0"/>
          <w:numId w:val="0"/>
        </w:numPr>
        <w:spacing w:before="0" w:after="0" w:line="240" w:lineRule="auto"/>
        <w:rPr>
          <w:rFonts w:hint="eastAsia" w:ascii="宋体" w:hAnsi="宋体" w:eastAsia="宋体" w:cs="宋体"/>
          <w:color w:val="auto"/>
          <w:sz w:val="28"/>
          <w:szCs w:val="28"/>
          <w:highlight w:val="none"/>
        </w:rPr>
      </w:pPr>
      <w:bookmarkStart w:id="144" w:name="_Toc19338"/>
      <w:bookmarkStart w:id="145" w:name="_Toc214"/>
      <w:r>
        <w:rPr>
          <w:rFonts w:hint="eastAsia" w:ascii="宋体" w:hAnsi="宋体" w:eastAsia="宋体" w:cs="宋体"/>
          <w:b/>
          <w:bCs/>
          <w:color w:val="auto"/>
          <w:sz w:val="28"/>
          <w:szCs w:val="28"/>
          <w:highlight w:val="none"/>
          <w:lang w:val="en-US" w:eastAsia="zh-CN" w:bidi="ar-SA"/>
        </w:rPr>
        <w:t xml:space="preserve">第五部分 </w:t>
      </w:r>
      <w:r>
        <w:rPr>
          <w:rFonts w:hint="eastAsia" w:ascii="宋体" w:hAnsi="宋体" w:eastAsia="宋体" w:cs="宋体"/>
          <w:color w:val="auto"/>
          <w:sz w:val="28"/>
          <w:szCs w:val="28"/>
          <w:highlight w:val="none"/>
        </w:rPr>
        <w:t>合同条款格式</w:t>
      </w:r>
      <w:bookmarkEnd w:id="144"/>
      <w:bookmarkEnd w:id="145"/>
      <w:bookmarkStart w:id="146" w:name="_Hlt109815959"/>
      <w:bookmarkEnd w:id="146"/>
      <w:bookmarkStart w:id="147" w:name="_Toc30306"/>
      <w:bookmarkStart w:id="148" w:name="_Toc19279"/>
    </w:p>
    <w:bookmarkEnd w:id="147"/>
    <w:bookmarkEnd w:id="148"/>
    <w:p w14:paraId="64E4F7A0">
      <w:pPr>
        <w:widowControl w:val="0"/>
        <w:adjustRightInd/>
        <w:snapToGri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甲方合同编号： </w:t>
      </w:r>
    </w:p>
    <w:p w14:paraId="749DD9FC">
      <w:pPr>
        <w:widowControl w:val="0"/>
        <w:adjustRightInd/>
        <w:snapToGrid/>
        <w:spacing w:line="360" w:lineRule="auto"/>
        <w:jc w:val="both"/>
        <w:rPr>
          <w:rFonts w:hint="eastAsia" w:ascii="宋体" w:hAnsi="宋体" w:eastAsia="宋体" w:cs="宋体"/>
          <w:color w:val="auto"/>
          <w:spacing w:val="5"/>
          <w:kern w:val="2"/>
          <w:sz w:val="21"/>
          <w:szCs w:val="21"/>
          <w:highlight w:val="none"/>
        </w:rPr>
      </w:pPr>
      <w:r>
        <w:rPr>
          <w:rFonts w:hint="eastAsia" w:ascii="宋体" w:hAnsi="宋体" w:eastAsia="宋体" w:cs="宋体"/>
          <w:color w:val="auto"/>
          <w:kern w:val="2"/>
          <w:sz w:val="21"/>
          <w:szCs w:val="21"/>
          <w:highlight w:val="none"/>
        </w:rPr>
        <w:t>乙方合同编号：</w:t>
      </w:r>
    </w:p>
    <w:p w14:paraId="7F047C9C">
      <w:pPr>
        <w:widowControl w:val="0"/>
        <w:adjustRightInd/>
        <w:snapToGrid/>
        <w:spacing w:line="360" w:lineRule="auto"/>
        <w:jc w:val="both"/>
        <w:rPr>
          <w:rFonts w:hint="eastAsia" w:ascii="宋体" w:hAnsi="宋体" w:eastAsia="宋体" w:cs="宋体"/>
          <w:b/>
          <w:bCs/>
          <w:color w:val="auto"/>
          <w:kern w:val="2"/>
          <w:sz w:val="36"/>
          <w:szCs w:val="36"/>
          <w:highlight w:val="none"/>
        </w:rPr>
      </w:pPr>
    </w:p>
    <w:p w14:paraId="227F0F22">
      <w:pPr>
        <w:widowControl w:val="0"/>
        <w:adjustRightInd/>
        <w:snapToGrid w:val="0"/>
        <w:spacing w:line="360" w:lineRule="auto"/>
        <w:jc w:val="both"/>
        <w:rPr>
          <w:rFonts w:hint="eastAsia" w:ascii="宋体" w:hAnsi="宋体" w:eastAsia="宋体" w:cs="宋体"/>
          <w:color w:val="auto"/>
          <w:kern w:val="2"/>
          <w:sz w:val="36"/>
          <w:szCs w:val="36"/>
          <w:highlight w:val="none"/>
        </w:rPr>
      </w:pPr>
    </w:p>
    <w:p w14:paraId="45F62B8C">
      <w:pPr>
        <w:widowControl w:val="0"/>
        <w:adjustRightInd/>
        <w:snapToGrid w:val="0"/>
        <w:spacing w:line="360" w:lineRule="auto"/>
        <w:jc w:val="both"/>
        <w:rPr>
          <w:rFonts w:hint="eastAsia" w:ascii="宋体" w:hAnsi="宋体" w:eastAsia="宋体" w:cs="宋体"/>
          <w:bCs/>
          <w:color w:val="auto"/>
          <w:kern w:val="2"/>
          <w:sz w:val="36"/>
          <w:szCs w:val="36"/>
          <w:highlight w:val="none"/>
        </w:rPr>
      </w:pPr>
    </w:p>
    <w:p w14:paraId="1B91701E">
      <w:pPr>
        <w:widowControl w:val="0"/>
        <w:adjustRightInd/>
        <w:snapToGrid/>
        <w:spacing w:after="120" w:line="360" w:lineRule="auto"/>
        <w:jc w:val="both"/>
        <w:rPr>
          <w:rFonts w:hint="eastAsia" w:ascii="宋体" w:hAnsi="宋体" w:eastAsia="宋体" w:cs="宋体"/>
          <w:color w:val="auto"/>
          <w:kern w:val="2"/>
          <w:sz w:val="36"/>
          <w:szCs w:val="36"/>
          <w:highlight w:val="none"/>
        </w:rPr>
      </w:pPr>
    </w:p>
    <w:p w14:paraId="0C18AE70">
      <w:pPr>
        <w:widowControl w:val="0"/>
        <w:adjustRightInd/>
        <w:snapToGrid/>
        <w:spacing w:after="120" w:line="360" w:lineRule="auto"/>
        <w:jc w:val="both"/>
        <w:rPr>
          <w:rFonts w:hint="eastAsia" w:ascii="宋体" w:hAnsi="宋体" w:eastAsia="宋体" w:cs="宋体"/>
          <w:color w:val="auto"/>
          <w:kern w:val="2"/>
          <w:sz w:val="36"/>
          <w:szCs w:val="36"/>
          <w:highlight w:val="none"/>
        </w:rPr>
      </w:pPr>
    </w:p>
    <w:p w14:paraId="3F1BEAE3">
      <w:pPr>
        <w:widowControl w:val="0"/>
        <w:adjustRightInd/>
        <w:snapToGrid w:val="0"/>
        <w:spacing w:line="360" w:lineRule="auto"/>
        <w:jc w:val="center"/>
        <w:rPr>
          <w:rFonts w:hint="eastAsia" w:ascii="宋体" w:hAnsi="宋体" w:eastAsia="宋体" w:cs="宋体"/>
          <w:bCs/>
          <w:color w:val="auto"/>
          <w:kern w:val="2"/>
          <w:sz w:val="48"/>
          <w:szCs w:val="48"/>
          <w:highlight w:val="none"/>
        </w:rPr>
      </w:pPr>
      <w:r>
        <w:rPr>
          <w:rFonts w:hint="eastAsia" w:ascii="宋体" w:hAnsi="宋体" w:eastAsia="宋体" w:cs="宋体"/>
          <w:bCs/>
          <w:color w:val="auto"/>
          <w:kern w:val="2"/>
          <w:sz w:val="48"/>
          <w:szCs w:val="48"/>
          <w:highlight w:val="none"/>
        </w:rPr>
        <w:t>东莞市海心沙资源综合利用中心环保热电厂2026年度液碱采购合同</w:t>
      </w:r>
    </w:p>
    <w:p w14:paraId="0821596B">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5730B429">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17962C6B">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4A060F3D">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3503B6F2">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3F99D16E">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5A7E0E98">
      <w:pPr>
        <w:widowControl w:val="0"/>
        <w:adjustRightInd/>
        <w:snapToGrid w:val="0"/>
        <w:spacing w:line="360" w:lineRule="auto"/>
        <w:jc w:val="both"/>
        <w:rPr>
          <w:rFonts w:hint="eastAsia" w:ascii="宋体" w:hAnsi="宋体" w:eastAsia="宋体" w:cs="宋体"/>
          <w:color w:val="auto"/>
          <w:kern w:val="2"/>
          <w:sz w:val="21"/>
          <w:szCs w:val="24"/>
          <w:highlight w:val="none"/>
        </w:rPr>
      </w:pPr>
    </w:p>
    <w:p w14:paraId="246CF499">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r>
        <w:rPr>
          <w:rFonts w:hint="eastAsia" w:ascii="宋体" w:hAnsi="宋体" w:eastAsia="宋体" w:cs="宋体"/>
          <w:color w:val="auto"/>
          <w:kern w:val="2"/>
          <w:sz w:val="32"/>
          <w:szCs w:val="32"/>
          <w:highlight w:val="none"/>
        </w:rPr>
        <w:t>甲方：</w:t>
      </w:r>
      <w:r>
        <w:rPr>
          <w:rFonts w:hint="eastAsia" w:ascii="宋体" w:hAnsi="宋体" w:eastAsia="宋体" w:cs="宋体"/>
          <w:color w:val="auto"/>
          <w:kern w:val="2"/>
          <w:sz w:val="32"/>
          <w:szCs w:val="32"/>
          <w:highlight w:val="none"/>
          <w:u w:val="single"/>
        </w:rPr>
        <w:t>东莞市新东元环保投资有限公司</w:t>
      </w:r>
    </w:p>
    <w:p w14:paraId="78CBA661">
      <w:pPr>
        <w:widowControl w:val="0"/>
        <w:adjustRightInd/>
        <w:snapToGrid w:val="0"/>
        <w:spacing w:line="360" w:lineRule="auto"/>
        <w:ind w:firstLine="640" w:firstLineChars="200"/>
        <w:jc w:val="both"/>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32"/>
          <w:szCs w:val="32"/>
          <w:highlight w:val="none"/>
        </w:rPr>
        <w:t>乙方：</w:t>
      </w:r>
    </w:p>
    <w:p w14:paraId="45100D45">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1A71A06D">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48D86BDA">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18192103">
      <w:pPr>
        <w:widowControl w:val="0"/>
        <w:adjustRightInd/>
        <w:snapToGrid/>
        <w:spacing w:line="24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32"/>
          <w:szCs w:val="32"/>
          <w:highlight w:val="none"/>
        </w:rPr>
        <w:t>二○二  年  月  日</w:t>
      </w:r>
    </w:p>
    <w:p w14:paraId="1C2BD96A">
      <w:pPr>
        <w:widowControl w:val="0"/>
        <w:tabs>
          <w:tab w:val="right" w:pos="8306"/>
        </w:tabs>
        <w:adjustRightInd w:val="0"/>
        <w:snapToGrid w:val="0"/>
        <w:spacing w:line="360" w:lineRule="auto"/>
        <w:jc w:val="both"/>
        <w:rPr>
          <w:rFonts w:hint="eastAsia" w:ascii="宋体" w:hAnsi="宋体" w:eastAsia="宋体" w:cs="宋体"/>
          <w:snapToGrid w:val="0"/>
          <w:color w:val="auto"/>
          <w:kern w:val="2"/>
          <w:sz w:val="22"/>
          <w:szCs w:val="22"/>
          <w:highlight w:val="none"/>
        </w:rPr>
      </w:pPr>
      <w:r>
        <w:rPr>
          <w:rFonts w:hint="eastAsia" w:ascii="宋体" w:hAnsi="宋体" w:eastAsia="宋体" w:cs="宋体"/>
          <w:b/>
          <w:snapToGrid w:val="0"/>
          <w:color w:val="auto"/>
          <w:kern w:val="2"/>
          <w:sz w:val="21"/>
          <w:szCs w:val="21"/>
          <w:highlight w:val="none"/>
        </w:rPr>
        <w:br w:type="page"/>
      </w:r>
      <w:r>
        <w:rPr>
          <w:rFonts w:hint="eastAsia" w:ascii="宋体" w:hAnsi="宋体" w:eastAsia="宋体" w:cs="宋体"/>
          <w:b/>
          <w:snapToGrid w:val="0"/>
          <w:color w:val="auto"/>
          <w:kern w:val="2"/>
          <w:sz w:val="22"/>
          <w:szCs w:val="22"/>
          <w:highlight w:val="none"/>
        </w:rPr>
        <w:t>甲方（买方）：</w:t>
      </w:r>
    </w:p>
    <w:p w14:paraId="125DE5F3">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725B6E9F">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6E1C0BBF">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0D20F44F">
      <w:pPr>
        <w:widowControl w:val="0"/>
        <w:adjustRightInd w:val="0"/>
        <w:snapToGrid w:val="0"/>
        <w:spacing w:line="400" w:lineRule="exact"/>
        <w:jc w:val="both"/>
        <w:rPr>
          <w:rFonts w:hint="eastAsia" w:ascii="宋体" w:hAnsi="宋体" w:eastAsia="宋体" w:cs="宋体"/>
          <w:b/>
          <w:snapToGrid w:val="0"/>
          <w:color w:val="auto"/>
          <w:kern w:val="2"/>
          <w:sz w:val="22"/>
          <w:szCs w:val="22"/>
          <w:highlight w:val="none"/>
        </w:rPr>
      </w:pPr>
    </w:p>
    <w:p w14:paraId="19F8F3C2">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snapToGrid w:val="0"/>
          <w:color w:val="auto"/>
          <w:kern w:val="2"/>
          <w:sz w:val="22"/>
          <w:szCs w:val="22"/>
          <w:highlight w:val="none"/>
        </w:rPr>
        <w:t>乙方（卖方）：</w:t>
      </w:r>
    </w:p>
    <w:p w14:paraId="72FAA89D">
      <w:pPr>
        <w:widowControl w:val="0"/>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14A9776C">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32B055BF">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0AAC9016">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p>
    <w:p w14:paraId="75FD618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本合同双方根据《民法典》、《产品质量法》等有关法律、法规规定，经充分协商，现就甲方向乙方采购相关货物事宜达成以下协议：</w:t>
      </w:r>
    </w:p>
    <w:p w14:paraId="6E90B5C5">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17B68BF1">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第一条 采购货物清单及合同价款</w:t>
      </w:r>
    </w:p>
    <w:p w14:paraId="0026F50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合同有效期内，液碱市场价格涨跌幅度超过10%的（价格以卓创网（http：//www.sci99.com/）的广东32%离子膜碱月平均价格为参考依据），</w:t>
      </w:r>
      <w:r>
        <w:rPr>
          <w:rFonts w:hint="eastAsia" w:ascii="宋体" w:hAnsi="宋体" w:cs="宋体"/>
          <w:color w:val="auto"/>
          <w:kern w:val="2"/>
          <w:sz w:val="22"/>
          <w:szCs w:val="22"/>
          <w:highlight w:val="none"/>
          <w:lang w:val="en-US" w:eastAsia="zh-CN"/>
        </w:rPr>
        <w:t>甲乙</w:t>
      </w:r>
      <w:r>
        <w:rPr>
          <w:rFonts w:hint="eastAsia" w:ascii="宋体" w:hAnsi="宋体" w:eastAsia="宋体" w:cs="宋体"/>
          <w:color w:val="auto"/>
          <w:kern w:val="2"/>
          <w:sz w:val="22"/>
          <w:szCs w:val="22"/>
          <w:highlight w:val="none"/>
        </w:rPr>
        <w:t>双方均可提出调价申请，调整后价格，在下月执行。</w:t>
      </w:r>
    </w:p>
    <w:p w14:paraId="5FE7263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乙方</w:t>
      </w:r>
      <w:r>
        <w:rPr>
          <w:rFonts w:hint="eastAsia" w:ascii="宋体" w:hAnsi="宋体" w:eastAsia="宋体" w:cs="宋体"/>
          <w:color w:val="auto"/>
          <w:kern w:val="2"/>
          <w:sz w:val="22"/>
          <w:szCs w:val="22"/>
          <w:highlight w:val="none"/>
        </w:rPr>
        <w:t>需调价时，必须提前30天以书面的形式通知</w:t>
      </w:r>
      <w:r>
        <w:rPr>
          <w:rFonts w:hint="eastAsia" w:ascii="宋体" w:hAnsi="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rPr>
        <w:t>，征得</w:t>
      </w:r>
      <w:r>
        <w:rPr>
          <w:rFonts w:hint="eastAsia" w:ascii="宋体" w:hAnsi="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rPr>
        <w:t>同意后方可生效；当满足价格下调条件时，采购人书面通知中标人调价后生效，在下月执行。</w:t>
      </w:r>
    </w:p>
    <w:p w14:paraId="2EB39741">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变动价格的计算方式：基准价±广东32%离子膜碱当月平均价格×广东32%离子膜碱当月平均价格波动比例。（基准价为中标价）</w:t>
      </w:r>
    </w:p>
    <w:p w14:paraId="5229F32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广东32%离子膜碱当月平均价格波动比例=（当月平均价-基准月平均价）/基准月平均价×100%（注：本次合同以卓创网上广东32%离子膜碱2026年</w:t>
      </w:r>
      <w:r>
        <w:rPr>
          <w:rFonts w:hint="eastAsia" w:ascii="宋体" w:hAnsi="宋体" w:cs="宋体"/>
          <w:color w:val="auto"/>
          <w:kern w:val="2"/>
          <w:sz w:val="22"/>
          <w:szCs w:val="22"/>
          <w:highlight w:val="none"/>
          <w:lang w:val="en-US" w:eastAsia="zh-CN"/>
        </w:rPr>
        <w:t>4</w:t>
      </w:r>
      <w:r>
        <w:rPr>
          <w:rFonts w:hint="eastAsia" w:ascii="宋体" w:hAnsi="宋体" w:eastAsia="宋体" w:cs="宋体"/>
          <w:color w:val="auto"/>
          <w:kern w:val="2"/>
          <w:sz w:val="22"/>
          <w:szCs w:val="22"/>
          <w:highlight w:val="none"/>
        </w:rPr>
        <w:t>月平均价格为月基准平均价，当月平均价为卓创网上广东32%离子膜碱的当月价）。</w:t>
      </w:r>
    </w:p>
    <w:tbl>
      <w:tblPr>
        <w:tblStyle w:val="31"/>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25"/>
        <w:gridCol w:w="1382"/>
        <w:gridCol w:w="1112"/>
        <w:gridCol w:w="796"/>
        <w:gridCol w:w="1626"/>
        <w:gridCol w:w="1052"/>
        <w:gridCol w:w="1359"/>
      </w:tblGrid>
      <w:tr w14:paraId="089E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9" w:type="dxa"/>
            <w:noWrap/>
            <w:vAlign w:val="center"/>
          </w:tcPr>
          <w:p w14:paraId="5E1F4D4A">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序号</w:t>
            </w:r>
          </w:p>
        </w:tc>
        <w:tc>
          <w:tcPr>
            <w:tcW w:w="1125" w:type="dxa"/>
            <w:noWrap/>
            <w:vAlign w:val="center"/>
          </w:tcPr>
          <w:p w14:paraId="55562715">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物资名称</w:t>
            </w:r>
          </w:p>
        </w:tc>
        <w:tc>
          <w:tcPr>
            <w:tcW w:w="1382" w:type="dxa"/>
            <w:noWrap/>
            <w:vAlign w:val="center"/>
          </w:tcPr>
          <w:p w14:paraId="711D4A2F">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规格</w:t>
            </w:r>
          </w:p>
        </w:tc>
        <w:tc>
          <w:tcPr>
            <w:tcW w:w="1112" w:type="dxa"/>
            <w:noWrap/>
            <w:vAlign w:val="center"/>
          </w:tcPr>
          <w:p w14:paraId="0946C976">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计量</w:t>
            </w:r>
          </w:p>
          <w:p w14:paraId="705417A5">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单位</w:t>
            </w:r>
          </w:p>
        </w:tc>
        <w:tc>
          <w:tcPr>
            <w:tcW w:w="796" w:type="dxa"/>
            <w:noWrap/>
            <w:vAlign w:val="center"/>
          </w:tcPr>
          <w:p w14:paraId="32F81AAE">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计划数量</w:t>
            </w:r>
          </w:p>
        </w:tc>
        <w:tc>
          <w:tcPr>
            <w:tcW w:w="1626" w:type="dxa"/>
            <w:noWrap/>
            <w:vAlign w:val="center"/>
          </w:tcPr>
          <w:p w14:paraId="6BAE2A2F">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到货单价</w:t>
            </w:r>
          </w:p>
          <w:p w14:paraId="7BEFC359">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052" w:type="dxa"/>
            <w:noWrap/>
            <w:vAlign w:val="center"/>
          </w:tcPr>
          <w:p w14:paraId="06580A8E">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小计</w:t>
            </w:r>
          </w:p>
          <w:p w14:paraId="39C33CD2">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359" w:type="dxa"/>
            <w:noWrap/>
            <w:vAlign w:val="center"/>
          </w:tcPr>
          <w:p w14:paraId="5776DE6F">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备注</w:t>
            </w:r>
          </w:p>
        </w:tc>
      </w:tr>
      <w:tr w14:paraId="743C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9" w:type="dxa"/>
            <w:noWrap/>
            <w:vAlign w:val="center"/>
          </w:tcPr>
          <w:p w14:paraId="43908B09">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1</w:t>
            </w:r>
          </w:p>
        </w:tc>
        <w:tc>
          <w:tcPr>
            <w:tcW w:w="1125" w:type="dxa"/>
            <w:noWrap/>
            <w:vAlign w:val="center"/>
          </w:tcPr>
          <w:p w14:paraId="338B08EE">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液碱</w:t>
            </w:r>
          </w:p>
        </w:tc>
        <w:tc>
          <w:tcPr>
            <w:tcW w:w="1382" w:type="dxa"/>
            <w:noWrap/>
            <w:vAlign w:val="center"/>
          </w:tcPr>
          <w:p w14:paraId="7C46F6CA">
            <w:pPr>
              <w:widowControl w:val="0"/>
              <w:adjustRightInd w:val="0"/>
              <w:snapToGrid w:val="0"/>
              <w:spacing w:line="400" w:lineRule="exact"/>
              <w:jc w:val="both"/>
              <w:rPr>
                <w:rFonts w:hint="eastAsia" w:ascii="宋体" w:hAnsi="宋体" w:eastAsia="宋体" w:cs="宋体"/>
                <w:color w:val="auto"/>
                <w:sz w:val="22"/>
                <w:szCs w:val="20"/>
                <w:highlight w:val="none"/>
              </w:rPr>
            </w:pPr>
          </w:p>
        </w:tc>
        <w:tc>
          <w:tcPr>
            <w:tcW w:w="1112" w:type="dxa"/>
            <w:noWrap/>
            <w:vAlign w:val="center"/>
          </w:tcPr>
          <w:p w14:paraId="2B372034">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796" w:type="dxa"/>
            <w:noWrap/>
            <w:vAlign w:val="center"/>
          </w:tcPr>
          <w:p w14:paraId="414137FE">
            <w:pPr>
              <w:widowControl w:val="0"/>
              <w:adjustRightInd/>
              <w:snapToGrid/>
              <w:spacing w:line="400" w:lineRule="exact"/>
              <w:jc w:val="both"/>
              <w:rPr>
                <w:rFonts w:hint="eastAsia" w:ascii="宋体" w:hAnsi="宋体" w:eastAsia="宋体" w:cs="宋体"/>
                <w:color w:val="auto"/>
                <w:sz w:val="22"/>
                <w:szCs w:val="20"/>
                <w:highlight w:val="none"/>
              </w:rPr>
            </w:pPr>
          </w:p>
        </w:tc>
        <w:tc>
          <w:tcPr>
            <w:tcW w:w="1626" w:type="dxa"/>
            <w:noWrap/>
            <w:vAlign w:val="center"/>
          </w:tcPr>
          <w:p w14:paraId="16885328">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052" w:type="dxa"/>
            <w:noWrap/>
            <w:vAlign w:val="center"/>
          </w:tcPr>
          <w:p w14:paraId="0088A31B">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59" w:type="dxa"/>
            <w:noWrap/>
            <w:vAlign w:val="center"/>
          </w:tcPr>
          <w:p w14:paraId="033BA7FE">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02AA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131" w:type="dxa"/>
            <w:gridSpan w:val="8"/>
            <w:noWrap/>
            <w:vAlign w:val="center"/>
          </w:tcPr>
          <w:p w14:paraId="4102172B">
            <w:pPr>
              <w:widowControl w:val="0"/>
              <w:adjustRightInd w:val="0"/>
              <w:snapToGrid w:val="0"/>
              <w:spacing w:line="400" w:lineRule="exact"/>
              <w:ind w:firstLine="442" w:firstLineChars="200"/>
              <w:jc w:val="both"/>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注：1、</w:t>
            </w:r>
            <w:r>
              <w:rPr>
                <w:rFonts w:hint="eastAsia" w:ascii="宋体" w:hAnsi="宋体" w:eastAsia="宋体" w:cs="宋体"/>
                <w:color w:val="auto"/>
                <w:sz w:val="22"/>
                <w:szCs w:val="20"/>
                <w:highlight w:val="none"/>
              </w:rPr>
              <w:t>到货单价已包含</w:t>
            </w:r>
            <w:r>
              <w:rPr>
                <w:rFonts w:hint="eastAsia" w:ascii="宋体" w:hAnsi="宋体" w:eastAsia="宋体" w:cs="宋体"/>
                <w:color w:val="auto"/>
                <w:sz w:val="22"/>
                <w:szCs w:val="20"/>
                <w:highlight w:val="none"/>
                <w:u w:val="single"/>
              </w:rPr>
              <w:t xml:space="preserve">    </w:t>
            </w:r>
            <w:r>
              <w:rPr>
                <w:rFonts w:hint="eastAsia" w:ascii="宋体" w:hAnsi="宋体" w:eastAsia="宋体" w:cs="宋体"/>
                <w:color w:val="auto"/>
                <w:sz w:val="22"/>
                <w:szCs w:val="20"/>
                <w:highlight w:val="none"/>
              </w:rPr>
              <w:t xml:space="preserve">%增值税专用发票。到货单价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 </w:t>
            </w:r>
          </w:p>
          <w:p w14:paraId="1396C9C4">
            <w:pPr>
              <w:widowControl w:val="0"/>
              <w:adjustRightInd w:val="0"/>
              <w:snapToGrid w:val="0"/>
              <w:spacing w:line="400" w:lineRule="exact"/>
              <w:ind w:firstLine="440" w:firstLineChars="200"/>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2、上述数量为乙方计划供应数量。实际采购数量以甲方实际需求为准。具体每批送货数量以甲方通知为准。</w:t>
            </w:r>
          </w:p>
          <w:p w14:paraId="74CD9AD4">
            <w:pPr>
              <w:widowControl w:val="0"/>
              <w:adjustRightInd w:val="0"/>
              <w:snapToGrid w:val="0"/>
              <w:spacing w:line="400" w:lineRule="exact"/>
              <w:ind w:firstLine="440" w:firstLineChars="200"/>
              <w:jc w:val="both"/>
              <w:rPr>
                <w:rFonts w:hint="eastAsia" w:ascii="宋体" w:hAnsi="宋体" w:eastAsia="宋体" w:cs="宋体"/>
                <w:color w:val="auto"/>
                <w:sz w:val="22"/>
                <w:szCs w:val="20"/>
                <w:highlight w:val="none"/>
              </w:rPr>
            </w:pPr>
            <w:r>
              <w:rPr>
                <w:rFonts w:hint="eastAsia" w:ascii="宋体" w:hAnsi="宋体" w:eastAsia="宋体" w:cs="宋体"/>
                <w:bCs/>
                <w:color w:val="auto"/>
                <w:sz w:val="22"/>
                <w:szCs w:val="20"/>
                <w:highlight w:val="none"/>
              </w:rPr>
              <w:t>3、此价格</w:t>
            </w:r>
            <w:r>
              <w:rPr>
                <w:rFonts w:hint="eastAsia" w:ascii="宋体" w:hAnsi="宋体" w:eastAsia="宋体" w:cs="宋体"/>
                <w:color w:val="auto"/>
                <w:sz w:val="22"/>
                <w:szCs w:val="20"/>
                <w:highlight w:val="none"/>
              </w:rPr>
              <w:t>包括合同货物及相关的技术服务等费用，还包括合同货物的税费、所有货物包装费、运输费、装卸费、保险费等与本合同中乙方应承担的所有义务和所有工作的有关费用。</w:t>
            </w:r>
          </w:p>
        </w:tc>
      </w:tr>
    </w:tbl>
    <w:p w14:paraId="65527387">
      <w:pPr>
        <w:widowControl w:val="0"/>
        <w:adjustRightInd w:val="0"/>
        <w:snapToGrid w:val="0"/>
        <w:spacing w:line="400" w:lineRule="exact"/>
        <w:jc w:val="both"/>
        <w:rPr>
          <w:rFonts w:hint="eastAsia" w:ascii="宋体" w:hAnsi="宋体" w:eastAsia="宋体" w:cs="宋体"/>
          <w:b/>
          <w:bCs/>
          <w:color w:val="auto"/>
          <w:kern w:val="2"/>
          <w:sz w:val="22"/>
          <w:szCs w:val="22"/>
          <w:highlight w:val="none"/>
        </w:rPr>
      </w:pPr>
    </w:p>
    <w:p w14:paraId="17F07DF9">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第二条  质量标准：货物的质量标准和性能应当同时满足下列要求：</w:t>
      </w:r>
    </w:p>
    <w:p w14:paraId="14D2CA88">
      <w:pPr>
        <w:widowControl w:val="0"/>
        <w:tabs>
          <w:tab w:val="right" w:pos="8306"/>
        </w:tabs>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1、双方约定的标准：</w:t>
      </w:r>
      <w:r>
        <w:rPr>
          <w:rFonts w:hint="eastAsia" w:ascii="宋体" w:hAnsi="宋体" w:eastAsia="宋体" w:cs="宋体"/>
          <w:color w:val="auto"/>
          <w:kern w:val="2"/>
          <w:sz w:val="22"/>
          <w:szCs w:val="22"/>
          <w:highlight w:val="none"/>
          <w:u w:val="single"/>
        </w:rPr>
        <w:t>以《东莞市海心沙资源综合利用中心环保热电厂2026年度液碱采购</w:t>
      </w:r>
      <w:r>
        <w:rPr>
          <w:rFonts w:hint="eastAsia" w:ascii="宋体" w:hAnsi="宋体" w:cs="宋体"/>
          <w:color w:val="auto"/>
          <w:kern w:val="2"/>
          <w:sz w:val="22"/>
          <w:szCs w:val="22"/>
          <w:highlight w:val="none"/>
          <w:u w:val="single"/>
          <w:lang w:val="en-US" w:eastAsia="zh-CN"/>
        </w:rPr>
        <w:t>项目</w:t>
      </w:r>
      <w:r>
        <w:rPr>
          <w:rFonts w:hint="eastAsia" w:ascii="宋体" w:hAnsi="宋体" w:eastAsia="宋体" w:cs="宋体"/>
          <w:color w:val="auto"/>
          <w:kern w:val="2"/>
          <w:sz w:val="22"/>
          <w:szCs w:val="22"/>
          <w:highlight w:val="none"/>
          <w:u w:val="single"/>
        </w:rPr>
        <w:t>技术需求书》约定为准。</w:t>
      </w:r>
    </w:p>
    <w:p w14:paraId="1D799C6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2、液碱技术参数需求</w:t>
      </w:r>
    </w:p>
    <w:tbl>
      <w:tblPr>
        <w:tblStyle w:val="31"/>
        <w:tblW w:w="9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5"/>
        <w:gridCol w:w="1013"/>
        <w:gridCol w:w="2041"/>
        <w:gridCol w:w="1762"/>
        <w:gridCol w:w="1672"/>
      </w:tblGrid>
      <w:tr w14:paraId="1AB08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jc w:val="center"/>
        </w:trPr>
        <w:tc>
          <w:tcPr>
            <w:tcW w:w="2535" w:type="dxa"/>
            <w:noWrap w:val="0"/>
            <w:vAlign w:val="center"/>
          </w:tcPr>
          <w:p w14:paraId="4E060903">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指标名称</w:t>
            </w:r>
          </w:p>
        </w:tc>
        <w:tc>
          <w:tcPr>
            <w:tcW w:w="1013" w:type="dxa"/>
            <w:noWrap w:val="0"/>
            <w:vAlign w:val="center"/>
          </w:tcPr>
          <w:p w14:paraId="35BF3DF6">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单位</w:t>
            </w:r>
          </w:p>
        </w:tc>
        <w:tc>
          <w:tcPr>
            <w:tcW w:w="2041" w:type="dxa"/>
            <w:noWrap w:val="0"/>
            <w:vAlign w:val="center"/>
          </w:tcPr>
          <w:p w14:paraId="7C9B855F">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指标要求</w:t>
            </w:r>
          </w:p>
        </w:tc>
        <w:tc>
          <w:tcPr>
            <w:tcW w:w="1762" w:type="dxa"/>
            <w:noWrap w:val="0"/>
            <w:vAlign w:val="center"/>
          </w:tcPr>
          <w:p w14:paraId="7483D711">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检测方法标准</w:t>
            </w:r>
          </w:p>
        </w:tc>
        <w:tc>
          <w:tcPr>
            <w:tcW w:w="1672" w:type="dxa"/>
            <w:noWrap w:val="0"/>
            <w:vAlign w:val="center"/>
          </w:tcPr>
          <w:p w14:paraId="27A3ECBD">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备注</w:t>
            </w:r>
          </w:p>
        </w:tc>
      </w:tr>
      <w:tr w14:paraId="0A318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jc w:val="center"/>
        </w:trPr>
        <w:tc>
          <w:tcPr>
            <w:tcW w:w="2535" w:type="dxa"/>
            <w:noWrap w:val="0"/>
            <w:vAlign w:val="bottom"/>
          </w:tcPr>
          <w:p w14:paraId="1C8A45EA">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氢氧化钠</w:t>
            </w:r>
          </w:p>
        </w:tc>
        <w:tc>
          <w:tcPr>
            <w:tcW w:w="1013" w:type="dxa"/>
            <w:noWrap w:val="0"/>
            <w:vAlign w:val="center"/>
          </w:tcPr>
          <w:p w14:paraId="1E43A399">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w:t>
            </w:r>
          </w:p>
        </w:tc>
        <w:tc>
          <w:tcPr>
            <w:tcW w:w="2041" w:type="dxa"/>
            <w:noWrap w:val="0"/>
            <w:vAlign w:val="center"/>
          </w:tcPr>
          <w:p w14:paraId="2D05FFEE">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≥32.0</w:t>
            </w:r>
          </w:p>
        </w:tc>
        <w:tc>
          <w:tcPr>
            <w:tcW w:w="1762" w:type="dxa"/>
            <w:vMerge w:val="restart"/>
            <w:noWrap w:val="0"/>
            <w:vAlign w:val="center"/>
          </w:tcPr>
          <w:p w14:paraId="110C9B35">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DL/T425-2015</w:t>
            </w:r>
          </w:p>
        </w:tc>
        <w:tc>
          <w:tcPr>
            <w:tcW w:w="1672" w:type="dxa"/>
            <w:noWrap w:val="0"/>
            <w:vAlign w:val="center"/>
          </w:tcPr>
          <w:p w14:paraId="099FDB74">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0CF56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 w:hRule="atLeast"/>
          <w:jc w:val="center"/>
        </w:trPr>
        <w:tc>
          <w:tcPr>
            <w:tcW w:w="2535" w:type="dxa"/>
            <w:noWrap w:val="0"/>
            <w:vAlign w:val="center"/>
          </w:tcPr>
          <w:p w14:paraId="38E3656E">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氯化钠</w:t>
            </w:r>
          </w:p>
        </w:tc>
        <w:tc>
          <w:tcPr>
            <w:tcW w:w="1013" w:type="dxa"/>
            <w:noWrap w:val="0"/>
            <w:vAlign w:val="center"/>
          </w:tcPr>
          <w:p w14:paraId="1A9391E5">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w:t>
            </w:r>
          </w:p>
        </w:tc>
        <w:tc>
          <w:tcPr>
            <w:tcW w:w="2041" w:type="dxa"/>
            <w:noWrap w:val="0"/>
            <w:vAlign w:val="center"/>
          </w:tcPr>
          <w:p w14:paraId="7E70677C">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≤0.004</w:t>
            </w:r>
          </w:p>
        </w:tc>
        <w:tc>
          <w:tcPr>
            <w:tcW w:w="1762" w:type="dxa"/>
            <w:vMerge w:val="continue"/>
            <w:tcBorders>
              <w:top w:val="nil"/>
            </w:tcBorders>
            <w:noWrap w:val="0"/>
            <w:vAlign w:val="center"/>
          </w:tcPr>
          <w:p w14:paraId="5FBC3711">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672" w:type="dxa"/>
            <w:noWrap w:val="0"/>
            <w:vAlign w:val="center"/>
          </w:tcPr>
          <w:p w14:paraId="7F86D24D">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2AE0D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jc w:val="center"/>
        </w:trPr>
        <w:tc>
          <w:tcPr>
            <w:tcW w:w="2535" w:type="dxa"/>
            <w:noWrap w:val="0"/>
            <w:vAlign w:val="center"/>
          </w:tcPr>
          <w:p w14:paraId="5602E9FF">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碳酸钠</w:t>
            </w:r>
          </w:p>
        </w:tc>
        <w:tc>
          <w:tcPr>
            <w:tcW w:w="1013" w:type="dxa"/>
            <w:noWrap w:val="0"/>
            <w:vAlign w:val="center"/>
          </w:tcPr>
          <w:p w14:paraId="023427E0">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w:t>
            </w:r>
          </w:p>
        </w:tc>
        <w:tc>
          <w:tcPr>
            <w:tcW w:w="2041" w:type="dxa"/>
            <w:noWrap w:val="0"/>
            <w:vAlign w:val="center"/>
          </w:tcPr>
          <w:p w14:paraId="6EBC575C">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≤0.04</w:t>
            </w:r>
          </w:p>
        </w:tc>
        <w:tc>
          <w:tcPr>
            <w:tcW w:w="1762" w:type="dxa"/>
            <w:vMerge w:val="continue"/>
            <w:tcBorders>
              <w:top w:val="nil"/>
            </w:tcBorders>
            <w:noWrap w:val="0"/>
            <w:vAlign w:val="center"/>
          </w:tcPr>
          <w:p w14:paraId="2D4F1A7F">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672" w:type="dxa"/>
            <w:noWrap w:val="0"/>
            <w:vAlign w:val="center"/>
          </w:tcPr>
          <w:p w14:paraId="31B36BB7">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2E96F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jc w:val="center"/>
        </w:trPr>
        <w:tc>
          <w:tcPr>
            <w:tcW w:w="2535" w:type="dxa"/>
            <w:noWrap w:val="0"/>
            <w:vAlign w:val="center"/>
          </w:tcPr>
          <w:p w14:paraId="356B09D7">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三氧化二铁</w:t>
            </w:r>
          </w:p>
        </w:tc>
        <w:tc>
          <w:tcPr>
            <w:tcW w:w="1013" w:type="dxa"/>
            <w:noWrap w:val="0"/>
            <w:vAlign w:val="center"/>
          </w:tcPr>
          <w:p w14:paraId="4F27D315">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w:t>
            </w:r>
          </w:p>
        </w:tc>
        <w:tc>
          <w:tcPr>
            <w:tcW w:w="2041" w:type="dxa"/>
            <w:noWrap w:val="0"/>
            <w:vAlign w:val="center"/>
          </w:tcPr>
          <w:p w14:paraId="45FFE646">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≤0.0003</w:t>
            </w:r>
          </w:p>
        </w:tc>
        <w:tc>
          <w:tcPr>
            <w:tcW w:w="1762" w:type="dxa"/>
            <w:vMerge w:val="continue"/>
            <w:tcBorders>
              <w:top w:val="nil"/>
            </w:tcBorders>
            <w:noWrap w:val="0"/>
            <w:vAlign w:val="center"/>
          </w:tcPr>
          <w:p w14:paraId="54DCD89C">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672" w:type="dxa"/>
            <w:noWrap w:val="0"/>
            <w:vAlign w:val="center"/>
          </w:tcPr>
          <w:p w14:paraId="5719C8EF">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14C89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jc w:val="center"/>
        </w:trPr>
        <w:tc>
          <w:tcPr>
            <w:tcW w:w="2535" w:type="dxa"/>
            <w:noWrap w:val="0"/>
            <w:vAlign w:val="center"/>
          </w:tcPr>
          <w:p w14:paraId="0145D3E7">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氯酸钠</w:t>
            </w:r>
          </w:p>
        </w:tc>
        <w:tc>
          <w:tcPr>
            <w:tcW w:w="1013" w:type="dxa"/>
            <w:noWrap w:val="0"/>
            <w:vAlign w:val="center"/>
          </w:tcPr>
          <w:p w14:paraId="79F0F2E3">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w:t>
            </w:r>
          </w:p>
        </w:tc>
        <w:tc>
          <w:tcPr>
            <w:tcW w:w="2041" w:type="dxa"/>
            <w:noWrap w:val="0"/>
            <w:vAlign w:val="center"/>
          </w:tcPr>
          <w:p w14:paraId="6E6D7E9D">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≤0.001</w:t>
            </w:r>
          </w:p>
        </w:tc>
        <w:tc>
          <w:tcPr>
            <w:tcW w:w="1762" w:type="dxa"/>
            <w:vMerge w:val="continue"/>
            <w:tcBorders>
              <w:top w:val="nil"/>
            </w:tcBorders>
            <w:noWrap w:val="0"/>
            <w:vAlign w:val="center"/>
          </w:tcPr>
          <w:p w14:paraId="6B7E79DB">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672" w:type="dxa"/>
            <w:noWrap w:val="0"/>
            <w:vAlign w:val="center"/>
          </w:tcPr>
          <w:p w14:paraId="2825DC92">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23C1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2535" w:type="dxa"/>
            <w:noWrap w:val="0"/>
            <w:vAlign w:val="center"/>
          </w:tcPr>
          <w:p w14:paraId="772F3D46">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氧化钙</w:t>
            </w:r>
          </w:p>
        </w:tc>
        <w:tc>
          <w:tcPr>
            <w:tcW w:w="1013" w:type="dxa"/>
            <w:noWrap w:val="0"/>
            <w:vAlign w:val="center"/>
          </w:tcPr>
          <w:p w14:paraId="28693FBC">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w:t>
            </w:r>
          </w:p>
        </w:tc>
        <w:tc>
          <w:tcPr>
            <w:tcW w:w="2041" w:type="dxa"/>
            <w:noWrap w:val="0"/>
            <w:vAlign w:val="center"/>
          </w:tcPr>
          <w:p w14:paraId="125895C4">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≤0.0001</w:t>
            </w:r>
          </w:p>
        </w:tc>
        <w:tc>
          <w:tcPr>
            <w:tcW w:w="1762" w:type="dxa"/>
            <w:vMerge w:val="continue"/>
            <w:tcBorders>
              <w:top w:val="nil"/>
            </w:tcBorders>
            <w:noWrap w:val="0"/>
            <w:vAlign w:val="center"/>
          </w:tcPr>
          <w:p w14:paraId="1B87B167">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672" w:type="dxa"/>
            <w:noWrap w:val="0"/>
            <w:vAlign w:val="center"/>
          </w:tcPr>
          <w:p w14:paraId="6B7CABCD">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4EB8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jc w:val="center"/>
        </w:trPr>
        <w:tc>
          <w:tcPr>
            <w:tcW w:w="2535" w:type="dxa"/>
            <w:noWrap w:val="0"/>
            <w:vAlign w:val="center"/>
          </w:tcPr>
          <w:p w14:paraId="62EEC28F">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三氧化二铝</w:t>
            </w:r>
          </w:p>
        </w:tc>
        <w:tc>
          <w:tcPr>
            <w:tcW w:w="1013" w:type="dxa"/>
            <w:noWrap w:val="0"/>
            <w:vAlign w:val="center"/>
          </w:tcPr>
          <w:p w14:paraId="36B54452">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w:t>
            </w:r>
          </w:p>
        </w:tc>
        <w:tc>
          <w:tcPr>
            <w:tcW w:w="2041" w:type="dxa"/>
            <w:noWrap w:val="0"/>
            <w:vAlign w:val="center"/>
          </w:tcPr>
          <w:p w14:paraId="6ECBA306">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≤0.0004</w:t>
            </w:r>
          </w:p>
        </w:tc>
        <w:tc>
          <w:tcPr>
            <w:tcW w:w="1762" w:type="dxa"/>
            <w:vMerge w:val="continue"/>
            <w:tcBorders>
              <w:top w:val="nil"/>
            </w:tcBorders>
            <w:noWrap w:val="0"/>
            <w:vAlign w:val="center"/>
          </w:tcPr>
          <w:p w14:paraId="0C5C5C56">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672" w:type="dxa"/>
            <w:noWrap w:val="0"/>
            <w:vAlign w:val="center"/>
          </w:tcPr>
          <w:p w14:paraId="31F55BB2">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24629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2535" w:type="dxa"/>
            <w:noWrap w:val="0"/>
            <w:vAlign w:val="center"/>
          </w:tcPr>
          <w:p w14:paraId="081C676B">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二氧化硅</w:t>
            </w:r>
          </w:p>
        </w:tc>
        <w:tc>
          <w:tcPr>
            <w:tcW w:w="1013" w:type="dxa"/>
            <w:noWrap w:val="0"/>
            <w:vAlign w:val="center"/>
          </w:tcPr>
          <w:p w14:paraId="3E10AE04">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w:t>
            </w:r>
          </w:p>
        </w:tc>
        <w:tc>
          <w:tcPr>
            <w:tcW w:w="2041" w:type="dxa"/>
            <w:noWrap w:val="0"/>
            <w:vAlign w:val="center"/>
          </w:tcPr>
          <w:p w14:paraId="767622F6">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≤0.0015</w:t>
            </w:r>
          </w:p>
        </w:tc>
        <w:tc>
          <w:tcPr>
            <w:tcW w:w="1762" w:type="dxa"/>
            <w:vMerge w:val="continue"/>
            <w:tcBorders>
              <w:top w:val="nil"/>
            </w:tcBorders>
            <w:noWrap w:val="0"/>
            <w:vAlign w:val="center"/>
          </w:tcPr>
          <w:p w14:paraId="57AFA8D5">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672" w:type="dxa"/>
            <w:noWrap w:val="0"/>
            <w:vAlign w:val="center"/>
          </w:tcPr>
          <w:p w14:paraId="7126CEA8">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1227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jc w:val="center"/>
        </w:trPr>
        <w:tc>
          <w:tcPr>
            <w:tcW w:w="2535" w:type="dxa"/>
            <w:noWrap w:val="0"/>
            <w:vAlign w:val="center"/>
          </w:tcPr>
          <w:p w14:paraId="16D08E3E">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硫酸盐（以 Na2SO4计）</w:t>
            </w:r>
          </w:p>
        </w:tc>
        <w:tc>
          <w:tcPr>
            <w:tcW w:w="1013" w:type="dxa"/>
            <w:noWrap w:val="0"/>
            <w:vAlign w:val="center"/>
          </w:tcPr>
          <w:p w14:paraId="21461542">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w:t>
            </w:r>
          </w:p>
        </w:tc>
        <w:tc>
          <w:tcPr>
            <w:tcW w:w="2041" w:type="dxa"/>
            <w:noWrap w:val="0"/>
            <w:vAlign w:val="center"/>
          </w:tcPr>
          <w:p w14:paraId="23BCC360">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≤0.001</w:t>
            </w:r>
          </w:p>
        </w:tc>
        <w:tc>
          <w:tcPr>
            <w:tcW w:w="1762" w:type="dxa"/>
            <w:vMerge w:val="continue"/>
            <w:tcBorders>
              <w:top w:val="nil"/>
            </w:tcBorders>
            <w:noWrap w:val="0"/>
            <w:vAlign w:val="center"/>
          </w:tcPr>
          <w:p w14:paraId="3AEA3B60">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672" w:type="dxa"/>
            <w:noWrap w:val="0"/>
            <w:vAlign w:val="center"/>
          </w:tcPr>
          <w:p w14:paraId="5C8B9DE7">
            <w:pPr>
              <w:widowControl w:val="0"/>
              <w:adjustRightInd w:val="0"/>
              <w:snapToGrid w:val="0"/>
              <w:spacing w:line="400" w:lineRule="exact"/>
              <w:jc w:val="center"/>
              <w:rPr>
                <w:rFonts w:hint="eastAsia" w:ascii="宋体" w:hAnsi="宋体" w:eastAsia="宋体" w:cs="宋体"/>
                <w:color w:val="auto"/>
                <w:sz w:val="22"/>
                <w:szCs w:val="20"/>
                <w:highlight w:val="none"/>
              </w:rPr>
            </w:pPr>
          </w:p>
        </w:tc>
      </w:tr>
    </w:tbl>
    <w:p w14:paraId="3D0D6CA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3、与双方确认的样品的质量相同。</w:t>
      </w:r>
    </w:p>
    <w:p w14:paraId="00C0E3C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4、国家标准、行业标准、地方标准、厂家标准中的最高标准。</w:t>
      </w:r>
    </w:p>
    <w:p w14:paraId="35D6E4B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5、合同附件技术协议书、用户需求、货物规格书、采购文件、投标文件等文件（如有）约定的标准。</w:t>
      </w:r>
    </w:p>
    <w:p w14:paraId="03958BAE">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6、甲方按考核评分表对乙方供货质量、服务情况等进行季度考核。季度考核综合得分大于等于80分，甲方继续履行合同；季度考核综合得分小于80分，甲方有权解除合同。</w:t>
      </w:r>
    </w:p>
    <w:p w14:paraId="3B39F001">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7、季度总评考核结果：</w:t>
      </w:r>
    </w:p>
    <w:tbl>
      <w:tblPr>
        <w:tblStyle w:val="31"/>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2511"/>
        <w:gridCol w:w="3301"/>
      </w:tblGrid>
      <w:tr w14:paraId="6A39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027" w:type="dxa"/>
            <w:noWrap w:val="0"/>
            <w:vAlign w:val="top"/>
          </w:tcPr>
          <w:p w14:paraId="086E12B9">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考核结果</w:t>
            </w:r>
          </w:p>
        </w:tc>
        <w:tc>
          <w:tcPr>
            <w:tcW w:w="2511" w:type="dxa"/>
            <w:noWrap w:val="0"/>
            <w:vAlign w:val="top"/>
          </w:tcPr>
          <w:p w14:paraId="7C68C37A">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分值区间</w:t>
            </w:r>
          </w:p>
        </w:tc>
        <w:tc>
          <w:tcPr>
            <w:tcW w:w="3301" w:type="dxa"/>
            <w:noWrap w:val="0"/>
            <w:vAlign w:val="top"/>
          </w:tcPr>
          <w:p w14:paraId="14B371AB">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是否继续执行合同</w:t>
            </w:r>
          </w:p>
        </w:tc>
      </w:tr>
      <w:tr w14:paraId="104B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027" w:type="dxa"/>
            <w:noWrap w:val="0"/>
            <w:vAlign w:val="top"/>
          </w:tcPr>
          <w:p w14:paraId="4037DAF0">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合格</w:t>
            </w:r>
          </w:p>
        </w:tc>
        <w:tc>
          <w:tcPr>
            <w:tcW w:w="2511" w:type="dxa"/>
            <w:noWrap w:val="0"/>
            <w:vAlign w:val="top"/>
          </w:tcPr>
          <w:p w14:paraId="763B698C">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301" w:type="dxa"/>
            <w:noWrap w:val="0"/>
            <w:vAlign w:val="top"/>
          </w:tcPr>
          <w:p w14:paraId="43028B0C">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继续执行</w:t>
            </w:r>
          </w:p>
        </w:tc>
      </w:tr>
      <w:tr w14:paraId="1E8F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027" w:type="dxa"/>
            <w:noWrap w:val="0"/>
            <w:vAlign w:val="top"/>
          </w:tcPr>
          <w:p w14:paraId="4FBA80C1">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不合格</w:t>
            </w:r>
          </w:p>
        </w:tc>
        <w:tc>
          <w:tcPr>
            <w:tcW w:w="2511" w:type="dxa"/>
            <w:noWrap w:val="0"/>
            <w:vAlign w:val="top"/>
          </w:tcPr>
          <w:p w14:paraId="72527CA4">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301" w:type="dxa"/>
            <w:noWrap w:val="0"/>
            <w:vAlign w:val="top"/>
          </w:tcPr>
          <w:p w14:paraId="195C738B">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任一次不合格有权解除合同</w:t>
            </w:r>
          </w:p>
        </w:tc>
      </w:tr>
    </w:tbl>
    <w:p w14:paraId="17864642">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70BAE399">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第三条  质量保证期</w:t>
      </w:r>
    </w:p>
    <w:p w14:paraId="30717193">
      <w:pPr>
        <w:widowControl w:val="0"/>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1、质量保证期按</w:t>
      </w:r>
      <w:r>
        <w:rPr>
          <w:rFonts w:hint="eastAsia" w:ascii="宋体" w:hAnsi="宋体" w:eastAsia="宋体" w:cs="宋体"/>
          <w:color w:val="auto"/>
          <w:kern w:val="2"/>
          <w:sz w:val="22"/>
          <w:szCs w:val="22"/>
          <w:highlight w:val="none"/>
          <w:u w:val="single"/>
        </w:rPr>
        <w:t>（3）</w:t>
      </w:r>
      <w:r>
        <w:rPr>
          <w:rFonts w:hint="eastAsia" w:ascii="宋体" w:hAnsi="宋体" w:eastAsia="宋体" w:cs="宋体"/>
          <w:bCs/>
          <w:color w:val="auto"/>
          <w:kern w:val="2"/>
          <w:sz w:val="22"/>
          <w:szCs w:val="22"/>
          <w:highlight w:val="none"/>
        </w:rPr>
        <w:t>执行。</w:t>
      </w:r>
    </w:p>
    <w:p w14:paraId="3A3979C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bCs/>
          <w:color w:val="auto"/>
          <w:kern w:val="2"/>
          <w:sz w:val="22"/>
          <w:szCs w:val="22"/>
          <w:highlight w:val="none"/>
        </w:rPr>
        <w:t>（1）交付后</w:t>
      </w:r>
      <w:r>
        <w:rPr>
          <w:rFonts w:hint="eastAsia" w:ascii="宋体" w:hAnsi="宋体" w:eastAsia="宋体" w:cs="宋体"/>
          <w:color w:val="auto"/>
          <w:kern w:val="2"/>
          <w:sz w:val="22"/>
          <w:szCs w:val="22"/>
          <w:highlight w:val="none"/>
          <w:u w:val="single"/>
        </w:rPr>
        <w:t>﹨</w:t>
      </w:r>
      <w:r>
        <w:rPr>
          <w:rFonts w:hint="eastAsia" w:ascii="宋体" w:hAnsi="宋体" w:eastAsia="宋体" w:cs="宋体"/>
          <w:bCs/>
          <w:color w:val="auto"/>
          <w:kern w:val="2"/>
          <w:sz w:val="22"/>
          <w:szCs w:val="22"/>
          <w:highlight w:val="none"/>
        </w:rPr>
        <w:t>个月保质期；</w:t>
      </w:r>
      <w:r>
        <w:rPr>
          <w:rFonts w:hint="eastAsia" w:ascii="宋体" w:hAnsi="宋体" w:eastAsia="宋体" w:cs="宋体"/>
          <w:bCs/>
          <w:vanish/>
          <w:color w:val="auto"/>
          <w:kern w:val="2"/>
          <w:sz w:val="22"/>
          <w:szCs w:val="22"/>
          <w:highlight w:val="none"/>
        </w:rPr>
        <w:t>(</w:t>
      </w:r>
      <w:r>
        <w:rPr>
          <w:rFonts w:hint="eastAsia" w:ascii="宋体" w:hAnsi="宋体" w:eastAsia="宋体" w:cs="宋体"/>
          <w:bCs/>
          <w:color w:val="auto"/>
          <w:kern w:val="2"/>
          <w:sz w:val="22"/>
          <w:szCs w:val="22"/>
          <w:highlight w:val="none"/>
        </w:rPr>
        <w:t>2）</w:t>
      </w:r>
      <w:r>
        <w:rPr>
          <w:rFonts w:hint="eastAsia" w:ascii="宋体" w:hAnsi="宋体" w:eastAsia="宋体" w:cs="宋体"/>
          <w:color w:val="auto"/>
          <w:kern w:val="2"/>
          <w:sz w:val="22"/>
          <w:szCs w:val="22"/>
          <w:highlight w:val="none"/>
        </w:rPr>
        <w:t>正常运行</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个月；（3）初步验收合格之日起</w:t>
      </w:r>
      <w:r>
        <w:rPr>
          <w:rFonts w:hint="eastAsia" w:ascii="宋体" w:hAnsi="宋体" w:eastAsia="宋体" w:cs="宋体"/>
          <w:color w:val="auto"/>
          <w:kern w:val="2"/>
          <w:sz w:val="22"/>
          <w:szCs w:val="22"/>
          <w:highlight w:val="none"/>
          <w:u w:val="single"/>
        </w:rPr>
        <w:t>6</w:t>
      </w:r>
      <w:r>
        <w:rPr>
          <w:rFonts w:hint="eastAsia" w:ascii="宋体" w:hAnsi="宋体" w:eastAsia="宋体" w:cs="宋体"/>
          <w:color w:val="auto"/>
          <w:kern w:val="2"/>
          <w:sz w:val="22"/>
          <w:szCs w:val="22"/>
          <w:highlight w:val="none"/>
        </w:rPr>
        <w:t>个月；</w:t>
      </w:r>
    </w:p>
    <w:p w14:paraId="25061C5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2、如果乙方知道或者应当知道所出卖产品存在质量缺陷，所承担的质量保证期限不受前款质量负责期限的约束，应依法承担相应责任。</w:t>
      </w:r>
    </w:p>
    <w:p w14:paraId="6454E1DA">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503A830E">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第四条  包装标准、包装物的供应与回收</w:t>
      </w:r>
    </w:p>
    <w:p w14:paraId="40C38A6F">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1、产品所需包装由乙方合理包装并符合技术附件的要求（如有），适合水运和/或长途内陆运输，防潮，防湿，防震，防锈，符合甲方使用要求。  </w:t>
      </w:r>
    </w:p>
    <w:p w14:paraId="48B5BE6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2、包装物由乙方提供，不计费、</w:t>
      </w:r>
      <w:r>
        <w:rPr>
          <w:rFonts w:hint="eastAsia" w:ascii="宋体" w:hAnsi="宋体" w:eastAsia="宋体" w:cs="宋体"/>
          <w:color w:val="auto"/>
          <w:kern w:val="2"/>
          <w:sz w:val="22"/>
          <w:szCs w:val="22"/>
          <w:highlight w:val="none"/>
          <w:u w:val="single"/>
        </w:rPr>
        <w:t>乙方</w:t>
      </w:r>
      <w:r>
        <w:rPr>
          <w:rFonts w:hint="eastAsia" w:ascii="宋体" w:hAnsi="宋体" w:eastAsia="宋体" w:cs="宋体"/>
          <w:color w:val="auto"/>
          <w:kern w:val="2"/>
          <w:sz w:val="22"/>
          <w:szCs w:val="22"/>
          <w:highlight w:val="none"/>
        </w:rPr>
        <w:t>回收。</w:t>
      </w:r>
    </w:p>
    <w:p w14:paraId="09DA50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3、化学品的包装必须满足国家标准</w:t>
      </w:r>
      <w:r>
        <w:rPr>
          <w:rFonts w:hint="eastAsia" w:ascii="宋体" w:hAnsi="宋体" w:eastAsia="宋体" w:cs="宋体"/>
          <w:bCs/>
          <w:color w:val="auto"/>
          <w:kern w:val="2"/>
          <w:sz w:val="22"/>
          <w:szCs w:val="22"/>
          <w:highlight w:val="none"/>
        </w:rPr>
        <w:t>《化学试剂包装及标志》GB 15346-2012</w:t>
      </w:r>
      <w:r>
        <w:rPr>
          <w:rFonts w:hint="eastAsia" w:ascii="宋体" w:hAnsi="宋体" w:eastAsia="宋体" w:cs="宋体"/>
          <w:color w:val="auto"/>
          <w:kern w:val="2"/>
          <w:sz w:val="22"/>
          <w:szCs w:val="22"/>
          <w:highlight w:val="none"/>
        </w:rPr>
        <w:t>和《危险货物包装标志》GB 190-2009。对于瓶装或桶装的化学品，其标识必须包含化学品的名称、分子式、有效成分含量及等级、净重、危险标识、供货厂家、批号，生产日期、有效期、产品质量符合标准的证明和标准编号等信息。对于运送散装化学品的储槽上必须有标识，必须包含化学品的名称和危险标识等信息，运送人员同时提供产品质量检验报告。</w:t>
      </w:r>
    </w:p>
    <w:p w14:paraId="0F527A2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4、所采购品含腐蚀性、有毒成分，产品进厂后，将严格执行厂区的安全规定和政府部门的《危险化学品的安全管理》。</w:t>
      </w:r>
    </w:p>
    <w:p w14:paraId="68B5F231">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440B490E">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第五条  交货时间、地点及供货期限</w:t>
      </w:r>
    </w:p>
    <w:p w14:paraId="0033933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1、交货地点：东莞市海心沙资源综合利用中心环保热电厂项目指定地点。</w:t>
      </w:r>
    </w:p>
    <w:p w14:paraId="27926923">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snapToGrid w:val="0"/>
          <w:color w:val="auto"/>
          <w:kern w:val="2"/>
          <w:sz w:val="22"/>
          <w:szCs w:val="22"/>
          <w:highlight w:val="none"/>
        </w:rPr>
      </w:pPr>
      <w:r>
        <w:rPr>
          <w:rFonts w:hint="eastAsia" w:ascii="宋体" w:hAnsi="宋体" w:eastAsia="宋体" w:cs="宋体"/>
          <w:color w:val="auto"/>
          <w:kern w:val="2"/>
          <w:sz w:val="22"/>
          <w:szCs w:val="22"/>
          <w:highlight w:val="none"/>
        </w:rPr>
        <w:t>2、交货时间及顺序：经甲方提前2日以书面、微信、电子邮件或短信通知后，乙方需确保在规定期限内交货到厂。乙方在收到甲方书面、微信、电子邮件或短信等通知后应立即供货，如不能在约定时间内及时供货时，则承担逾期供货相关责任。</w:t>
      </w:r>
      <w:r>
        <w:rPr>
          <w:rFonts w:hint="eastAsia" w:ascii="宋体" w:hAnsi="宋体" w:eastAsia="宋体" w:cs="宋体"/>
          <w:bCs/>
          <w:snapToGrid w:val="0"/>
          <w:color w:val="auto"/>
          <w:kern w:val="2"/>
          <w:sz w:val="22"/>
          <w:szCs w:val="22"/>
          <w:highlight w:val="none"/>
        </w:rPr>
        <w:t>本次采购不限定每次采购的时间、数量。乙方应当根据甲方的随时通知在上述期限内及时供货。乙方应当自行预估并且承担由此可能带来的风险。</w:t>
      </w:r>
    </w:p>
    <w:p w14:paraId="2A36A44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3、紧急供货：如甲方的任一项目因突发状况要求紧急供货，乙方应在收到甲方通知后根据甲方订单或电子邮件、短信等要求在10个小时内交货到厂。如不能在约定时间交货到厂，则承担逾期交货相关责任。</w:t>
      </w:r>
    </w:p>
    <w:p w14:paraId="1633738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4、供货期限：</w:t>
      </w:r>
    </w:p>
    <w:p w14:paraId="49D9D3C7">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供货期限为：     年  月  日至     年  月  日止。</w:t>
      </w:r>
    </w:p>
    <w:p w14:paraId="59C3BDA1">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合同执行期间，甲方有权根据项目实际需求提前终止合同，选择不继续采购乙方货物，乙方不得要求甲方继续采购乙方货物或要求赔偿。</w:t>
      </w:r>
    </w:p>
    <w:p w14:paraId="22249F95">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1C480949">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第六条  合理损耗标准及计算方法</w:t>
      </w:r>
    </w:p>
    <w:p w14:paraId="5D75AA5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1、双方共同确定的计量方法，即</w:t>
      </w:r>
      <w:r>
        <w:rPr>
          <w:rFonts w:hint="eastAsia" w:ascii="宋体" w:hAnsi="宋体" w:eastAsia="宋体" w:cs="宋体"/>
          <w:color w:val="auto"/>
          <w:kern w:val="2"/>
          <w:sz w:val="22"/>
          <w:szCs w:val="22"/>
          <w:highlight w:val="none"/>
          <w:u w:val="single"/>
        </w:rPr>
        <w:t>甲方指定送货电厂地磅计量法，无出厂化验合格报告，禁止过磅。</w:t>
      </w:r>
    </w:p>
    <w:p w14:paraId="7AA62101">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2、根据上述方法乙方向甲方实际交付的产品数量在本合同约定的合理损耗（﹨ %）的范围内，乙方不承担责任。</w:t>
      </w:r>
    </w:p>
    <w:p w14:paraId="18AF901A">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F414E12">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第七条  货物的保管风险及所有权的转移</w:t>
      </w:r>
    </w:p>
    <w:p w14:paraId="5364493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1、货物的保管风险自交付至甲方指定的交货地点之时转移至甲方，即在约定时间、约定地点交付之前货物的保管风险由乙方承担，交付之后货物的保管风险由甲方承担。</w:t>
      </w:r>
    </w:p>
    <w:p w14:paraId="733A953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2、货物的所有权自交付起转移至甲方。</w:t>
      </w:r>
    </w:p>
    <w:p w14:paraId="2DCB0A7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3、乙方迟延交付的，承担迟延期间货物的风险责任。</w:t>
      </w:r>
    </w:p>
    <w:p w14:paraId="040E8467">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6BF0A3B7">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第八条  运输方法</w:t>
      </w:r>
      <w:r>
        <w:rPr>
          <w:rFonts w:hint="eastAsia" w:ascii="宋体" w:hAnsi="宋体" w:eastAsia="宋体" w:cs="宋体"/>
          <w:color w:val="auto"/>
          <w:kern w:val="2"/>
          <w:sz w:val="22"/>
          <w:szCs w:val="22"/>
          <w:highlight w:val="none"/>
        </w:rPr>
        <w:t>、</w:t>
      </w:r>
      <w:r>
        <w:rPr>
          <w:rFonts w:hint="eastAsia" w:ascii="宋体" w:hAnsi="宋体" w:eastAsia="宋体" w:cs="宋体"/>
          <w:b/>
          <w:color w:val="auto"/>
          <w:kern w:val="2"/>
          <w:sz w:val="22"/>
          <w:szCs w:val="22"/>
          <w:highlight w:val="none"/>
        </w:rPr>
        <w:t>运费及运输保险负担、到达站（港）</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b/>
          <w:color w:val="auto"/>
          <w:kern w:val="2"/>
          <w:sz w:val="22"/>
          <w:szCs w:val="22"/>
          <w:highlight w:val="none"/>
        </w:rPr>
        <w:t>。</w:t>
      </w:r>
    </w:p>
    <w:p w14:paraId="3A6DB769">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 1、运输方法：乙方须用合规格密封良好的槽罐车运输合同货物。槽罐必须注意防泄漏，注意环境保护。槽罐车实际容量可根据甲方实际送货需求调整。按最新交通运输法，载货后整车总质量必须</w:t>
      </w:r>
      <w:r>
        <w:rPr>
          <w:rFonts w:hint="eastAsia" w:ascii="宋体" w:hAnsi="宋体" w:eastAsia="宋体" w:cs="宋体"/>
          <w:color w:val="auto"/>
          <w:kern w:val="2"/>
          <w:sz w:val="22"/>
          <w:szCs w:val="22"/>
          <w:highlight w:val="none"/>
          <w:shd w:val="clear" w:color="auto" w:fill="FFFFFF"/>
        </w:rPr>
        <w:t>＜</w:t>
      </w:r>
      <w:r>
        <w:rPr>
          <w:rFonts w:hint="eastAsia" w:ascii="宋体" w:hAnsi="宋体" w:eastAsia="宋体" w:cs="宋体"/>
          <w:color w:val="auto"/>
          <w:kern w:val="2"/>
          <w:sz w:val="22"/>
          <w:szCs w:val="22"/>
          <w:highlight w:val="none"/>
        </w:rPr>
        <w:t>49吨。以上由乙方承担运输及装卸等费用，自行卸货。</w:t>
      </w:r>
    </w:p>
    <w:p w14:paraId="0B8CD11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2、费用负担：按</w:t>
      </w:r>
      <w:r>
        <w:rPr>
          <w:rFonts w:hint="eastAsia" w:ascii="宋体" w:hAnsi="宋体" w:eastAsia="宋体" w:cs="宋体"/>
          <w:color w:val="auto"/>
          <w:kern w:val="2"/>
          <w:sz w:val="22"/>
          <w:szCs w:val="22"/>
          <w:highlight w:val="none"/>
          <w:u w:val="single"/>
        </w:rPr>
        <w:t xml:space="preserve">   (1)  </w:t>
      </w:r>
      <w:r>
        <w:rPr>
          <w:rFonts w:hint="eastAsia" w:ascii="宋体" w:hAnsi="宋体" w:eastAsia="宋体" w:cs="宋体"/>
          <w:color w:val="auto"/>
          <w:kern w:val="2"/>
          <w:sz w:val="22"/>
          <w:szCs w:val="22"/>
          <w:highlight w:val="none"/>
        </w:rPr>
        <w:t>执行。</w:t>
      </w:r>
    </w:p>
    <w:p w14:paraId="7D35048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（1）运费已包含在本合同价款内；（2）运输费用</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元，由甲方另行支付。</w:t>
      </w:r>
    </w:p>
    <w:p w14:paraId="496C744B">
      <w:pPr>
        <w:widowControl w:val="0"/>
        <w:adjustRightInd w:val="0"/>
        <w:snapToGrid w:val="0"/>
        <w:spacing w:line="400" w:lineRule="exact"/>
        <w:ind w:firstLine="440" w:firstLineChars="200"/>
        <w:jc w:val="both"/>
        <w:rPr>
          <w:rFonts w:hint="eastAsia" w:ascii="宋体" w:hAnsi="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3、运输保险费由</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方承担，共计：</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。由乙方代办托运的保险受益人为甲方。保险费已包含在本合同价款内</w:t>
      </w:r>
      <w:r>
        <w:rPr>
          <w:rFonts w:hint="eastAsia" w:ascii="宋体" w:hAnsi="宋体" w:cs="宋体"/>
          <w:color w:val="auto"/>
          <w:kern w:val="2"/>
          <w:sz w:val="22"/>
          <w:szCs w:val="22"/>
          <w:highlight w:val="none"/>
          <w:lang w:eastAsia="zh-CN"/>
        </w:rPr>
        <w:t>。</w:t>
      </w:r>
    </w:p>
    <w:p w14:paraId="30B6118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4、乙方（或乙方委托的运输单位）必须为所有投入本服务项目的工作人员（含运输司机及装卸人员）购买社保和人身意外伤害保险。在该购买的人身意外伤害保险项下，被保险人因意外伤害死亡时的赔偿金额应不低于人民币120万/人，且保险期限不短于本合同有效期间及本项目实际服务期。乙方在本合同签订后7个工作日内须向甲方提供相关的保险购买证明材料</w:t>
      </w:r>
      <w:r>
        <w:rPr>
          <w:rFonts w:hint="eastAsia" w:ascii="宋体" w:hAnsi="宋体" w:eastAsia="宋体" w:cs="宋体"/>
          <w:color w:val="auto"/>
          <w:kern w:val="2"/>
          <w:sz w:val="22"/>
          <w:szCs w:val="22"/>
          <w:highlight w:val="none"/>
        </w:rPr>
        <w:t>。</w:t>
      </w:r>
    </w:p>
    <w:p w14:paraId="75D39BA0">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624F55C3">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第九条  检验标准、方法、地点及期限</w:t>
      </w:r>
    </w:p>
    <w:p w14:paraId="5817D88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1、检验标准：按本合同第二条质量标准进行检验。</w:t>
      </w:r>
    </w:p>
    <w:p w14:paraId="3F90F03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2、验收方式：按</w:t>
      </w:r>
      <w:r>
        <w:rPr>
          <w:rFonts w:hint="eastAsia" w:ascii="宋体" w:hAnsi="宋体" w:eastAsia="宋体" w:cs="宋体"/>
          <w:color w:val="auto"/>
          <w:kern w:val="2"/>
          <w:sz w:val="22"/>
          <w:szCs w:val="22"/>
          <w:highlight w:val="none"/>
          <w:u w:val="single"/>
        </w:rPr>
        <w:t xml:space="preserve"> (1)、 (2) 、(3) 、(4) 、(5)、(6)、(7)</w:t>
      </w:r>
      <w:r>
        <w:rPr>
          <w:rFonts w:hint="eastAsia" w:ascii="宋体" w:hAnsi="宋体" w:eastAsia="宋体" w:cs="宋体"/>
          <w:color w:val="auto"/>
          <w:kern w:val="2"/>
          <w:sz w:val="22"/>
          <w:szCs w:val="22"/>
          <w:highlight w:val="none"/>
        </w:rPr>
        <w:t>执行。</w:t>
      </w:r>
    </w:p>
    <w:p w14:paraId="2A590E9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u w:val="single"/>
        </w:rPr>
        <w:t>乙方在送货时，必须提供每一批货物的出厂化验报告，要求必须签字盖章。无出厂化验报告，禁止过磅。</w:t>
      </w:r>
    </w:p>
    <w:p w14:paraId="749767B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过磅后乙方送达产品到甲方指定地点进行抽样取样，每次取样时，供需双方应当共同见证取样，且取样单须经供需双方共同签字签章确认（乙方拒绝派人参加取样或者拒绝签字盖章确认的，不影响甲方取样的效力）。甲方完成取样并且实验室初步检验合格后，由乙方负责卸货至甲方指定地点，卸货费用已经包含在合同价款中。卸货后乙方必须再次到甲方地磅过空磅，签字确认并拿取过磅单后，方可离厂。如退货，乙方必须在10小时内第二车送货到厂。</w:t>
      </w:r>
    </w:p>
    <w:p w14:paraId="7B2F6BA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（3）不予收货：乙方货物经甲方分析检测室检验确认本车次产品不合格。</w:t>
      </w:r>
    </w:p>
    <w:p w14:paraId="76D5909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（4）第三方检测：</w:t>
      </w:r>
    </w:p>
    <w:p w14:paraId="5C82B9AE">
      <w:pPr>
        <w:widowControl w:val="0"/>
        <w:adjustRightInd w:val="0"/>
        <w:snapToGrid w:val="0"/>
        <w:spacing w:line="400" w:lineRule="exact"/>
        <w:ind w:firstLine="440" w:firstLineChars="200"/>
        <w:jc w:val="both"/>
        <w:rPr>
          <w:rFonts w:hint="eastAsia" w:ascii="宋体" w:hAnsi="宋体" w:eastAsia="宋体" w:cs="宋体"/>
          <w:snapToGrid w:val="0"/>
          <w:color w:val="auto"/>
          <w:kern w:val="2"/>
          <w:sz w:val="22"/>
          <w:szCs w:val="22"/>
          <w:highlight w:val="none"/>
        </w:rPr>
      </w:pPr>
      <w:r>
        <w:rPr>
          <w:rFonts w:hint="eastAsia" w:ascii="宋体" w:hAnsi="宋体" w:eastAsia="宋体" w:cs="宋体"/>
          <w:color w:val="auto"/>
          <w:kern w:val="2"/>
          <w:sz w:val="22"/>
          <w:szCs w:val="22"/>
          <w:highlight w:val="none"/>
          <w:u w:val="single"/>
        </w:rPr>
        <w:t>甲方有权在合同期内在任一项目不定期安排随机抽检，双方见证取样，由甲方指定检测单位及送检，检测费用由甲方承担。如乙方对甲方指定检测单位的初步检验结果有异议的，或双方代表在验收中不能取得一致意见时，可提请双方认可的国家权威检验部门进行检验，其出具的检验证书是具有法律效力的最终检验结果，对双方都有约束力，检验费由责任方负担。</w:t>
      </w:r>
    </w:p>
    <w:p w14:paraId="40F1788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（5）若甲方在运行生产使用过程中，乙方的产品被甲方上级主管部门检查质量不合格，并对甲方进行做出相关处罚，由此所产生的责任及甲方损失全由乙方承担。</w:t>
      </w:r>
    </w:p>
    <w:p w14:paraId="233E637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（6）质保期：乙方提供自货物交付验收合格之日起，至少6个月质保期。</w:t>
      </w:r>
    </w:p>
    <w:p w14:paraId="30D73AFC">
      <w:pPr>
        <w:widowControl w:val="0"/>
        <w:adjustRightInd w:val="0"/>
        <w:snapToGrid w:val="0"/>
        <w:spacing w:line="400" w:lineRule="exact"/>
        <w:jc w:val="both"/>
        <w:rPr>
          <w:rFonts w:hint="eastAsia" w:ascii="宋体" w:hAnsi="宋体" w:eastAsia="宋体" w:cs="宋体"/>
          <w:bCs/>
          <w:color w:val="auto"/>
          <w:kern w:val="2"/>
          <w:sz w:val="22"/>
          <w:szCs w:val="22"/>
          <w:highlight w:val="none"/>
        </w:rPr>
      </w:pPr>
    </w:p>
    <w:p w14:paraId="4AAB7F3C">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第十条  履约担保及退回</w:t>
      </w:r>
    </w:p>
    <w:p w14:paraId="00A2A47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1、乙方在签订合同后15个日历天内向甲方提供</w:t>
      </w:r>
      <w:r>
        <w:rPr>
          <w:rFonts w:hint="eastAsia" w:ascii="宋体" w:hAnsi="宋体" w:eastAsia="宋体" w:cs="宋体"/>
          <w:b/>
          <w:bCs/>
          <w:color w:val="auto"/>
          <w:sz w:val="22"/>
          <w:szCs w:val="22"/>
          <w:highlight w:val="none"/>
          <w:u w:val="double"/>
        </w:rPr>
        <w:t>人民币      整（¥       ）</w:t>
      </w:r>
      <w:r>
        <w:rPr>
          <w:rFonts w:hint="eastAsia" w:ascii="宋体" w:hAnsi="宋体" w:eastAsia="宋体" w:cs="宋体"/>
          <w:color w:val="auto"/>
          <w:kern w:val="2"/>
          <w:sz w:val="22"/>
          <w:szCs w:val="22"/>
          <w:highlight w:val="none"/>
        </w:rPr>
        <w:t>履约保证金证(银行转账或银行见索即付保函形式)。乙方以银行保函方式提交履约担保并且保函规定了有效期的，乙方应当在保函有效期届满前一个月向甲方提交续期保函。作为甲方对乙方合约履行的保证，如乙方违约（具体参考本合同第十四条及其他条款的约定），甲方则有权从该履约保证金中扣除。</w:t>
      </w:r>
    </w:p>
    <w:p w14:paraId="4C6EB3C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14:paraId="75D18F6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3、履约保证金不足支付部分，甲方有权另行向乙方索赔。</w:t>
      </w:r>
    </w:p>
    <w:p w14:paraId="47B2750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依照本合同约定全面履行义务，并经甲方书面同意后，履约担保在完成本合同全部义务且质保期（如有）满后二十八天内无息退还，履约保函过期失效。乙方在履约保证期满后须提交退款申请，否则甲方有权延期退款。</w:t>
      </w:r>
    </w:p>
    <w:p w14:paraId="5437956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5、如履约担保到期不续期，则甲方有权先不支付费用，并要求乙方承担违约责任且继续履行义务。</w:t>
      </w:r>
    </w:p>
    <w:p w14:paraId="1ADE315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6、甲方收款银行账户如下：</w:t>
      </w:r>
    </w:p>
    <w:p w14:paraId="7C5C913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户名： </w:t>
      </w:r>
    </w:p>
    <w:p w14:paraId="55A6716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w:t>
      </w:r>
    </w:p>
    <w:p w14:paraId="51526FF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账号：</w:t>
      </w:r>
    </w:p>
    <w:p w14:paraId="319A3EBC">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4CC8DA6A">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第十一条 付款方式及付款条件</w:t>
      </w:r>
    </w:p>
    <w:p w14:paraId="0FB7903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1、本合同项下确定的合同总价由甲方向乙方按月结方式支付：</w:t>
      </w:r>
    </w:p>
    <w:p w14:paraId="389073A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月结：每自然月结束后，甲方向乙方申请结算上月货物货款。结算数量按上月乙方货物经甲方验收合格的数量（对质量有争议的部分暂时不予结算支付），并且在甲方收到乙方交付的以下资料后三十个工作日内以电汇/转账/银行承兑汇票等方式向乙方支付：</w:t>
      </w:r>
    </w:p>
    <w:p w14:paraId="07DD7D7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A．（货物的过磅计量清单）标的货物经甲方地磅计量的实际重量；</w:t>
      </w:r>
    </w:p>
    <w:p w14:paraId="4E1CEF1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B．开具金额为该月验收合格货物总价100％的增值税专用发票（在合同履行期间，如遇国家的税率调整，则货款（价税合计）应根据原不含税价和调整后的税率重新计算，相应发票按调整后价格开具）；</w:t>
      </w:r>
    </w:p>
    <w:p w14:paraId="47A3D85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C．乙方向甲方缴纳的履约担保证明资料（首次支付时需要）；</w:t>
      </w:r>
    </w:p>
    <w:p w14:paraId="27826C8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D．每车次货物甲方实验室初步检验报告及甲方对异议货物要求乙方委托第三方出具的合格检测报告（如有）</w:t>
      </w:r>
      <w:r>
        <w:rPr>
          <w:rFonts w:hint="eastAsia" w:ascii="宋体" w:hAnsi="宋体" w:eastAsia="宋体" w:cs="宋体"/>
          <w:snapToGrid w:val="0"/>
          <w:color w:val="auto"/>
          <w:kern w:val="2"/>
          <w:sz w:val="22"/>
          <w:szCs w:val="22"/>
          <w:highlight w:val="none"/>
        </w:rPr>
        <w:t>；</w:t>
      </w:r>
    </w:p>
    <w:p w14:paraId="2C8585B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E．送货清单（甲方指定收货人签字确认）；</w:t>
      </w:r>
    </w:p>
    <w:p w14:paraId="2BE3582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F. 每车次货物出厂化验报告；</w:t>
      </w:r>
    </w:p>
    <w:p w14:paraId="003C6EA1">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G. 双方盖章确认的月度对账单。</w:t>
      </w:r>
    </w:p>
    <w:p w14:paraId="39DE5F9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2、乙方确认其收款银行账户如下：</w:t>
      </w:r>
    </w:p>
    <w:p w14:paraId="4D38B4F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账户名称：</w:t>
      </w:r>
    </w:p>
    <w:p w14:paraId="39A27D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开户银行：</w:t>
      </w:r>
    </w:p>
    <w:p w14:paraId="44FA8D6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银行账号：</w:t>
      </w:r>
    </w:p>
    <w:p w14:paraId="1A3F251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3、甲乙双方各自承担因执行合同所发生的银行费用及各项税费。</w:t>
      </w:r>
    </w:p>
    <w:p w14:paraId="3BEAF6A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在甲方支付合同款项时，应按各期付款数额向甲方开具按付款方式和付款条件要求的票据格式。不开具或开具不合格的，甲方有权迟延支付应付款项且不承担任何违约责任，且乙方的各项合同义务仍应按合同约定履行。</w:t>
      </w:r>
    </w:p>
    <w:p w14:paraId="25A0722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5、如果乙方有赔偿和/或支付违约金的责任，则甲方有权从最近一笔付款或是履约保证金中扣除相应金额。如果最近一笔付款或履约保证金不足以抵扣违约金的，则可从下一笔付款中继续扣除。</w:t>
      </w:r>
    </w:p>
    <w:p w14:paraId="340FFFB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6、由于乙方未足额缴纳应缴税款和开具发票不真实、不合格而引起的一切责任（包括商业责任和法律责任）和损失，由乙方承担。</w:t>
      </w:r>
    </w:p>
    <w:p w14:paraId="5A35724E">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4FCE78E">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第十二条  不可抗力</w:t>
      </w:r>
    </w:p>
    <w:p w14:paraId="1EF5C64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14:paraId="0ED262E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由于不可抗力的原因，而不能履行合同或延迟履行合同的一方可视不可抗力的实际影响免除部分或全部违约责任。但受不可抗力影响的一方应在通知可能的情况下立即通知对方,并在不可抗力发生后7日内特快专递邮寄相关的主管部门签发的证明文件,以便其他各方审查、确认。</w:t>
      </w:r>
    </w:p>
    <w:p w14:paraId="61F3D6A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3、发生不可抗力事件终止或消除后，受不可抗力影响的一方，应立即通知对方, 发生不可抗力事件终止或消除后7日内特快专递邮寄相关的主管部门签发的证明文件确认不可抗力事件的终止或消除。</w:t>
      </w:r>
    </w:p>
    <w:p w14:paraId="602747F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4、如果不可抗力的影响持续超过3个月，受不可抗力影响的一方应与对方取得联系，以便解决进一步履行合同的问题。</w:t>
      </w:r>
    </w:p>
    <w:p w14:paraId="6448845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5、乙方应考虑因不可抗力或安全事故等突发因素导致甲方项目延期或停产而不能完成年度采购计划总量的情况，并自行承担风险。</w:t>
      </w:r>
    </w:p>
    <w:p w14:paraId="7F43CD87">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E6CF708">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第十三条  合同的变更和解除</w:t>
      </w:r>
    </w:p>
    <w:p w14:paraId="12D9F0A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1、双方协商一致可变更或解除本合同。合同变更或解除应采取书面形式。</w:t>
      </w:r>
    </w:p>
    <w:p w14:paraId="1F5E86D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有下列情形之一者，守约方可单方解除合同：（1）因不可抗力持续时间超过【3】个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累计不合格货物车次达三次或以上的，甲方有权单方解除本合同；（7）法律规定的其他情形。</w:t>
      </w:r>
    </w:p>
    <w:p w14:paraId="54BF68B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3、解除合同方在解除合同时，应履行通知对方义务。</w:t>
      </w:r>
    </w:p>
    <w:p w14:paraId="5D851185">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1BB027E6">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第十四条  违约责任</w:t>
      </w:r>
    </w:p>
    <w:p w14:paraId="261B708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1、乙方必须严格按照合同及采购订单约定的品名、数量、价格、规格、型号、质量以及交货期限等向甲方提供货物。因乙方原因逾期交货或者货物质量不符合约定的，乙方应以如下方式向甲方承担违约责任：</w:t>
      </w:r>
    </w:p>
    <w:p w14:paraId="19B2290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每逾期交货一天，支付逾期交货部分价款0.5%的违约金；不满一天按一天计算；逾期违约金的支付不影响乙方交货义务的履行；任何一批货物逾期交货超过三天，甲方有权单方面取消对应订单或者终止本合同，并追究乙方的违约责任。甲方有权从履约担保中扣除违约金，履约担保不足支付部分，甲方有权另行向乙方索赔。</w:t>
      </w:r>
    </w:p>
    <w:p w14:paraId="4E4FF71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14:paraId="249EAB5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每车次货物甲方实验室初步检验报告及甲方对异议货物要求乙方委托第三方出具的合格检测报告（如有）作为乙方进行结算的附件，若作为最终依据的第三方检测结果不合格，则视为该车次产品不合格。若乙方在货物质量方面不能满足甲方要求，事件发生一次，甲方将出具整改单给乙方，该车次货款不予结算，且乙方须向甲方支付当月货款的2%作为违约金；累计不合格货物车次达三次或三次以上，乙方将被甲方列入严重不诚信行为名单，甲方有权单方面解除本合同，且乙方须向甲方支付合同总价（计划供货量*中标单价）的2%作为违约金，并赔偿甲方由此遭受的一切相关经济损失。甲方有权从履约担保中扣除违约金，履约担保不足支付部分，甲方有权另行向乙方索赔。</w:t>
      </w:r>
    </w:p>
    <w:p w14:paraId="3B29346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4、如乙方配送伪劣假冒的产品，一经查出，甲方有权立即终止本合同并追究乙方的违约责任，由此而引起的安全事故责任，由乙方承担全部责任。</w:t>
      </w:r>
    </w:p>
    <w:p w14:paraId="6BC77A4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5、发生其他违约情形，违约方应赔偿由此给对方造成的损失。如属双方过错，应各自承担相应责任。</w:t>
      </w:r>
    </w:p>
    <w:p w14:paraId="2D239EE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6、乙方交付的货物不符合合同约定的数量，乙方应按甲方要求在 两 日内补足货物数量，如在甲方通知的期限内，乙方未能进行更换或补足，则乙方应承担本合同第十四条第1款逾期交货的违约责任。同时甲方有权要求乙方赔偿因其不完全履约而造成的损失。</w:t>
      </w:r>
    </w:p>
    <w:p w14:paraId="1F9F2A8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7、乙方擅自解除合同或者因乙方违约造成甲方解除合同的，乙方应当向甲方支付本合同总金额（计划供货量*中标单价）2%的违约金并且赔偿甲方全部损失，同时甲方没收乙方的履约保证金。</w:t>
      </w:r>
    </w:p>
    <w:p w14:paraId="0905205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如乙方交付的货物质量不符合合同约定标准，导致甲方设备故障，甲方有权解除合同，并且乙方应当向甲方支付本合同总金额（计划供货量*中标单价）2%的违约金，如该费用不足抵扣设备维修费，甲方有权继续追偿。</w:t>
      </w:r>
    </w:p>
    <w:p w14:paraId="58EA196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9、乙方违约金的支付不免除乙方在本合同项下的各项义务。</w:t>
      </w:r>
    </w:p>
    <w:p w14:paraId="5EC141C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本合同中所写的全部损失皆指所造成的一切实际损失与可得利益损失、甲方另外采购的货物价格高于本合同约定价格而产生的差额，并包含承担守约方为维护自身权益所产生的一切费用，包括但不限于律师费、诉讼费、保全费、公证费、公告费等。</w:t>
      </w:r>
    </w:p>
    <w:p w14:paraId="08D6AD02">
      <w:pPr>
        <w:widowControl w:val="0"/>
        <w:adjustRightInd w:val="0"/>
        <w:snapToGrid w:val="0"/>
        <w:spacing w:line="400" w:lineRule="exact"/>
        <w:jc w:val="both"/>
        <w:rPr>
          <w:rFonts w:hint="eastAsia" w:ascii="宋体" w:hAnsi="宋体" w:eastAsia="宋体" w:cs="宋体"/>
          <w:b/>
          <w:bCs/>
          <w:color w:val="auto"/>
          <w:kern w:val="2"/>
          <w:sz w:val="22"/>
          <w:szCs w:val="22"/>
          <w:highlight w:val="none"/>
        </w:rPr>
      </w:pPr>
    </w:p>
    <w:p w14:paraId="4F250173">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第十五条  法律适用及争议解决</w:t>
      </w:r>
    </w:p>
    <w:p w14:paraId="7ADF915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1、本合同的订立、履行、变更、争议解决均适用中华人民共和国法律。</w:t>
      </w:r>
    </w:p>
    <w:p w14:paraId="3FA9EF9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2、因本合同引起的或者在履行本合同过程中产生的任何争议，双方应当协商解决。双方协商不成时，任何一方均可向甲方所在地人民法院提起诉讼。</w:t>
      </w:r>
    </w:p>
    <w:p w14:paraId="55E94456">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4A95A77A">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第十六条  合同生效及其他</w:t>
      </w:r>
    </w:p>
    <w:p w14:paraId="45A98471">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14:paraId="0788C0C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2、任何一方对因履行本合同而获悉的对方的商业秘密负有保密义务，未经对方书面允许，不得向任何第三方披露。违反上述约定，泄露对方商业秘密的一方应当赔偿对方的全部损失。</w:t>
      </w:r>
    </w:p>
    <w:p w14:paraId="7B0E054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3、本合同未尽事项，由甲、乙双方另行议定并签订补充协议。补充协议与本合同具有同等法律效力。谈判过程中形成的资料、意向与本合同不一致的一律以本合同为准。</w:t>
      </w:r>
    </w:p>
    <w:p w14:paraId="625A959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任何一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14:paraId="5EB8EDE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5、任何一方联络方法发生变更的，应当及时书面通知另一方。在另一方收到对方变更通讯地址的通知之前，另一方根据变更前的地址所发出的通知应视为有效。</w:t>
      </w:r>
    </w:p>
    <w:p w14:paraId="31C1C957">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6、本合同包括下列附件：</w:t>
      </w:r>
      <w:r>
        <w:rPr>
          <w:rFonts w:hint="eastAsia" w:ascii="宋体" w:hAnsi="宋体" w:eastAsia="宋体" w:cs="宋体"/>
          <w:color w:val="auto"/>
          <w:kern w:val="2"/>
          <w:sz w:val="22"/>
          <w:szCs w:val="22"/>
          <w:highlight w:val="none"/>
          <w:u w:val="single"/>
        </w:rPr>
        <w:t>__合同签订时补充_以及技术协议书、用户需求书、设备规格书、采购文件、投标文件（如有）等</w:t>
      </w:r>
      <w:r>
        <w:rPr>
          <w:rFonts w:hint="eastAsia" w:ascii="宋体" w:hAnsi="宋体" w:eastAsia="宋体" w:cs="宋体"/>
          <w:color w:val="auto"/>
          <w:kern w:val="2"/>
          <w:sz w:val="22"/>
          <w:szCs w:val="22"/>
          <w:highlight w:val="none"/>
        </w:rPr>
        <w:t>。该等附件均为本合同不可分割的组成部分，与本合同具有同等法律效力。合同附件与本合同内容发生冲突时，以对甲方有利的内容为准。</w:t>
      </w:r>
    </w:p>
    <w:p w14:paraId="6E9176E6">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7、本合同一式_八_份，甲方执_六_份，乙方执_二_份，具有同等法律效力。</w:t>
      </w:r>
    </w:p>
    <w:p w14:paraId="18A0FEDD">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8、双方在签署本合同前已经认真研究了合同各条内容，对合同内容无异议，同意签署。</w:t>
      </w:r>
    </w:p>
    <w:p w14:paraId="72A035E5">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9、本合同自双方签字并盖章之日起生效，合同有效期自生效之日起至至达到供货量止。</w:t>
      </w:r>
    </w:p>
    <w:p w14:paraId="63A32E8D">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10、其他约定：</w:t>
      </w:r>
      <w:r>
        <w:rPr>
          <w:rFonts w:hint="eastAsia" w:ascii="宋体" w:hAnsi="宋体" w:eastAsia="宋体" w:cs="宋体"/>
          <w:color w:val="auto"/>
          <w:kern w:val="2"/>
          <w:sz w:val="22"/>
          <w:szCs w:val="22"/>
          <w:highlight w:val="none"/>
          <w:u w:val="single"/>
        </w:rPr>
        <w:t>无</w:t>
      </w:r>
      <w:r>
        <w:rPr>
          <w:rFonts w:hint="eastAsia" w:ascii="宋体" w:hAnsi="宋体" w:eastAsia="宋体" w:cs="宋体"/>
          <w:color w:val="auto"/>
          <w:kern w:val="2"/>
          <w:sz w:val="22"/>
          <w:szCs w:val="22"/>
          <w:highlight w:val="none"/>
        </w:rPr>
        <w:t>。</w:t>
      </w:r>
    </w:p>
    <w:p w14:paraId="57598904">
      <w:pPr>
        <w:widowControl w:val="0"/>
        <w:tabs>
          <w:tab w:val="right" w:pos="8306"/>
        </w:tabs>
        <w:adjustRightInd w:val="0"/>
        <w:snapToGrid w:val="0"/>
        <w:spacing w:line="400" w:lineRule="exact"/>
        <w:jc w:val="both"/>
        <w:rPr>
          <w:rFonts w:hint="eastAsia" w:ascii="宋体" w:hAnsi="宋体" w:eastAsia="宋体" w:cs="宋体"/>
          <w:b/>
          <w:bCs/>
          <w:snapToGrid w:val="0"/>
          <w:color w:val="auto"/>
          <w:kern w:val="2"/>
          <w:sz w:val="22"/>
          <w:szCs w:val="22"/>
          <w:highlight w:val="none"/>
        </w:rPr>
      </w:pPr>
    </w:p>
    <w:p w14:paraId="264BB970">
      <w:pPr>
        <w:widowControl w:val="0"/>
        <w:tabs>
          <w:tab w:val="right" w:pos="8306"/>
        </w:tabs>
        <w:adjustRightInd w:val="0"/>
        <w:snapToGrid w:val="0"/>
        <w:spacing w:line="400" w:lineRule="exact"/>
        <w:jc w:val="both"/>
        <w:rPr>
          <w:rFonts w:hint="eastAsia" w:ascii="宋体" w:hAnsi="宋体" w:eastAsia="宋体" w:cs="宋体"/>
          <w:b/>
          <w:bCs/>
          <w:snapToGrid w:val="0"/>
          <w:color w:val="auto"/>
          <w:kern w:val="2"/>
          <w:sz w:val="22"/>
          <w:szCs w:val="22"/>
          <w:highlight w:val="none"/>
        </w:rPr>
      </w:pPr>
      <w:r>
        <w:rPr>
          <w:rFonts w:hint="eastAsia" w:ascii="宋体" w:hAnsi="宋体" w:eastAsia="宋体" w:cs="宋体"/>
          <w:b/>
          <w:bCs/>
          <w:snapToGrid w:val="0"/>
          <w:color w:val="auto"/>
          <w:kern w:val="2"/>
          <w:sz w:val="22"/>
          <w:szCs w:val="22"/>
          <w:highlight w:val="none"/>
        </w:rPr>
        <w:t>第十七条  附件</w:t>
      </w:r>
    </w:p>
    <w:p w14:paraId="3555AFFB">
      <w:pPr>
        <w:widowControl w:val="0"/>
        <w:tabs>
          <w:tab w:val="right" w:pos="8306"/>
        </w:tabs>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附件一、采购技术需求书</w:t>
      </w:r>
    </w:p>
    <w:p w14:paraId="44F46A66">
      <w:pPr>
        <w:widowControl w:val="0"/>
        <w:tabs>
          <w:tab w:val="right" w:pos="8306"/>
        </w:tabs>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附件二、阳光协议</w:t>
      </w:r>
    </w:p>
    <w:p w14:paraId="44B9978C">
      <w:pPr>
        <w:tabs>
          <w:tab w:val="right" w:pos="8306"/>
        </w:tabs>
        <w:adjustRightInd w:val="0"/>
        <w:snapToGrid w:val="0"/>
        <w:spacing w:line="400" w:lineRule="exact"/>
        <w:rPr>
          <w:rFonts w:hint="default"/>
          <w:lang w:val="en-US"/>
        </w:rPr>
      </w:pPr>
      <w:r>
        <w:rPr>
          <w:rFonts w:hint="eastAsia" w:ascii="宋体" w:hAnsi="宋体" w:eastAsia="宋体" w:cs="宋体"/>
          <w:color w:val="auto"/>
          <w:kern w:val="2"/>
          <w:sz w:val="22"/>
          <w:szCs w:val="22"/>
          <w:highlight w:val="none"/>
        </w:rPr>
        <w:t>附件</w:t>
      </w:r>
      <w:r>
        <w:rPr>
          <w:rFonts w:hint="eastAsia" w:ascii="宋体" w:hAnsi="宋体" w:eastAsia="宋体" w:cs="宋体"/>
          <w:color w:val="auto"/>
          <w:kern w:val="2"/>
          <w:sz w:val="22"/>
          <w:szCs w:val="22"/>
          <w:highlight w:val="none"/>
          <w:lang w:val="en-US" w:eastAsia="zh-CN"/>
        </w:rPr>
        <w:t>三</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val="en-US" w:eastAsia="zh-CN"/>
        </w:rPr>
        <w:t>成交（中标）通知书</w:t>
      </w:r>
    </w:p>
    <w:p w14:paraId="06F4AF4D">
      <w:pPr>
        <w:widowControl w:val="0"/>
        <w:tabs>
          <w:tab w:val="right" w:pos="8306"/>
        </w:tabs>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附件四、东莞市海心沙资源综合利用中心环保热电厂2026年度液碱采购项目采购文件（另册）</w:t>
      </w:r>
    </w:p>
    <w:p w14:paraId="294EC63B">
      <w:pPr>
        <w:widowControl w:val="0"/>
        <w:tabs>
          <w:tab w:val="right" w:pos="8306"/>
        </w:tabs>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附件五、东莞市海心沙资源综合利用中心环保热电厂2026年度液碱采购项目投标文件（另册）</w:t>
      </w:r>
    </w:p>
    <w:p w14:paraId="50275778">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p>
    <w:p w14:paraId="260176D3">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p>
    <w:p w14:paraId="5FAFDCFC">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（以下为各方签署页，无正文）</w:t>
      </w:r>
    </w:p>
    <w:p w14:paraId="7128AA8D">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（盖章页）</w:t>
      </w:r>
    </w:p>
    <w:p w14:paraId="3063582A">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4586ED8D">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7B0442F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甲方：                  乙方：</w:t>
      </w:r>
    </w:p>
    <w:p w14:paraId="4A6ADAE6">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2E7A484E">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法定代表人或授权代理人：                    法定代表人或授权代理人：  </w:t>
      </w:r>
    </w:p>
    <w:p w14:paraId="7FDCE5DD">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309F8111">
      <w:pPr>
        <w:widowControl w:val="0"/>
        <w:adjustRightInd/>
        <w:snapToGrid/>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签订日期：                                  签订日期：</w:t>
      </w:r>
    </w:p>
    <w:p w14:paraId="45453E80">
      <w:pPr>
        <w:widowControl w:val="0"/>
        <w:adjustRightInd/>
        <w:snapToGrid/>
        <w:spacing w:line="24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4"/>
          <w:highlight w:val="none"/>
        </w:rPr>
        <w:t>附件二：</w:t>
      </w:r>
    </w:p>
    <w:p w14:paraId="20E6CD8D">
      <w:pPr>
        <w:widowControl w:val="0"/>
        <w:adjustRightInd/>
        <w:snapToGrid/>
        <w:spacing w:line="360" w:lineRule="auto"/>
        <w:ind w:firstLine="883" w:firstLineChars="200"/>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阳光合作协议</w:t>
      </w:r>
    </w:p>
    <w:p w14:paraId="19484B81">
      <w:pPr>
        <w:widowControl w:val="0"/>
        <w:adjustRightInd/>
        <w:snapToGrid/>
        <w:spacing w:line="360" w:lineRule="auto"/>
        <w:ind w:firstLine="562" w:firstLineChars="200"/>
        <w:jc w:val="center"/>
        <w:rPr>
          <w:rFonts w:hint="eastAsia" w:ascii="宋体" w:hAnsi="宋体" w:eastAsia="宋体" w:cs="宋体"/>
          <w:b/>
          <w:color w:val="auto"/>
          <w:kern w:val="2"/>
          <w:sz w:val="28"/>
          <w:szCs w:val="28"/>
          <w:highlight w:val="none"/>
        </w:rPr>
      </w:pPr>
    </w:p>
    <w:p w14:paraId="03614E0C">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甲方：</w:t>
      </w:r>
      <w:r>
        <w:rPr>
          <w:rFonts w:hint="eastAsia" w:ascii="宋体" w:hAnsi="宋体" w:eastAsia="宋体" w:cs="宋体"/>
          <w:color w:val="auto"/>
          <w:kern w:val="2"/>
          <w:sz w:val="22"/>
          <w:szCs w:val="22"/>
          <w:highlight w:val="none"/>
          <w:u w:val="single"/>
        </w:rPr>
        <w:t xml:space="preserve">                                      </w:t>
      </w:r>
    </w:p>
    <w:p w14:paraId="2AF2A2E1">
      <w:pPr>
        <w:widowControl w:val="0"/>
        <w:adjustRightInd/>
        <w:snapToGrid/>
        <w:spacing w:line="400" w:lineRule="exact"/>
        <w:jc w:val="both"/>
        <w:rPr>
          <w:rFonts w:hint="eastAsia" w:ascii="宋体" w:hAnsi="宋体" w:eastAsia="宋体" w:cs="宋体"/>
          <w:color w:val="auto"/>
          <w:kern w:val="2"/>
          <w:sz w:val="22"/>
          <w:szCs w:val="22"/>
          <w:highlight w:val="none"/>
        </w:rPr>
      </w:pPr>
    </w:p>
    <w:p w14:paraId="5CB87D53">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乙方：</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 xml:space="preserve"> </w:t>
      </w:r>
    </w:p>
    <w:p w14:paraId="338ACA90">
      <w:pPr>
        <w:widowControl w:val="0"/>
        <w:adjustRightInd/>
        <w:snapToGrid/>
        <w:spacing w:line="400" w:lineRule="exact"/>
        <w:jc w:val="both"/>
        <w:rPr>
          <w:rFonts w:hint="eastAsia" w:ascii="宋体" w:hAnsi="宋体" w:eastAsia="宋体" w:cs="宋体"/>
          <w:color w:val="auto"/>
          <w:kern w:val="2"/>
          <w:sz w:val="22"/>
          <w:szCs w:val="22"/>
          <w:highlight w:val="none"/>
        </w:rPr>
      </w:pPr>
    </w:p>
    <w:p w14:paraId="0E982AC4">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甲乙双方于</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年</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月</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日签署了《……合同》（以下简称原合同），为加强双方阳光合作，保证职员职业安全，甲乙双方经协商签订本协议并作为双方共同遵守的阳光合作行为准则。</w:t>
      </w:r>
    </w:p>
    <w:p w14:paraId="2F6B1169">
      <w:pPr>
        <w:widowControl/>
        <w:adjustRightInd/>
        <w:snapToGrid/>
        <w:spacing w:line="400" w:lineRule="exact"/>
        <w:ind w:left="420" w:leftChars="200"/>
        <w:contextualSpacing/>
        <w:jc w:val="left"/>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一、甲方责任</w:t>
      </w:r>
    </w:p>
    <w:p w14:paraId="14963768">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1、甲方有责任向乙方介绍本单位有关采购管理通用原则和本协议的规定。</w:t>
      </w:r>
    </w:p>
    <w:p w14:paraId="320EAFFF">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2、甲方有责任对本单位相关人员进行阳光合作教育。</w:t>
      </w:r>
    </w:p>
    <w:p w14:paraId="53A15E67">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346B73C5">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4、甲方人员如违反阳光合作管理制度及本协议规定，甲方视情节轻重、影响大小给予行政及经济处罚。</w:t>
      </w:r>
    </w:p>
    <w:p w14:paraId="32452034">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5、对于乙方举报甲方人员违反阳光合作规定的情况，甲方应及时进行调查，根据调查情况进行处理，并将调查结果向乙方反馈。</w:t>
      </w:r>
    </w:p>
    <w:p w14:paraId="623D06DB">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6、接受举报的一方应为举报方保密，不得对举报方进行报复，对举报属实和严格遵守《阳光合作协议》的合作方，在同等条件下给予后续合作的优先权。</w:t>
      </w:r>
    </w:p>
    <w:p w14:paraId="4D76EC9A">
      <w:pPr>
        <w:widowControl/>
        <w:adjustRightInd/>
        <w:snapToGrid/>
        <w:spacing w:line="400" w:lineRule="exact"/>
        <w:ind w:left="420" w:leftChars="200"/>
        <w:contextualSpacing/>
        <w:jc w:val="left"/>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二、乙方责任</w:t>
      </w:r>
    </w:p>
    <w:p w14:paraId="103BD5E3">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1、乙方应保证乙方人员了解甲方有关采购管理通用原则和及本协议的规定，并遵照执行。</w:t>
      </w:r>
    </w:p>
    <w:p w14:paraId="2B469978">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2、乙方不得以任何形式给予甲方人员回扣、赠送实物、现金、有价证券、礼券等有价物品或提供旅游等其他可能影响职务行为公正履行的活动（以下统称“财物”）。</w:t>
      </w:r>
    </w:p>
    <w:p w14:paraId="43AB4A82">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3、乙方有责任接受甲方对乙方在合作期间阳光合作管理执行情况的监督，并对甲方相关调查工作主动配合。</w:t>
      </w:r>
    </w:p>
    <w:p w14:paraId="2438BFE3">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C59DDAC">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5、甲方接受乙方实名或匿名举报，保证为举报者的信息保密，常设举报部门及电话： </w:t>
      </w:r>
    </w:p>
    <w:p w14:paraId="4E46E7DB">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举报受理部门：东莞实业投资控股集团有限公司法律合规部</w:t>
      </w:r>
    </w:p>
    <w:p w14:paraId="573D10BF">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东实集团举报邮箱：dgsyxf@163.com</w:t>
      </w:r>
    </w:p>
    <w:p w14:paraId="52969908">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东实集团举报电话：0769-28820703（周一至周五9：00-12：00和14：00-18：00）</w:t>
      </w:r>
    </w:p>
    <w:p w14:paraId="7FB8CB9C">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邮寄地址：东莞市东城区八一路1号机关二号大院9号楼，东莞实业投资控股集团有限公司法律合规部收，邮编523000。</w:t>
      </w:r>
    </w:p>
    <w:p w14:paraId="363133DB">
      <w:pPr>
        <w:widowControl/>
        <w:adjustRightInd/>
        <w:snapToGrid/>
        <w:spacing w:line="400" w:lineRule="exact"/>
        <w:ind w:left="420" w:leftChars="200"/>
        <w:contextualSpacing/>
        <w:jc w:val="left"/>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三、其他</w:t>
      </w:r>
    </w:p>
    <w:p w14:paraId="05C9E341">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1、本协议是原合同的补充协议，与原合同有同等法律效力。</w:t>
      </w:r>
    </w:p>
    <w:p w14:paraId="46C66B14">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2、本协议一式四份，甲方执贰份，乙方执贰份,具有同等法律效力。</w:t>
      </w:r>
    </w:p>
    <w:p w14:paraId="57E44A17">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3、本协议经双方签署后生效。</w:t>
      </w:r>
    </w:p>
    <w:p w14:paraId="4E636679">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p>
    <w:p w14:paraId="55DA2E78">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甲方（盖章）：                      乙方（盖章）： </w:t>
      </w:r>
    </w:p>
    <w:p w14:paraId="6AD207EB">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p>
    <w:p w14:paraId="24106DAB">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法定代表人（授权代表）：</w:t>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 xml:space="preserve">  </w:t>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 xml:space="preserve">   法定代表人（授权代表）：</w:t>
      </w:r>
    </w:p>
    <w:p w14:paraId="4D43C46B">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p>
    <w:p w14:paraId="019D202B">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签约日期：   年   月   日</w:t>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 xml:space="preserve">       签约日期：   年   月   日</w:t>
      </w:r>
    </w:p>
    <w:p w14:paraId="09AF6D5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F604C4">
      <w:pPr>
        <w:pStyle w:val="3"/>
        <w:spacing w:before="0" w:after="0" w:line="240" w:lineRule="auto"/>
        <w:rPr>
          <w:rFonts w:hint="eastAsia" w:ascii="宋体" w:hAnsi="宋体" w:eastAsia="宋体" w:cs="宋体"/>
          <w:color w:val="auto"/>
          <w:sz w:val="28"/>
          <w:szCs w:val="28"/>
          <w:highlight w:val="none"/>
        </w:rPr>
      </w:pPr>
      <w:bookmarkStart w:id="149" w:name="_Toc27792"/>
      <w:bookmarkStart w:id="150" w:name="_Toc1891"/>
      <w:r>
        <w:rPr>
          <w:rFonts w:hint="eastAsia" w:ascii="宋体" w:hAnsi="宋体" w:eastAsia="宋体" w:cs="宋体"/>
          <w:color w:val="auto"/>
          <w:sz w:val="28"/>
          <w:szCs w:val="28"/>
          <w:highlight w:val="none"/>
        </w:rPr>
        <w:t>第六部分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附件－投标文件格式</w:t>
      </w:r>
      <w:bookmarkEnd w:id="149"/>
      <w:bookmarkEnd w:id="150"/>
    </w:p>
    <w:p w14:paraId="4D5C7595">
      <w:pPr>
        <w:rPr>
          <w:rFonts w:hint="eastAsia" w:ascii="宋体" w:hAnsi="宋体" w:eastAsia="宋体" w:cs="宋体"/>
          <w:color w:val="auto"/>
          <w:highlight w:val="none"/>
        </w:rPr>
      </w:pPr>
    </w:p>
    <w:p w14:paraId="3DE22FC4">
      <w:pPr>
        <w:pStyle w:val="5"/>
        <w:widowControl w:val="0"/>
        <w:overflowPunct w:val="0"/>
        <w:spacing w:line="240" w:lineRule="auto"/>
        <w:rPr>
          <w:rFonts w:hint="eastAsia" w:ascii="宋体" w:hAnsi="宋体" w:eastAsia="宋体" w:cs="宋体"/>
          <w:color w:val="auto"/>
          <w:sz w:val="21"/>
          <w:szCs w:val="21"/>
          <w:highlight w:val="none"/>
        </w:rPr>
      </w:pPr>
      <w:bookmarkStart w:id="151" w:name="_Toc28129"/>
      <w:bookmarkStart w:id="152" w:name="_Toc25114"/>
      <w:r>
        <w:rPr>
          <w:rFonts w:hint="eastAsia" w:ascii="宋体" w:hAnsi="宋体" w:eastAsia="宋体" w:cs="宋体"/>
          <w:color w:val="auto"/>
          <w:sz w:val="21"/>
          <w:szCs w:val="21"/>
          <w:highlight w:val="none"/>
        </w:rPr>
        <w:t>投标文件目录</w:t>
      </w:r>
      <w:bookmarkEnd w:id="151"/>
      <w:bookmarkEnd w:id="152"/>
    </w:p>
    <w:p w14:paraId="76612288">
      <w:pPr>
        <w:jc w:val="center"/>
        <w:rPr>
          <w:rFonts w:hint="eastAsia" w:ascii="宋体" w:hAnsi="宋体" w:eastAsia="宋体" w:cs="宋体"/>
          <w:color w:val="auto"/>
          <w:sz w:val="32"/>
          <w:szCs w:val="32"/>
          <w:highlight w:val="none"/>
        </w:rPr>
      </w:pPr>
    </w:p>
    <w:p w14:paraId="5C78DC7D">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3BBBDE9B">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格式自理。</w:t>
      </w:r>
    </w:p>
    <w:p w14:paraId="1DD40045">
      <w:pPr>
        <w:adjustRightInd/>
        <w:snapToGrid/>
        <w:spacing w:line="276" w:lineRule="auto"/>
        <w:rPr>
          <w:rFonts w:hint="eastAsia" w:ascii="宋体" w:hAnsi="宋体" w:eastAsia="宋体" w:cs="宋体"/>
          <w:color w:val="auto"/>
          <w:szCs w:val="21"/>
          <w:highlight w:val="none"/>
        </w:rPr>
      </w:pPr>
    </w:p>
    <w:p w14:paraId="543A962C">
      <w:pPr>
        <w:adjustRightInd/>
        <w:snapToGrid/>
        <w:spacing w:line="276" w:lineRule="auto"/>
        <w:rPr>
          <w:rFonts w:hint="eastAsia" w:ascii="宋体" w:hAnsi="宋体" w:eastAsia="宋体" w:cs="宋体"/>
          <w:color w:val="auto"/>
          <w:szCs w:val="21"/>
          <w:highlight w:val="none"/>
        </w:rPr>
      </w:pPr>
    </w:p>
    <w:p w14:paraId="705D9A69">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E3C763E">
      <w:pPr>
        <w:numPr>
          <w:ilvl w:val="0"/>
          <w:numId w:val="7"/>
        </w:num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投标人制作的投标文件应当具备目录。</w:t>
      </w:r>
    </w:p>
    <w:p w14:paraId="1EAE0B7D">
      <w:pPr>
        <w:numPr>
          <w:ilvl w:val="0"/>
          <w:numId w:val="7"/>
        </w:num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48E5EE7">
      <w:pPr>
        <w:pStyle w:val="5"/>
        <w:widowControl w:val="0"/>
        <w:overflowPunct w:val="0"/>
        <w:spacing w:line="240" w:lineRule="auto"/>
        <w:rPr>
          <w:rFonts w:hint="eastAsia" w:ascii="宋体" w:hAnsi="宋体" w:eastAsia="宋体" w:cs="宋体"/>
          <w:color w:val="auto"/>
          <w:sz w:val="21"/>
          <w:szCs w:val="21"/>
          <w:highlight w:val="none"/>
        </w:rPr>
      </w:pPr>
      <w:bookmarkStart w:id="153" w:name="_Toc13407"/>
      <w:bookmarkStart w:id="154" w:name="_Toc32674"/>
      <w:r>
        <w:rPr>
          <w:rFonts w:hint="eastAsia" w:ascii="宋体" w:hAnsi="宋体" w:eastAsia="宋体" w:cs="宋体"/>
          <w:color w:val="auto"/>
          <w:sz w:val="21"/>
          <w:szCs w:val="21"/>
          <w:highlight w:val="none"/>
        </w:rPr>
        <w:t>评分标准索引表</w:t>
      </w:r>
      <w:bookmarkEnd w:id="153"/>
      <w:bookmarkEnd w:id="154"/>
    </w:p>
    <w:p w14:paraId="66BAF685">
      <w:pPr>
        <w:adjustRightInd/>
        <w:snapToGrid/>
        <w:spacing w:line="276" w:lineRule="auto"/>
        <w:rPr>
          <w:rFonts w:hint="eastAsia" w:ascii="宋体" w:hAnsi="宋体" w:eastAsia="宋体" w:cs="宋体"/>
          <w:color w:val="auto"/>
          <w:szCs w:val="21"/>
          <w:highlight w:val="none"/>
        </w:rPr>
      </w:pPr>
    </w:p>
    <w:p w14:paraId="264929E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评分标准索引表</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3CF6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556F7BFA">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4" w:type="dxa"/>
            <w:vAlign w:val="center"/>
          </w:tcPr>
          <w:p w14:paraId="1FE7CA11">
            <w:pPr>
              <w:jc w:val="center"/>
              <w:rPr>
                <w:rFonts w:hint="eastAsia" w:ascii="宋体" w:hAnsi="宋体" w:eastAsia="宋体" w:cs="宋体"/>
                <w:color w:val="auto"/>
                <w:highlight w:val="none"/>
              </w:rPr>
            </w:pPr>
            <w:r>
              <w:rPr>
                <w:rFonts w:hint="eastAsia" w:ascii="宋体" w:hAnsi="宋体" w:eastAsia="宋体" w:cs="宋体"/>
                <w:color w:val="auto"/>
                <w:highlight w:val="none"/>
              </w:rPr>
              <w:t>评审项目</w:t>
            </w:r>
          </w:p>
        </w:tc>
        <w:tc>
          <w:tcPr>
            <w:tcW w:w="1704" w:type="dxa"/>
            <w:vAlign w:val="center"/>
          </w:tcPr>
          <w:p w14:paraId="561F802C">
            <w:pPr>
              <w:jc w:val="center"/>
              <w:rPr>
                <w:rFonts w:hint="eastAsia" w:ascii="宋体" w:hAnsi="宋体" w:eastAsia="宋体" w:cs="宋体"/>
                <w:color w:val="auto"/>
                <w:highlight w:val="none"/>
              </w:rPr>
            </w:pPr>
            <w:r>
              <w:rPr>
                <w:rFonts w:hint="eastAsia" w:ascii="宋体" w:hAnsi="宋体" w:eastAsia="宋体" w:cs="宋体"/>
                <w:color w:val="auto"/>
                <w:highlight w:val="none"/>
              </w:rPr>
              <w:t>评审细则</w:t>
            </w:r>
          </w:p>
        </w:tc>
        <w:tc>
          <w:tcPr>
            <w:tcW w:w="1705" w:type="dxa"/>
            <w:vAlign w:val="center"/>
          </w:tcPr>
          <w:p w14:paraId="4356EE38">
            <w:pPr>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1705" w:type="dxa"/>
            <w:vAlign w:val="center"/>
          </w:tcPr>
          <w:p w14:paraId="557B9A11">
            <w:pPr>
              <w:jc w:val="center"/>
              <w:rPr>
                <w:rFonts w:hint="eastAsia" w:ascii="宋体" w:hAnsi="宋体" w:eastAsia="宋体" w:cs="宋体"/>
                <w:color w:val="auto"/>
                <w:highlight w:val="none"/>
              </w:rPr>
            </w:pPr>
            <w:r>
              <w:rPr>
                <w:rFonts w:hint="eastAsia" w:ascii="宋体" w:hAnsi="宋体" w:eastAsia="宋体" w:cs="宋体"/>
                <w:color w:val="auto"/>
                <w:highlight w:val="none"/>
              </w:rPr>
              <w:t>页码范围</w:t>
            </w:r>
          </w:p>
        </w:tc>
      </w:tr>
      <w:tr w14:paraId="4A15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9A59150">
            <w:pPr>
              <w:rPr>
                <w:rFonts w:hint="eastAsia" w:ascii="宋体" w:hAnsi="宋体" w:eastAsia="宋体" w:cs="宋体"/>
                <w:color w:val="auto"/>
                <w:highlight w:val="none"/>
              </w:rPr>
            </w:pPr>
            <w:r>
              <w:rPr>
                <w:rFonts w:hint="eastAsia" w:ascii="宋体" w:hAnsi="宋体" w:eastAsia="宋体" w:cs="宋体"/>
                <w:color w:val="auto"/>
                <w:highlight w:val="none"/>
              </w:rPr>
              <w:t>商务评审</w:t>
            </w:r>
          </w:p>
        </w:tc>
      </w:tr>
      <w:tr w14:paraId="6284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03FC89D">
            <w:pPr>
              <w:jc w:val="center"/>
              <w:rPr>
                <w:rFonts w:hint="eastAsia" w:ascii="宋体" w:hAnsi="宋体" w:eastAsia="宋体" w:cs="宋体"/>
                <w:color w:val="auto"/>
                <w:highlight w:val="none"/>
              </w:rPr>
            </w:pPr>
          </w:p>
        </w:tc>
        <w:tc>
          <w:tcPr>
            <w:tcW w:w="1704" w:type="dxa"/>
            <w:vAlign w:val="center"/>
          </w:tcPr>
          <w:p w14:paraId="77A01966">
            <w:pPr>
              <w:jc w:val="center"/>
              <w:rPr>
                <w:rFonts w:hint="eastAsia" w:ascii="宋体" w:hAnsi="宋体" w:eastAsia="宋体" w:cs="宋体"/>
                <w:color w:val="auto"/>
                <w:highlight w:val="none"/>
              </w:rPr>
            </w:pPr>
          </w:p>
        </w:tc>
        <w:tc>
          <w:tcPr>
            <w:tcW w:w="1704" w:type="dxa"/>
            <w:vAlign w:val="center"/>
          </w:tcPr>
          <w:p w14:paraId="0114AF44">
            <w:pPr>
              <w:jc w:val="center"/>
              <w:rPr>
                <w:rFonts w:hint="eastAsia" w:ascii="宋体" w:hAnsi="宋体" w:eastAsia="宋体" w:cs="宋体"/>
                <w:color w:val="auto"/>
                <w:highlight w:val="none"/>
              </w:rPr>
            </w:pPr>
          </w:p>
        </w:tc>
        <w:tc>
          <w:tcPr>
            <w:tcW w:w="1705" w:type="dxa"/>
            <w:vAlign w:val="center"/>
          </w:tcPr>
          <w:p w14:paraId="55AE9E97">
            <w:pPr>
              <w:jc w:val="center"/>
              <w:rPr>
                <w:rFonts w:hint="eastAsia" w:ascii="宋体" w:hAnsi="宋体" w:eastAsia="宋体" w:cs="宋体"/>
                <w:color w:val="auto"/>
                <w:highlight w:val="none"/>
              </w:rPr>
            </w:pPr>
          </w:p>
        </w:tc>
        <w:tc>
          <w:tcPr>
            <w:tcW w:w="1705" w:type="dxa"/>
            <w:vAlign w:val="center"/>
          </w:tcPr>
          <w:p w14:paraId="09A7D82E">
            <w:pPr>
              <w:jc w:val="center"/>
              <w:rPr>
                <w:rFonts w:hint="eastAsia" w:ascii="宋体" w:hAnsi="宋体" w:eastAsia="宋体" w:cs="宋体"/>
                <w:color w:val="auto"/>
                <w:highlight w:val="none"/>
              </w:rPr>
            </w:pPr>
          </w:p>
        </w:tc>
      </w:tr>
      <w:tr w14:paraId="15FC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E8B4850">
            <w:pPr>
              <w:jc w:val="center"/>
              <w:rPr>
                <w:rFonts w:hint="eastAsia" w:ascii="宋体" w:hAnsi="宋体" w:eastAsia="宋体" w:cs="宋体"/>
                <w:color w:val="auto"/>
                <w:highlight w:val="none"/>
              </w:rPr>
            </w:pPr>
          </w:p>
        </w:tc>
        <w:tc>
          <w:tcPr>
            <w:tcW w:w="1704" w:type="dxa"/>
            <w:vAlign w:val="center"/>
          </w:tcPr>
          <w:p w14:paraId="538C04CE">
            <w:pPr>
              <w:jc w:val="center"/>
              <w:rPr>
                <w:rFonts w:hint="eastAsia" w:ascii="宋体" w:hAnsi="宋体" w:eastAsia="宋体" w:cs="宋体"/>
                <w:color w:val="auto"/>
                <w:highlight w:val="none"/>
              </w:rPr>
            </w:pPr>
          </w:p>
        </w:tc>
        <w:tc>
          <w:tcPr>
            <w:tcW w:w="1704" w:type="dxa"/>
            <w:vAlign w:val="center"/>
          </w:tcPr>
          <w:p w14:paraId="5C6AD090">
            <w:pPr>
              <w:jc w:val="center"/>
              <w:rPr>
                <w:rFonts w:hint="eastAsia" w:ascii="宋体" w:hAnsi="宋体" w:eastAsia="宋体" w:cs="宋体"/>
                <w:color w:val="auto"/>
                <w:highlight w:val="none"/>
              </w:rPr>
            </w:pPr>
          </w:p>
        </w:tc>
        <w:tc>
          <w:tcPr>
            <w:tcW w:w="1705" w:type="dxa"/>
            <w:vAlign w:val="center"/>
          </w:tcPr>
          <w:p w14:paraId="3B485A0E">
            <w:pPr>
              <w:jc w:val="center"/>
              <w:rPr>
                <w:rFonts w:hint="eastAsia" w:ascii="宋体" w:hAnsi="宋体" w:eastAsia="宋体" w:cs="宋体"/>
                <w:color w:val="auto"/>
                <w:highlight w:val="none"/>
              </w:rPr>
            </w:pPr>
          </w:p>
        </w:tc>
        <w:tc>
          <w:tcPr>
            <w:tcW w:w="1705" w:type="dxa"/>
            <w:vAlign w:val="center"/>
          </w:tcPr>
          <w:p w14:paraId="4ACDB2CA">
            <w:pPr>
              <w:jc w:val="center"/>
              <w:rPr>
                <w:rFonts w:hint="eastAsia" w:ascii="宋体" w:hAnsi="宋体" w:eastAsia="宋体" w:cs="宋体"/>
                <w:color w:val="auto"/>
                <w:highlight w:val="none"/>
              </w:rPr>
            </w:pPr>
          </w:p>
        </w:tc>
      </w:tr>
      <w:tr w14:paraId="10E1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9F53230">
            <w:pPr>
              <w:jc w:val="center"/>
              <w:rPr>
                <w:rFonts w:hint="eastAsia" w:ascii="宋体" w:hAnsi="宋体" w:eastAsia="宋体" w:cs="宋体"/>
                <w:color w:val="auto"/>
                <w:highlight w:val="none"/>
              </w:rPr>
            </w:pPr>
          </w:p>
        </w:tc>
        <w:tc>
          <w:tcPr>
            <w:tcW w:w="1704" w:type="dxa"/>
            <w:vAlign w:val="center"/>
          </w:tcPr>
          <w:p w14:paraId="4A9D07A1">
            <w:pPr>
              <w:jc w:val="center"/>
              <w:rPr>
                <w:rFonts w:hint="eastAsia" w:ascii="宋体" w:hAnsi="宋体" w:eastAsia="宋体" w:cs="宋体"/>
                <w:color w:val="auto"/>
                <w:highlight w:val="none"/>
              </w:rPr>
            </w:pPr>
          </w:p>
        </w:tc>
        <w:tc>
          <w:tcPr>
            <w:tcW w:w="1704" w:type="dxa"/>
            <w:vAlign w:val="center"/>
          </w:tcPr>
          <w:p w14:paraId="50F0DE04">
            <w:pPr>
              <w:jc w:val="center"/>
              <w:rPr>
                <w:rFonts w:hint="eastAsia" w:ascii="宋体" w:hAnsi="宋体" w:eastAsia="宋体" w:cs="宋体"/>
                <w:color w:val="auto"/>
                <w:highlight w:val="none"/>
              </w:rPr>
            </w:pPr>
          </w:p>
        </w:tc>
        <w:tc>
          <w:tcPr>
            <w:tcW w:w="1705" w:type="dxa"/>
            <w:vAlign w:val="center"/>
          </w:tcPr>
          <w:p w14:paraId="27DB5A37">
            <w:pPr>
              <w:jc w:val="center"/>
              <w:rPr>
                <w:rFonts w:hint="eastAsia" w:ascii="宋体" w:hAnsi="宋体" w:eastAsia="宋体" w:cs="宋体"/>
                <w:color w:val="auto"/>
                <w:highlight w:val="none"/>
              </w:rPr>
            </w:pPr>
          </w:p>
        </w:tc>
        <w:tc>
          <w:tcPr>
            <w:tcW w:w="1705" w:type="dxa"/>
            <w:vAlign w:val="center"/>
          </w:tcPr>
          <w:p w14:paraId="09DA2A88">
            <w:pPr>
              <w:jc w:val="center"/>
              <w:rPr>
                <w:rFonts w:hint="eastAsia" w:ascii="宋体" w:hAnsi="宋体" w:eastAsia="宋体" w:cs="宋体"/>
                <w:color w:val="auto"/>
                <w:highlight w:val="none"/>
              </w:rPr>
            </w:pPr>
          </w:p>
        </w:tc>
      </w:tr>
      <w:tr w14:paraId="0F0B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63DC55A3">
            <w:pPr>
              <w:rPr>
                <w:rFonts w:hint="eastAsia" w:ascii="宋体" w:hAnsi="宋体" w:eastAsia="宋体" w:cs="宋体"/>
                <w:color w:val="auto"/>
                <w:highlight w:val="none"/>
              </w:rPr>
            </w:pPr>
            <w:r>
              <w:rPr>
                <w:rFonts w:hint="eastAsia" w:ascii="宋体" w:hAnsi="宋体" w:eastAsia="宋体" w:cs="宋体"/>
                <w:color w:val="auto"/>
                <w:highlight w:val="none"/>
              </w:rPr>
              <w:t>技术评审</w:t>
            </w:r>
          </w:p>
        </w:tc>
      </w:tr>
      <w:tr w14:paraId="3575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3138666">
            <w:pPr>
              <w:jc w:val="center"/>
              <w:rPr>
                <w:rFonts w:hint="eastAsia" w:ascii="宋体" w:hAnsi="宋体" w:eastAsia="宋体" w:cs="宋体"/>
                <w:color w:val="auto"/>
                <w:highlight w:val="none"/>
              </w:rPr>
            </w:pPr>
          </w:p>
        </w:tc>
        <w:tc>
          <w:tcPr>
            <w:tcW w:w="1704" w:type="dxa"/>
            <w:vAlign w:val="center"/>
          </w:tcPr>
          <w:p w14:paraId="1D61ACB0">
            <w:pPr>
              <w:jc w:val="center"/>
              <w:rPr>
                <w:rFonts w:hint="eastAsia" w:ascii="宋体" w:hAnsi="宋体" w:eastAsia="宋体" w:cs="宋体"/>
                <w:color w:val="auto"/>
                <w:highlight w:val="none"/>
              </w:rPr>
            </w:pPr>
          </w:p>
        </w:tc>
        <w:tc>
          <w:tcPr>
            <w:tcW w:w="1704" w:type="dxa"/>
            <w:vAlign w:val="center"/>
          </w:tcPr>
          <w:p w14:paraId="57BF88B0">
            <w:pPr>
              <w:jc w:val="center"/>
              <w:rPr>
                <w:rFonts w:hint="eastAsia" w:ascii="宋体" w:hAnsi="宋体" w:eastAsia="宋体" w:cs="宋体"/>
                <w:color w:val="auto"/>
                <w:highlight w:val="none"/>
              </w:rPr>
            </w:pPr>
          </w:p>
        </w:tc>
        <w:tc>
          <w:tcPr>
            <w:tcW w:w="1705" w:type="dxa"/>
            <w:vAlign w:val="center"/>
          </w:tcPr>
          <w:p w14:paraId="35ED4973">
            <w:pPr>
              <w:jc w:val="center"/>
              <w:rPr>
                <w:rFonts w:hint="eastAsia" w:ascii="宋体" w:hAnsi="宋体" w:eastAsia="宋体" w:cs="宋体"/>
                <w:color w:val="auto"/>
                <w:highlight w:val="none"/>
              </w:rPr>
            </w:pPr>
          </w:p>
        </w:tc>
        <w:tc>
          <w:tcPr>
            <w:tcW w:w="1705" w:type="dxa"/>
            <w:vAlign w:val="center"/>
          </w:tcPr>
          <w:p w14:paraId="3222075A">
            <w:pPr>
              <w:jc w:val="center"/>
              <w:rPr>
                <w:rFonts w:hint="eastAsia" w:ascii="宋体" w:hAnsi="宋体" w:eastAsia="宋体" w:cs="宋体"/>
                <w:color w:val="auto"/>
                <w:highlight w:val="none"/>
              </w:rPr>
            </w:pPr>
          </w:p>
        </w:tc>
      </w:tr>
      <w:tr w14:paraId="29C9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C0F5772">
            <w:pPr>
              <w:jc w:val="center"/>
              <w:rPr>
                <w:rFonts w:hint="eastAsia" w:ascii="宋体" w:hAnsi="宋体" w:eastAsia="宋体" w:cs="宋体"/>
                <w:color w:val="auto"/>
                <w:highlight w:val="none"/>
              </w:rPr>
            </w:pPr>
          </w:p>
        </w:tc>
        <w:tc>
          <w:tcPr>
            <w:tcW w:w="1704" w:type="dxa"/>
            <w:vAlign w:val="center"/>
          </w:tcPr>
          <w:p w14:paraId="1AE2ACC2">
            <w:pPr>
              <w:jc w:val="center"/>
              <w:rPr>
                <w:rFonts w:hint="eastAsia" w:ascii="宋体" w:hAnsi="宋体" w:eastAsia="宋体" w:cs="宋体"/>
                <w:color w:val="auto"/>
                <w:highlight w:val="none"/>
              </w:rPr>
            </w:pPr>
          </w:p>
        </w:tc>
        <w:tc>
          <w:tcPr>
            <w:tcW w:w="1704" w:type="dxa"/>
            <w:vAlign w:val="center"/>
          </w:tcPr>
          <w:p w14:paraId="721A89DA">
            <w:pPr>
              <w:jc w:val="center"/>
              <w:rPr>
                <w:rFonts w:hint="eastAsia" w:ascii="宋体" w:hAnsi="宋体" w:eastAsia="宋体" w:cs="宋体"/>
                <w:color w:val="auto"/>
                <w:highlight w:val="none"/>
              </w:rPr>
            </w:pPr>
          </w:p>
        </w:tc>
        <w:tc>
          <w:tcPr>
            <w:tcW w:w="1705" w:type="dxa"/>
            <w:vAlign w:val="center"/>
          </w:tcPr>
          <w:p w14:paraId="6005D55C">
            <w:pPr>
              <w:jc w:val="center"/>
              <w:rPr>
                <w:rFonts w:hint="eastAsia" w:ascii="宋体" w:hAnsi="宋体" w:eastAsia="宋体" w:cs="宋体"/>
                <w:color w:val="auto"/>
                <w:highlight w:val="none"/>
              </w:rPr>
            </w:pPr>
          </w:p>
        </w:tc>
        <w:tc>
          <w:tcPr>
            <w:tcW w:w="1705" w:type="dxa"/>
            <w:vAlign w:val="center"/>
          </w:tcPr>
          <w:p w14:paraId="593D9323">
            <w:pPr>
              <w:jc w:val="center"/>
              <w:rPr>
                <w:rFonts w:hint="eastAsia" w:ascii="宋体" w:hAnsi="宋体" w:eastAsia="宋体" w:cs="宋体"/>
                <w:color w:val="auto"/>
                <w:highlight w:val="none"/>
              </w:rPr>
            </w:pPr>
          </w:p>
        </w:tc>
      </w:tr>
      <w:tr w14:paraId="3CF1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2998952">
            <w:pPr>
              <w:jc w:val="center"/>
              <w:rPr>
                <w:rFonts w:hint="eastAsia" w:ascii="宋体" w:hAnsi="宋体" w:eastAsia="宋体" w:cs="宋体"/>
                <w:color w:val="auto"/>
                <w:highlight w:val="none"/>
              </w:rPr>
            </w:pPr>
          </w:p>
        </w:tc>
        <w:tc>
          <w:tcPr>
            <w:tcW w:w="1704" w:type="dxa"/>
            <w:vAlign w:val="center"/>
          </w:tcPr>
          <w:p w14:paraId="7659CADA">
            <w:pPr>
              <w:jc w:val="center"/>
              <w:rPr>
                <w:rFonts w:hint="eastAsia" w:ascii="宋体" w:hAnsi="宋体" w:eastAsia="宋体" w:cs="宋体"/>
                <w:color w:val="auto"/>
                <w:highlight w:val="none"/>
              </w:rPr>
            </w:pPr>
          </w:p>
        </w:tc>
        <w:tc>
          <w:tcPr>
            <w:tcW w:w="1704" w:type="dxa"/>
            <w:vAlign w:val="center"/>
          </w:tcPr>
          <w:p w14:paraId="343FB425">
            <w:pPr>
              <w:jc w:val="center"/>
              <w:rPr>
                <w:rFonts w:hint="eastAsia" w:ascii="宋体" w:hAnsi="宋体" w:eastAsia="宋体" w:cs="宋体"/>
                <w:color w:val="auto"/>
                <w:highlight w:val="none"/>
              </w:rPr>
            </w:pPr>
          </w:p>
        </w:tc>
        <w:tc>
          <w:tcPr>
            <w:tcW w:w="1705" w:type="dxa"/>
            <w:vAlign w:val="center"/>
          </w:tcPr>
          <w:p w14:paraId="24C53A30">
            <w:pPr>
              <w:jc w:val="center"/>
              <w:rPr>
                <w:rFonts w:hint="eastAsia" w:ascii="宋体" w:hAnsi="宋体" w:eastAsia="宋体" w:cs="宋体"/>
                <w:color w:val="auto"/>
                <w:highlight w:val="none"/>
              </w:rPr>
            </w:pPr>
          </w:p>
        </w:tc>
        <w:tc>
          <w:tcPr>
            <w:tcW w:w="1705" w:type="dxa"/>
            <w:vAlign w:val="center"/>
          </w:tcPr>
          <w:p w14:paraId="195697D9">
            <w:pPr>
              <w:jc w:val="center"/>
              <w:rPr>
                <w:rFonts w:hint="eastAsia" w:ascii="宋体" w:hAnsi="宋体" w:eastAsia="宋体" w:cs="宋体"/>
                <w:color w:val="auto"/>
                <w:highlight w:val="none"/>
              </w:rPr>
            </w:pPr>
          </w:p>
        </w:tc>
      </w:tr>
    </w:tbl>
    <w:p w14:paraId="131DCF13">
      <w:pPr>
        <w:rPr>
          <w:rFonts w:hint="eastAsia" w:ascii="宋体" w:hAnsi="宋体" w:eastAsia="宋体" w:cs="宋体"/>
          <w:color w:val="auto"/>
          <w:szCs w:val="21"/>
          <w:highlight w:val="none"/>
        </w:rPr>
      </w:pPr>
    </w:p>
    <w:p w14:paraId="3B5E2DD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00FA784">
      <w:pPr>
        <w:numPr>
          <w:ilvl w:val="0"/>
          <w:numId w:val="8"/>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该表格为参考格式，投标人可按实际情况自行制订评分标准索引表。</w:t>
      </w:r>
    </w:p>
    <w:p w14:paraId="67EE664B">
      <w:pPr>
        <w:pStyle w:val="13"/>
        <w:spacing w:before="0"/>
        <w:ind w:left="0"/>
        <w:rPr>
          <w:rFonts w:hint="eastAsia" w:ascii="宋体" w:hAnsi="宋体" w:eastAsia="宋体" w:cs="宋体"/>
          <w:color w:val="auto"/>
          <w:highlight w:val="none"/>
        </w:rPr>
      </w:pPr>
    </w:p>
    <w:p w14:paraId="1F169CED">
      <w:pPr>
        <w:adjustRightInd/>
        <w:snapToGrid/>
        <w:spacing w:line="276" w:lineRule="auto"/>
        <w:rPr>
          <w:rFonts w:hint="eastAsia" w:ascii="宋体" w:hAnsi="宋体" w:eastAsia="宋体" w:cs="宋体"/>
          <w:color w:val="auto"/>
          <w:szCs w:val="21"/>
          <w:highlight w:val="none"/>
        </w:rPr>
      </w:pPr>
    </w:p>
    <w:p w14:paraId="6FE59CF3">
      <w:pPr>
        <w:adjustRightInd/>
        <w:snapToGrid/>
        <w:spacing w:line="276" w:lineRule="auto"/>
        <w:rPr>
          <w:rFonts w:hint="eastAsia" w:ascii="宋体" w:hAnsi="宋体" w:eastAsia="宋体" w:cs="宋体"/>
          <w:color w:val="auto"/>
          <w:szCs w:val="21"/>
          <w:highlight w:val="none"/>
        </w:rPr>
      </w:pPr>
    </w:p>
    <w:p w14:paraId="33CA9A0B">
      <w:pPr>
        <w:adjustRightInd/>
        <w:snapToGrid/>
        <w:spacing w:line="276" w:lineRule="auto"/>
        <w:rPr>
          <w:rFonts w:hint="eastAsia" w:ascii="宋体" w:hAnsi="宋体" w:eastAsia="宋体" w:cs="宋体"/>
          <w:color w:val="auto"/>
          <w:szCs w:val="21"/>
          <w:highlight w:val="none"/>
        </w:rPr>
      </w:pPr>
    </w:p>
    <w:p w14:paraId="5DB55FEB">
      <w:pPr>
        <w:adjustRightInd/>
        <w:snapToGrid/>
        <w:spacing w:line="276" w:lineRule="auto"/>
        <w:rPr>
          <w:rFonts w:hint="eastAsia" w:ascii="宋体" w:hAnsi="宋体" w:eastAsia="宋体" w:cs="宋体"/>
          <w:color w:val="auto"/>
          <w:szCs w:val="21"/>
          <w:highlight w:val="none"/>
        </w:rPr>
      </w:pPr>
    </w:p>
    <w:p w14:paraId="715BBE27">
      <w:pPr>
        <w:adjustRightInd/>
        <w:snapToGrid/>
        <w:spacing w:line="276" w:lineRule="auto"/>
        <w:rPr>
          <w:rFonts w:hint="eastAsia" w:ascii="宋体" w:hAnsi="宋体" w:eastAsia="宋体" w:cs="宋体"/>
          <w:color w:val="auto"/>
          <w:szCs w:val="21"/>
          <w:highlight w:val="none"/>
        </w:rPr>
      </w:pPr>
    </w:p>
    <w:p w14:paraId="077F505E">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57A5DDF">
      <w:pPr>
        <w:jc w:val="center"/>
        <w:rPr>
          <w:rFonts w:hint="eastAsia" w:ascii="宋体" w:hAnsi="宋体" w:eastAsia="宋体" w:cs="宋体"/>
          <w:color w:val="auto"/>
          <w:sz w:val="52"/>
          <w:szCs w:val="52"/>
          <w:highlight w:val="none"/>
        </w:rPr>
        <w:sectPr>
          <w:headerReference r:id="rId10" w:type="first"/>
          <w:footerReference r:id="rId12" w:type="first"/>
          <w:headerReference r:id="rId9" w:type="default"/>
          <w:footerReference r:id="rId11" w:type="default"/>
          <w:pgSz w:w="11906" w:h="16838"/>
          <w:pgMar w:top="1440" w:right="1800" w:bottom="1440" w:left="1800" w:header="708" w:footer="708" w:gutter="0"/>
          <w:cols w:space="708" w:num="1"/>
          <w:titlePg/>
          <w:docGrid w:type="lines" w:linePitch="360" w:charSpace="0"/>
        </w:sectPr>
      </w:pPr>
      <w:bookmarkStart w:id="155" w:name="_Toc28154"/>
      <w:bookmarkStart w:id="156" w:name="_Toc30918"/>
      <w:bookmarkStart w:id="157" w:name="_Toc18450"/>
      <w:bookmarkStart w:id="158" w:name="_Toc20335"/>
      <w:bookmarkStart w:id="159" w:name="_Toc21746"/>
    </w:p>
    <w:p w14:paraId="2BD14032">
      <w:pPr>
        <w:outlineLvl w:val="9"/>
        <w:rPr>
          <w:rFonts w:hint="eastAsia" w:ascii="宋体" w:hAnsi="宋体" w:eastAsia="宋体" w:cs="宋体"/>
          <w:color w:val="auto"/>
          <w:highlight w:val="none"/>
        </w:rPr>
      </w:pPr>
    </w:p>
    <w:p w14:paraId="2CE783EB">
      <w:pPr>
        <w:pStyle w:val="3"/>
        <w:spacing w:before="0" w:after="0" w:line="360" w:lineRule="auto"/>
        <w:jc w:val="center"/>
        <w:rPr>
          <w:rFonts w:hint="eastAsia" w:ascii="宋体" w:hAnsi="宋体" w:eastAsia="宋体" w:cs="宋体"/>
          <w:color w:val="auto"/>
          <w:sz w:val="72"/>
          <w:szCs w:val="72"/>
          <w:highlight w:val="none"/>
        </w:rPr>
      </w:pPr>
      <w:bookmarkStart w:id="160" w:name="_Toc8119"/>
      <w:bookmarkStart w:id="161" w:name="_Toc11967"/>
      <w:r>
        <w:rPr>
          <w:rFonts w:hint="eastAsia" w:ascii="宋体" w:hAnsi="宋体" w:eastAsia="宋体" w:cs="宋体"/>
          <w:color w:val="auto"/>
          <w:sz w:val="72"/>
          <w:szCs w:val="72"/>
          <w:highlight w:val="none"/>
          <w:lang w:val="en-US" w:eastAsia="zh-CN"/>
        </w:rPr>
        <w:t>价格</w:t>
      </w:r>
      <w:r>
        <w:rPr>
          <w:rFonts w:hint="eastAsia" w:ascii="宋体" w:hAnsi="宋体" w:eastAsia="宋体" w:cs="宋体"/>
          <w:color w:val="auto"/>
          <w:sz w:val="72"/>
          <w:szCs w:val="72"/>
          <w:highlight w:val="none"/>
        </w:rPr>
        <w:t>文件</w:t>
      </w:r>
      <w:bookmarkEnd w:id="160"/>
      <w:bookmarkEnd w:id="161"/>
    </w:p>
    <w:p w14:paraId="71AC1DF5">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14:paraId="33D5405E">
      <w:pPr>
        <w:rPr>
          <w:rFonts w:hint="eastAsia" w:ascii="宋体" w:hAnsi="宋体" w:eastAsia="宋体" w:cs="宋体"/>
          <w:color w:val="auto"/>
          <w:highlight w:val="none"/>
        </w:rPr>
      </w:pPr>
    </w:p>
    <w:p w14:paraId="0F95B56B">
      <w:pPr>
        <w:pStyle w:val="13"/>
        <w:rPr>
          <w:rFonts w:hint="eastAsia" w:ascii="宋体" w:hAnsi="宋体" w:eastAsia="宋体" w:cs="宋体"/>
          <w:color w:val="auto"/>
          <w:highlight w:val="none"/>
        </w:rPr>
      </w:pPr>
    </w:p>
    <w:p w14:paraId="70CA9BBF">
      <w:pPr>
        <w:pStyle w:val="14"/>
        <w:ind w:firstLine="240"/>
        <w:rPr>
          <w:rFonts w:hint="eastAsia" w:ascii="宋体" w:hAnsi="宋体" w:eastAsia="宋体" w:cs="宋体"/>
          <w:color w:val="auto"/>
          <w:highlight w:val="none"/>
        </w:rPr>
      </w:pPr>
    </w:p>
    <w:p w14:paraId="4E58A153">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106"/>
          <w:kern w:val="0"/>
          <w:sz w:val="32"/>
          <w:szCs w:val="32"/>
          <w:highlight w:val="none"/>
          <w:fitText w:val="1600" w:id="101866332"/>
        </w:rPr>
        <w:t>项目名</w:t>
      </w:r>
      <w:r>
        <w:rPr>
          <w:rFonts w:hint="eastAsia" w:ascii="宋体" w:hAnsi="宋体" w:eastAsia="宋体" w:cs="宋体"/>
          <w:b/>
          <w:bCs/>
          <w:color w:val="auto"/>
          <w:spacing w:val="2"/>
          <w:kern w:val="0"/>
          <w:sz w:val="32"/>
          <w:szCs w:val="32"/>
          <w:highlight w:val="none"/>
          <w:fitText w:val="1600" w:id="101866332"/>
        </w:rPr>
        <w:t>称</w:t>
      </w:r>
      <w:r>
        <w:rPr>
          <w:rFonts w:hint="eastAsia" w:ascii="宋体" w:hAnsi="宋体" w:eastAsia="宋体" w:cs="宋体"/>
          <w:b/>
          <w:bCs/>
          <w:color w:val="auto"/>
          <w:spacing w:val="-6"/>
          <w:sz w:val="32"/>
          <w:szCs w:val="32"/>
          <w:highlight w:val="none"/>
        </w:rPr>
        <w:t>：</w:t>
      </w:r>
    </w:p>
    <w:p w14:paraId="7D97EFC7">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106"/>
          <w:kern w:val="0"/>
          <w:sz w:val="32"/>
          <w:szCs w:val="32"/>
          <w:highlight w:val="none"/>
          <w:fitText w:val="1600" w:id="1948528515"/>
        </w:rPr>
        <w:t>项目编</w:t>
      </w:r>
      <w:r>
        <w:rPr>
          <w:rFonts w:hint="eastAsia" w:ascii="宋体" w:hAnsi="宋体" w:eastAsia="宋体" w:cs="宋体"/>
          <w:b/>
          <w:bCs/>
          <w:color w:val="auto"/>
          <w:spacing w:val="2"/>
          <w:kern w:val="0"/>
          <w:sz w:val="32"/>
          <w:szCs w:val="32"/>
          <w:highlight w:val="none"/>
          <w:fitText w:val="1600" w:id="1948528515"/>
        </w:rPr>
        <w:t>号</w:t>
      </w:r>
      <w:r>
        <w:rPr>
          <w:rFonts w:hint="eastAsia" w:ascii="宋体" w:hAnsi="宋体" w:eastAsia="宋体" w:cs="宋体"/>
          <w:b/>
          <w:bCs/>
          <w:color w:val="auto"/>
          <w:sz w:val="32"/>
          <w:szCs w:val="32"/>
          <w:highlight w:val="none"/>
        </w:rPr>
        <w:t>：</w:t>
      </w:r>
    </w:p>
    <w:p w14:paraId="6C9C90AF">
      <w:pPr>
        <w:pStyle w:val="13"/>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14:paraId="7E92D7E9">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1724148307"/>
        </w:rPr>
        <w:t>投标人名称</w:t>
      </w:r>
      <w:r>
        <w:rPr>
          <w:rFonts w:hint="eastAsia" w:ascii="宋体" w:hAnsi="宋体" w:eastAsia="宋体" w:cs="宋体"/>
          <w:b/>
          <w:color w:val="auto"/>
          <w:sz w:val="32"/>
          <w:szCs w:val="32"/>
          <w:highlight w:val="none"/>
        </w:rPr>
        <w:t>：</w:t>
      </w:r>
    </w:p>
    <w:p w14:paraId="7668299C">
      <w:pPr>
        <w:rPr>
          <w:rFonts w:hint="eastAsia" w:ascii="宋体" w:hAnsi="宋体" w:eastAsia="宋体" w:cs="宋体"/>
          <w:b/>
          <w:color w:val="auto"/>
          <w:sz w:val="32"/>
          <w:szCs w:val="32"/>
          <w:highlight w:val="none"/>
        </w:rPr>
      </w:pPr>
      <w:r>
        <w:rPr>
          <w:rFonts w:hint="eastAsia" w:ascii="宋体" w:hAnsi="宋体" w:eastAsia="宋体" w:cs="宋体"/>
          <w:b/>
          <w:color w:val="auto"/>
          <w:spacing w:val="64"/>
          <w:kern w:val="0"/>
          <w:sz w:val="32"/>
          <w:szCs w:val="32"/>
          <w:highlight w:val="none"/>
          <w:fitText w:val="1600" w:id="784143081"/>
        </w:rPr>
        <w:t xml:space="preserve">日    </w:t>
      </w:r>
      <w:r>
        <w:rPr>
          <w:rFonts w:hint="eastAsia" w:ascii="宋体" w:hAnsi="宋体" w:eastAsia="宋体" w:cs="宋体"/>
          <w:b/>
          <w:color w:val="auto"/>
          <w:spacing w:val="0"/>
          <w:kern w:val="0"/>
          <w:sz w:val="32"/>
          <w:szCs w:val="32"/>
          <w:highlight w:val="none"/>
          <w:fitText w:val="1600" w:id="784143081"/>
        </w:rPr>
        <w:t>期</w:t>
      </w:r>
      <w:r>
        <w:rPr>
          <w:rFonts w:hint="eastAsia" w:ascii="宋体" w:hAnsi="宋体" w:eastAsia="宋体" w:cs="宋体"/>
          <w:b/>
          <w:color w:val="auto"/>
          <w:sz w:val="32"/>
          <w:szCs w:val="32"/>
          <w:highlight w:val="none"/>
        </w:rPr>
        <w:t>：</w:t>
      </w:r>
    </w:p>
    <w:p w14:paraId="13EA92DD">
      <w:pPr>
        <w:pStyle w:val="13"/>
        <w:rPr>
          <w:rFonts w:hint="eastAsia" w:ascii="宋体" w:hAnsi="宋体" w:eastAsia="宋体" w:cs="宋体"/>
          <w:b/>
          <w:color w:val="auto"/>
          <w:sz w:val="32"/>
          <w:szCs w:val="32"/>
          <w:highlight w:val="none"/>
        </w:rPr>
      </w:pPr>
    </w:p>
    <w:p w14:paraId="2130AE54">
      <w:pPr>
        <w:pStyle w:val="14"/>
        <w:ind w:firstLine="321"/>
        <w:rPr>
          <w:rFonts w:hint="eastAsia" w:ascii="宋体" w:hAnsi="宋体" w:eastAsia="宋体" w:cs="宋体"/>
          <w:b/>
          <w:color w:val="auto"/>
          <w:sz w:val="32"/>
          <w:szCs w:val="32"/>
          <w:highlight w:val="none"/>
        </w:rPr>
      </w:pPr>
    </w:p>
    <w:p w14:paraId="1C51A836">
      <w:pPr>
        <w:pStyle w:val="26"/>
        <w:rPr>
          <w:rFonts w:hint="eastAsia" w:ascii="宋体" w:hAnsi="宋体" w:eastAsia="宋体" w:cs="宋体"/>
          <w:b/>
          <w:color w:val="auto"/>
          <w:sz w:val="32"/>
          <w:szCs w:val="32"/>
          <w:highlight w:val="none"/>
        </w:rPr>
      </w:pPr>
    </w:p>
    <w:p w14:paraId="653F970E">
      <w:pPr>
        <w:rPr>
          <w:rFonts w:hint="eastAsia" w:ascii="宋体" w:hAnsi="宋体" w:eastAsia="宋体" w:cs="宋体"/>
          <w:b/>
          <w:color w:val="auto"/>
          <w:sz w:val="32"/>
          <w:szCs w:val="32"/>
          <w:highlight w:val="none"/>
        </w:rPr>
      </w:pPr>
    </w:p>
    <w:p w14:paraId="2C3E4193">
      <w:pPr>
        <w:pStyle w:val="13"/>
        <w:rPr>
          <w:rFonts w:hint="eastAsia" w:ascii="宋体" w:hAnsi="宋体" w:eastAsia="宋体" w:cs="宋体"/>
          <w:b/>
          <w:color w:val="auto"/>
          <w:sz w:val="32"/>
          <w:szCs w:val="32"/>
          <w:highlight w:val="none"/>
        </w:rPr>
      </w:pPr>
    </w:p>
    <w:p w14:paraId="62CCE91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28CB24F">
      <w:pPr>
        <w:pStyle w:val="5"/>
        <w:widowControl w:val="0"/>
        <w:overflowPunct w:val="0"/>
        <w:spacing w:line="240" w:lineRule="auto"/>
        <w:rPr>
          <w:rFonts w:hint="eastAsia" w:ascii="宋体" w:hAnsi="宋体" w:eastAsia="宋体" w:cs="宋体"/>
          <w:color w:val="auto"/>
          <w:highlight w:val="none"/>
        </w:rPr>
      </w:pPr>
      <w:bookmarkStart w:id="162" w:name="_Toc25286"/>
      <w:bookmarkStart w:id="163" w:name="_Toc15393"/>
      <w:bookmarkStart w:id="164" w:name="_Toc23398"/>
      <w:bookmarkStart w:id="165" w:name="_Toc151998633"/>
      <w:bookmarkStart w:id="166" w:name="_Toc518900811"/>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.开标格式</w:t>
      </w:r>
      <w:bookmarkEnd w:id="162"/>
      <w:bookmarkEnd w:id="163"/>
    </w:p>
    <w:p w14:paraId="5B880D5E">
      <w:pPr>
        <w:snapToGrid w:val="0"/>
        <w:spacing w:before="0" w:after="0" w:line="36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开标一览表</w:t>
      </w:r>
      <w:bookmarkEnd w:id="164"/>
      <w:bookmarkEnd w:id="165"/>
      <w:bookmarkEnd w:id="166"/>
    </w:p>
    <w:tbl>
      <w:tblPr>
        <w:tblStyle w:val="31"/>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4"/>
        <w:gridCol w:w="2376"/>
        <w:gridCol w:w="3825"/>
        <w:gridCol w:w="1304"/>
      </w:tblGrid>
      <w:tr w14:paraId="03E17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95" w:type="pct"/>
            <w:tcBorders>
              <w:top w:val="single" w:color="auto" w:sz="4" w:space="0"/>
              <w:left w:val="single" w:color="auto" w:sz="4" w:space="0"/>
              <w:bottom w:val="single" w:color="auto" w:sz="4" w:space="0"/>
              <w:right w:val="single" w:color="auto" w:sz="4" w:space="0"/>
            </w:tcBorders>
            <w:vAlign w:val="center"/>
          </w:tcPr>
          <w:p w14:paraId="6735F845">
            <w:pPr>
              <w:keepNext w:val="0"/>
              <w:keepLines w:val="0"/>
              <w:pageBreakBefore w:val="0"/>
              <w:kinsoku/>
              <w:wordWrap/>
              <w:overflowPunct/>
              <w:topLinePunct w:val="0"/>
              <w:autoSpaceDE/>
              <w:autoSpaceDN/>
              <w:bidi w:val="0"/>
              <w:snapToGrid w:val="0"/>
              <w:spacing w:line="42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1918E766">
            <w:pPr>
              <w:keepNext w:val="0"/>
              <w:keepLines w:val="0"/>
              <w:pageBreakBefore w:val="0"/>
              <w:kinsoku/>
              <w:wordWrap/>
              <w:overflowPunct/>
              <w:topLinePunct w:val="0"/>
              <w:autoSpaceDE/>
              <w:autoSpaceDN/>
              <w:bidi w:val="0"/>
              <w:snapToGrid w:val="0"/>
              <w:spacing w:line="42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采购项目名称/采购包名称</w:t>
            </w:r>
          </w:p>
        </w:tc>
        <w:tc>
          <w:tcPr>
            <w:tcW w:w="2244" w:type="pct"/>
            <w:tcBorders>
              <w:top w:val="single" w:color="auto" w:sz="4" w:space="0"/>
              <w:left w:val="single" w:color="auto" w:sz="4" w:space="0"/>
              <w:bottom w:val="single" w:color="auto" w:sz="4" w:space="0"/>
              <w:right w:val="single" w:color="auto" w:sz="4" w:space="0"/>
            </w:tcBorders>
            <w:vAlign w:val="center"/>
          </w:tcPr>
          <w:p w14:paraId="0FD85537">
            <w:pPr>
              <w:keepNext w:val="0"/>
              <w:keepLines w:val="0"/>
              <w:pageBreakBefore w:val="0"/>
              <w:kinsoku/>
              <w:wordWrap/>
              <w:overflowPunct/>
              <w:topLinePunct w:val="0"/>
              <w:autoSpaceDE/>
              <w:autoSpaceDN/>
              <w:bidi w:val="0"/>
              <w:snapToGrid w:val="0"/>
              <w:spacing w:line="42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投标</w:t>
            </w:r>
            <w:r>
              <w:rPr>
                <w:rFonts w:hint="eastAsia" w:ascii="宋体" w:hAnsi="宋体" w:eastAsia="宋体" w:cs="宋体"/>
                <w:b/>
                <w:bCs/>
                <w:color w:val="auto"/>
                <w:sz w:val="24"/>
                <w:szCs w:val="24"/>
                <w:highlight w:val="none"/>
                <w:lang w:val="en-US" w:eastAsia="zh-CN"/>
              </w:rPr>
              <w:t>总</w:t>
            </w:r>
            <w:r>
              <w:rPr>
                <w:rFonts w:hint="eastAsia" w:ascii="宋体" w:hAnsi="宋体" w:eastAsia="宋体" w:cs="宋体"/>
                <w:b/>
                <w:bCs/>
                <w:color w:val="auto"/>
                <w:sz w:val="24"/>
                <w:szCs w:val="24"/>
                <w:highlight w:val="none"/>
                <w:lang w:val="zh-CN"/>
              </w:rPr>
              <w:t>报价</w:t>
            </w:r>
          </w:p>
        </w:tc>
        <w:tc>
          <w:tcPr>
            <w:tcW w:w="765" w:type="pct"/>
            <w:tcBorders>
              <w:top w:val="single" w:color="auto" w:sz="4" w:space="0"/>
              <w:left w:val="single" w:color="auto" w:sz="4" w:space="0"/>
              <w:bottom w:val="single" w:color="auto" w:sz="4" w:space="0"/>
              <w:right w:val="single" w:color="auto" w:sz="4" w:space="0"/>
            </w:tcBorders>
            <w:vAlign w:val="center"/>
          </w:tcPr>
          <w:p w14:paraId="5A53F66E">
            <w:pPr>
              <w:keepNext w:val="0"/>
              <w:keepLines w:val="0"/>
              <w:pageBreakBefore w:val="0"/>
              <w:kinsoku/>
              <w:wordWrap/>
              <w:overflowPunct/>
              <w:topLinePunct w:val="0"/>
              <w:autoSpaceDE/>
              <w:autoSpaceDN/>
              <w:bidi w:val="0"/>
              <w:snapToGrid w:val="0"/>
              <w:spacing w:line="420" w:lineRule="exact"/>
              <w:jc w:val="center"/>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备注</w:t>
            </w:r>
          </w:p>
        </w:tc>
      </w:tr>
      <w:tr w14:paraId="14E95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6" w:hRule="atLeast"/>
          <w:jc w:val="center"/>
        </w:trPr>
        <w:tc>
          <w:tcPr>
            <w:tcW w:w="595" w:type="pct"/>
            <w:tcBorders>
              <w:top w:val="single" w:color="auto" w:sz="4" w:space="0"/>
              <w:left w:val="single" w:color="auto" w:sz="4" w:space="0"/>
              <w:bottom w:val="single" w:color="auto" w:sz="4" w:space="0"/>
              <w:right w:val="single" w:color="auto" w:sz="4" w:space="0"/>
            </w:tcBorders>
            <w:vAlign w:val="center"/>
          </w:tcPr>
          <w:p w14:paraId="5FAE4FA4">
            <w:pPr>
              <w:keepNext w:val="0"/>
              <w:keepLines w:val="0"/>
              <w:pageBreakBefore w:val="0"/>
              <w:kinsoku/>
              <w:wordWrap/>
              <w:overflowPunct/>
              <w:topLinePunct w:val="0"/>
              <w:autoSpaceDE/>
              <w:autoSpaceDN/>
              <w:bidi w:val="0"/>
              <w:snapToGrid w:val="0"/>
              <w:spacing w:line="42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p>
        </w:tc>
        <w:tc>
          <w:tcPr>
            <w:tcW w:w="1394" w:type="pct"/>
            <w:tcBorders>
              <w:top w:val="single" w:color="auto" w:sz="4" w:space="0"/>
              <w:left w:val="single" w:color="auto" w:sz="4" w:space="0"/>
              <w:bottom w:val="single" w:color="auto" w:sz="4" w:space="0"/>
              <w:right w:val="single" w:color="auto" w:sz="4" w:space="0"/>
            </w:tcBorders>
            <w:vAlign w:val="center"/>
          </w:tcPr>
          <w:p w14:paraId="3104C23F">
            <w:pPr>
              <w:keepNext w:val="0"/>
              <w:keepLines w:val="0"/>
              <w:pageBreakBefore w:val="0"/>
              <w:kinsoku/>
              <w:wordWrap/>
              <w:overflowPunct/>
              <w:topLinePunct w:val="0"/>
              <w:autoSpaceDE/>
              <w:autoSpaceDN/>
              <w:bidi w:val="0"/>
              <w:snapToGrid w:val="0"/>
              <w:spacing w:line="420" w:lineRule="exact"/>
              <w:jc w:val="center"/>
              <w:textAlignment w:val="auto"/>
              <w:rPr>
                <w:rFonts w:hint="eastAsia" w:ascii="宋体" w:hAnsi="宋体" w:eastAsia="宋体" w:cs="宋体"/>
                <w:b/>
                <w:bCs/>
                <w:color w:val="auto"/>
                <w:sz w:val="24"/>
                <w:szCs w:val="24"/>
                <w:highlight w:val="none"/>
                <w:lang w:val="zh-CN"/>
              </w:rPr>
            </w:pPr>
          </w:p>
        </w:tc>
        <w:tc>
          <w:tcPr>
            <w:tcW w:w="2244" w:type="pct"/>
            <w:tcBorders>
              <w:top w:val="single" w:color="auto" w:sz="4" w:space="0"/>
              <w:left w:val="single" w:color="auto" w:sz="4" w:space="0"/>
              <w:bottom w:val="single" w:color="auto" w:sz="4" w:space="0"/>
              <w:right w:val="single" w:color="auto" w:sz="4" w:space="0"/>
            </w:tcBorders>
            <w:vAlign w:val="center"/>
          </w:tcPr>
          <w:p w14:paraId="7F941AC9">
            <w:pPr>
              <w:pStyle w:val="18"/>
              <w:keepNext w:val="0"/>
              <w:keepLines w:val="0"/>
              <w:pageBreakBefore w:val="0"/>
              <w:kinsoku/>
              <w:wordWrap/>
              <w:overflowPunct/>
              <w:topLinePunct w:val="0"/>
              <w:autoSpaceDE/>
              <w:autoSpaceDN/>
              <w:bidi w:val="0"/>
              <w:snapToGrid w:val="0"/>
              <w:spacing w:line="42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（大写：人民币</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1CDF962F">
            <w:pPr>
              <w:keepNext w:val="0"/>
              <w:keepLines w:val="0"/>
              <w:pageBreakBefore w:val="0"/>
              <w:kinsoku/>
              <w:wordWrap/>
              <w:overflowPunct/>
              <w:topLinePunct w:val="0"/>
              <w:autoSpaceDE/>
              <w:autoSpaceDN/>
              <w:bidi w:val="0"/>
              <w:snapToGrid w:val="0"/>
              <w:spacing w:line="420" w:lineRule="exac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（小写：¥</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w:t>
            </w:r>
          </w:p>
        </w:tc>
        <w:tc>
          <w:tcPr>
            <w:tcW w:w="765" w:type="pct"/>
            <w:tcBorders>
              <w:top w:val="single" w:color="auto" w:sz="4" w:space="0"/>
              <w:left w:val="single" w:color="auto" w:sz="4" w:space="0"/>
              <w:bottom w:val="single" w:color="auto" w:sz="4" w:space="0"/>
              <w:right w:val="single" w:color="auto" w:sz="4" w:space="0"/>
            </w:tcBorders>
            <w:vAlign w:val="center"/>
          </w:tcPr>
          <w:p w14:paraId="7A05A3A6">
            <w:pPr>
              <w:keepNext w:val="0"/>
              <w:keepLines w:val="0"/>
              <w:pageBreakBefore w:val="0"/>
              <w:kinsoku/>
              <w:wordWrap/>
              <w:overflowPunct/>
              <w:topLinePunct w:val="0"/>
              <w:autoSpaceDE/>
              <w:autoSpaceDN/>
              <w:bidi w:val="0"/>
              <w:snapToGrid w:val="0"/>
              <w:spacing w:line="420" w:lineRule="exact"/>
              <w:jc w:val="center"/>
              <w:textAlignment w:val="auto"/>
              <w:rPr>
                <w:rFonts w:hint="eastAsia" w:ascii="宋体" w:hAnsi="宋体" w:eastAsia="宋体" w:cs="宋体"/>
                <w:b/>
                <w:bCs/>
                <w:color w:val="auto"/>
                <w:sz w:val="24"/>
                <w:szCs w:val="24"/>
                <w:highlight w:val="none"/>
                <w:lang w:val="zh-CN"/>
              </w:rPr>
            </w:pPr>
          </w:p>
        </w:tc>
      </w:tr>
    </w:tbl>
    <w:p w14:paraId="2B3E1CCA">
      <w:pPr>
        <w:keepNext w:val="0"/>
        <w:keepLines w:val="0"/>
        <w:pageBreakBefore w:val="0"/>
        <w:widowControl/>
        <w:kinsoku/>
        <w:wordWrap/>
        <w:overflowPunct/>
        <w:topLinePunct w:val="0"/>
        <w:autoSpaceDE/>
        <w:autoSpaceDN/>
        <w:bidi w:val="0"/>
        <w:adjustRightInd w:val="0"/>
        <w:snapToGrid w:val="0"/>
        <w:spacing w:line="400" w:lineRule="exact"/>
        <w:ind w:left="716" w:leftChars="-59" w:hanging="840" w:hangingChars="400"/>
        <w:textAlignment w:val="auto"/>
        <w:rPr>
          <w:rFonts w:hint="eastAsia" w:ascii="宋体" w:hAnsi="宋体" w:eastAsia="宋体" w:cs="宋体"/>
          <w:color w:val="auto"/>
          <w:sz w:val="21"/>
          <w:szCs w:val="21"/>
          <w:highlight w:val="none"/>
        </w:rPr>
      </w:pPr>
    </w:p>
    <w:p w14:paraId="19245B95">
      <w:pPr>
        <w:keepNext w:val="0"/>
        <w:keepLines w:val="0"/>
        <w:pageBreakBefore w:val="0"/>
        <w:widowControl/>
        <w:kinsoku/>
        <w:wordWrap/>
        <w:overflowPunct/>
        <w:topLinePunct w:val="0"/>
        <w:autoSpaceDE/>
        <w:autoSpaceDN/>
        <w:bidi w:val="0"/>
        <w:adjustRightInd w:val="0"/>
        <w:snapToGrid w:val="0"/>
        <w:spacing w:line="400" w:lineRule="exact"/>
        <w:ind w:left="716" w:leftChars="-59" w:hanging="840" w:hanging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3ABB247">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rPr>
        <w:t>本项目报价为含税价，即为《中华人民共和国增值税暂行条例》（国务院令第691号修订版）规定的销售额，综合单价已包含    %增值税专用发票。</w:t>
      </w:r>
      <w:r>
        <w:rPr>
          <w:rFonts w:hint="eastAsia" w:ascii="宋体" w:hAnsi="宋体" w:eastAsia="宋体" w:cs="宋体"/>
          <w:color w:val="auto"/>
          <w:sz w:val="21"/>
          <w:szCs w:val="21"/>
          <w:highlight w:val="none"/>
          <w:u w:val="single"/>
        </w:rPr>
        <w:t>本采购文件所称的含税价是指含本采购项目的投标人销项税额，包含了投标人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的其他全部费用。</w:t>
      </w:r>
    </w:p>
    <w:p w14:paraId="24BA2FE8">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kern w:val="2"/>
          <w:sz w:val="21"/>
          <w:szCs w:val="21"/>
          <w:highlight w:val="none"/>
          <w:u w:val="single"/>
          <w:lang w:val="zh-CN"/>
        </w:rPr>
        <w:t>投标人</w:t>
      </w:r>
      <w:r>
        <w:rPr>
          <w:rFonts w:hint="eastAsia" w:ascii="宋体" w:hAnsi="宋体" w:eastAsia="宋体" w:cs="宋体"/>
          <w:b/>
          <w:bCs/>
          <w:color w:val="auto"/>
          <w:sz w:val="21"/>
          <w:highlight w:val="none"/>
          <w:u w:val="single"/>
        </w:rPr>
        <w:t>的综合单价报价高于单价最高限价的，该投标人的投标文件将被视为无效响应。</w:t>
      </w:r>
    </w:p>
    <w:p w14:paraId="55ADB98E">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u w:val="single"/>
        </w:rPr>
        <w:t>本表的投标报价为含税综合单价乘以计划采购供货量的总价</w:t>
      </w:r>
      <w:r>
        <w:rPr>
          <w:rFonts w:hint="eastAsia" w:ascii="宋体" w:hAnsi="宋体" w:eastAsia="宋体" w:cs="宋体"/>
          <w:b/>
          <w:color w:val="auto"/>
          <w:sz w:val="21"/>
          <w:szCs w:val="21"/>
          <w:highlight w:val="none"/>
        </w:rPr>
        <w:t>。</w:t>
      </w:r>
      <w:r>
        <w:rPr>
          <w:rFonts w:hint="eastAsia" w:ascii="宋体" w:hAnsi="宋体" w:eastAsia="宋体" w:cs="宋体"/>
          <w:color w:val="auto"/>
          <w:kern w:val="2"/>
          <w:sz w:val="21"/>
          <w:szCs w:val="21"/>
          <w:highlight w:val="none"/>
          <w:lang w:val="zh-CN"/>
        </w:rPr>
        <w:t>本表内投标报价金额与按单价计算的总金额不一致的，以单价计算结果为准，单价金额小数点有明显错位的，应以总价为准，并修正单价；对不同文字文本投标文件的解释发生异议的，以中文文本为准。</w:t>
      </w:r>
    </w:p>
    <w:p w14:paraId="0E9DBAD5">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（4）上述计划采购供货量仅为方便合计投标报价使用，不作为采购人最终购买数量的保证，我方承诺不因实际采购数量的减少或增加而要求采购人提供任何形式的补偿或赔偿。</w:t>
      </w:r>
    </w:p>
    <w:p w14:paraId="10C528CA">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rPr>
      </w:pPr>
    </w:p>
    <w:p w14:paraId="19A17ACC">
      <w:pPr>
        <w:tabs>
          <w:tab w:val="left" w:pos="654"/>
          <w:tab w:val="left" w:pos="1734"/>
          <w:tab w:val="left" w:pos="2814"/>
          <w:tab w:val="left" w:pos="3894"/>
          <w:tab w:val="left" w:pos="5334"/>
          <w:tab w:val="left" w:pos="6414"/>
          <w:tab w:val="left" w:pos="7254"/>
          <w:tab w:val="left" w:pos="8574"/>
          <w:tab w:val="left" w:pos="9654"/>
        </w:tabs>
        <w:snapToGrid w:val="0"/>
        <w:spacing w:line="360" w:lineRule="auto"/>
        <w:rPr>
          <w:rFonts w:hint="eastAsia" w:ascii="宋体" w:hAnsi="宋体" w:eastAsia="宋体" w:cs="宋体"/>
          <w:color w:val="auto"/>
          <w:sz w:val="21"/>
          <w:szCs w:val="22"/>
          <w:highlight w:val="none"/>
        </w:rPr>
      </w:pPr>
    </w:p>
    <w:p w14:paraId="5C1B836B">
      <w:pPr>
        <w:pStyle w:val="18"/>
        <w:rPr>
          <w:rFonts w:hint="eastAsia"/>
          <w:color w:val="auto"/>
          <w:highlight w:val="none"/>
        </w:rPr>
      </w:pPr>
    </w:p>
    <w:p w14:paraId="6A1DF406">
      <w:pPr>
        <w:snapToGrid w:val="0"/>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投标人代表签字：</w:t>
      </w:r>
    </w:p>
    <w:p w14:paraId="44705B9A">
      <w:pPr>
        <w:snapToGrid w:val="0"/>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投标人盖章：</w:t>
      </w:r>
    </w:p>
    <w:p w14:paraId="7E4B9A2F">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2"/>
          <w:szCs w:val="22"/>
          <w:highlight w:val="none"/>
        </w:rPr>
        <w:t>日期：      年    月    日</w:t>
      </w:r>
    </w:p>
    <w:p w14:paraId="1A02141F">
      <w:pPr>
        <w:rPr>
          <w:rFonts w:hint="eastAsia" w:ascii="宋体" w:hAnsi="宋体" w:eastAsia="宋体" w:cs="宋体"/>
          <w:color w:val="auto"/>
          <w:sz w:val="21"/>
          <w:szCs w:val="21"/>
          <w:highlight w:val="none"/>
        </w:rPr>
      </w:pPr>
    </w:p>
    <w:p w14:paraId="60FC17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39E74E0">
      <w:pPr>
        <w:spacing w:line="360" w:lineRule="auto"/>
        <w:ind w:left="1589" w:leftChars="171" w:hanging="1230" w:hangingChars="383"/>
        <w:jc w:val="center"/>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32"/>
          <w:szCs w:val="32"/>
          <w:highlight w:val="none"/>
          <w:lang w:val="en-US" w:eastAsia="zh-CN"/>
        </w:rPr>
        <w:t>报价明细表</w:t>
      </w:r>
    </w:p>
    <w:p w14:paraId="2001D80D">
      <w:pPr>
        <w:spacing w:line="360" w:lineRule="auto"/>
        <w:ind w:left="1163" w:leftChars="171" w:hanging="804" w:hangingChars="3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采购编号：</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226"/>
        <w:gridCol w:w="785"/>
        <w:gridCol w:w="957"/>
        <w:gridCol w:w="713"/>
        <w:gridCol w:w="1794"/>
        <w:gridCol w:w="2877"/>
      </w:tblGrid>
      <w:tr w14:paraId="5E6F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10BF4A74">
            <w:pPr>
              <w:pStyle w:val="1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辅料名称/药剂名称</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0AA1E333">
            <w:pPr>
              <w:pStyle w:val="1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619431E6">
            <w:pPr>
              <w:pStyle w:val="1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4FD69A2C">
            <w:pPr>
              <w:pStyle w:val="1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w:t>
            </w:r>
          </w:p>
          <w:p w14:paraId="74E14A60">
            <w:pPr>
              <w:pStyle w:val="1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1B29B0A3">
            <w:pPr>
              <w:pStyle w:val="1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计划采购供货量</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2A496961">
            <w:pPr>
              <w:pStyle w:val="1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综合单价（元/吨） </w:t>
            </w:r>
          </w:p>
        </w:tc>
      </w:tr>
      <w:tr w14:paraId="2A8F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7F1EC413">
            <w:pPr>
              <w:pStyle w:val="18"/>
              <w:snapToGrid w:val="0"/>
              <w:spacing w:line="400" w:lineRule="exact"/>
              <w:jc w:val="center"/>
              <w:rPr>
                <w:rFonts w:hint="eastAsia" w:ascii="宋体" w:hAnsi="宋体" w:eastAsia="宋体" w:cs="宋体"/>
                <w:color w:val="auto"/>
                <w:szCs w:val="21"/>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14:paraId="001137B5">
            <w:pPr>
              <w:pStyle w:val="18"/>
              <w:snapToGrid w:val="0"/>
              <w:spacing w:line="400" w:lineRule="exact"/>
              <w:jc w:val="center"/>
              <w:rPr>
                <w:rFonts w:hint="eastAsia"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199780D9">
            <w:pPr>
              <w:pStyle w:val="18"/>
              <w:snapToGrid w:val="0"/>
              <w:spacing w:line="400" w:lineRule="exact"/>
              <w:jc w:val="center"/>
              <w:rPr>
                <w:rFonts w:hint="eastAsia" w:ascii="宋体" w:hAnsi="宋体" w:eastAsia="宋体" w:cs="宋体"/>
                <w:color w:val="auto"/>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26EFC915">
            <w:pPr>
              <w:pStyle w:val="18"/>
              <w:snapToGrid w:val="0"/>
              <w:spacing w:line="400" w:lineRule="exact"/>
              <w:jc w:val="center"/>
              <w:rPr>
                <w:rFonts w:hint="eastAsia" w:ascii="宋体" w:hAnsi="宋体" w:eastAsia="宋体" w:cs="宋体"/>
                <w:color w:val="auto"/>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14:paraId="1932EB15">
            <w:pPr>
              <w:pStyle w:val="1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44CBA537">
            <w:pPr>
              <w:pStyle w:val="18"/>
              <w:snapToGrid w:val="0"/>
              <w:spacing w:line="400" w:lineRule="exact"/>
              <w:jc w:val="center"/>
              <w:rPr>
                <w:rFonts w:hint="eastAsia" w:ascii="宋体" w:hAnsi="宋体" w:eastAsia="宋体" w:cs="宋体"/>
                <w:color w:val="auto"/>
                <w:szCs w:val="21"/>
                <w:highlight w:val="none"/>
              </w:rPr>
            </w:pPr>
          </w:p>
        </w:tc>
      </w:tr>
      <w:tr w14:paraId="6F31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3B570324">
            <w:pPr>
              <w:pStyle w:val="1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22E366E8">
            <w:pPr>
              <w:pStyle w:val="1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0FD30C86">
            <w:pPr>
              <w:pStyle w:val="1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1797C94C">
            <w:pPr>
              <w:pStyle w:val="1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62577A5B">
            <w:pPr>
              <w:pStyle w:val="1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0A8E00C2">
            <w:pPr>
              <w:pStyle w:val="1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424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204" w:type="pct"/>
            <w:gridSpan w:val="4"/>
            <w:tcBorders>
              <w:top w:val="single" w:color="auto" w:sz="4" w:space="0"/>
              <w:left w:val="single" w:color="auto" w:sz="4" w:space="0"/>
              <w:bottom w:val="single" w:color="auto" w:sz="4" w:space="0"/>
              <w:right w:val="single" w:color="auto" w:sz="4" w:space="0"/>
            </w:tcBorders>
            <w:noWrap w:val="0"/>
            <w:vAlign w:val="center"/>
          </w:tcPr>
          <w:p w14:paraId="2FEA7C47">
            <w:pPr>
              <w:pStyle w:val="1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投标报价（元，暂定总价）</w:t>
            </w:r>
          </w:p>
        </w:tc>
        <w:tc>
          <w:tcPr>
            <w:tcW w:w="2796" w:type="pct"/>
            <w:gridSpan w:val="2"/>
            <w:tcBorders>
              <w:top w:val="single" w:color="auto" w:sz="4" w:space="0"/>
              <w:left w:val="single" w:color="auto" w:sz="4" w:space="0"/>
              <w:bottom w:val="single" w:color="auto" w:sz="4" w:space="0"/>
              <w:right w:val="single" w:color="auto" w:sz="4" w:space="0"/>
            </w:tcBorders>
            <w:noWrap w:val="0"/>
            <w:vAlign w:val="center"/>
          </w:tcPr>
          <w:p w14:paraId="3185F2F7">
            <w:pPr>
              <w:pStyle w:val="1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5BB3F7">
            <w:pPr>
              <w:pStyle w:val="1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bl>
    <w:p w14:paraId="2B0F241D">
      <w:pPr>
        <w:snapToGrid w:val="0"/>
        <w:spacing w:line="380" w:lineRule="exact"/>
        <w:rPr>
          <w:rFonts w:hint="eastAsia" w:ascii="宋体" w:hAnsi="宋体" w:eastAsia="宋体" w:cs="宋体"/>
          <w:color w:val="auto"/>
          <w:sz w:val="21"/>
          <w:szCs w:val="21"/>
          <w:highlight w:val="none"/>
        </w:rPr>
      </w:pPr>
    </w:p>
    <w:p w14:paraId="5EF607E4">
      <w:pPr>
        <w:keepNext w:val="0"/>
        <w:keepLines w:val="0"/>
        <w:pageBreakBefore w:val="0"/>
        <w:widowControl/>
        <w:kinsoku/>
        <w:wordWrap/>
        <w:overflowPunct/>
        <w:topLinePunct w:val="0"/>
        <w:autoSpaceDE/>
        <w:autoSpaceDN/>
        <w:bidi w:val="0"/>
        <w:adjustRightInd w:val="0"/>
        <w:snapToGrid w:val="0"/>
        <w:spacing w:line="400" w:lineRule="exact"/>
        <w:ind w:left="716" w:leftChars="-59" w:hanging="840" w:hanging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7EDDDFD">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rPr>
        <w:t>本项目报价为含税价，即为《中华人民共和国增值税暂行条例》（国务院令第691号修订版）规定的销售额，综合单价已包含    %增值税专用发票。</w:t>
      </w:r>
      <w:r>
        <w:rPr>
          <w:rFonts w:hint="eastAsia" w:ascii="宋体" w:hAnsi="宋体" w:eastAsia="宋体" w:cs="宋体"/>
          <w:color w:val="auto"/>
          <w:sz w:val="21"/>
          <w:szCs w:val="21"/>
          <w:highlight w:val="none"/>
          <w:u w:val="single"/>
        </w:rPr>
        <w:t>本采购文件所称的含税价是指含本采购项目的投标人销项税额，包含了投标人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的其他全部费用。</w:t>
      </w:r>
    </w:p>
    <w:p w14:paraId="7FE0119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kern w:val="2"/>
          <w:sz w:val="21"/>
          <w:szCs w:val="21"/>
          <w:highlight w:val="none"/>
          <w:u w:val="single"/>
          <w:lang w:val="zh-CN"/>
        </w:rPr>
        <w:t>投标人</w:t>
      </w:r>
      <w:r>
        <w:rPr>
          <w:rFonts w:hint="eastAsia" w:ascii="宋体" w:hAnsi="宋体" w:eastAsia="宋体" w:cs="宋体"/>
          <w:b/>
          <w:bCs/>
          <w:color w:val="auto"/>
          <w:sz w:val="21"/>
          <w:highlight w:val="none"/>
          <w:u w:val="single"/>
        </w:rPr>
        <w:t>的综合单价报价高于单价最高限价的，该投标人的投标文件将被视为无效响应。</w:t>
      </w:r>
    </w:p>
    <w:p w14:paraId="05EF9B88">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u w:val="single"/>
        </w:rPr>
        <w:t>本表的投标报价为含税综合单价乘以计划采购供货量的总价</w:t>
      </w:r>
      <w:r>
        <w:rPr>
          <w:rFonts w:hint="eastAsia" w:ascii="宋体" w:hAnsi="宋体" w:eastAsia="宋体" w:cs="宋体"/>
          <w:b/>
          <w:color w:val="auto"/>
          <w:sz w:val="21"/>
          <w:szCs w:val="21"/>
          <w:highlight w:val="none"/>
        </w:rPr>
        <w:t>。</w:t>
      </w:r>
      <w:r>
        <w:rPr>
          <w:rFonts w:hint="eastAsia" w:ascii="宋体" w:hAnsi="宋体" w:eastAsia="宋体" w:cs="宋体"/>
          <w:color w:val="auto"/>
          <w:kern w:val="2"/>
          <w:sz w:val="21"/>
          <w:szCs w:val="21"/>
          <w:highlight w:val="none"/>
          <w:lang w:val="zh-CN"/>
        </w:rPr>
        <w:t>本表内投标报价金额与按单价计算的总金额不一致的，以单价计算结果为准，单价金额小数点有明显错位的，应以总价为准，并修正单价；对不同文字文本投标文件的解释发生异议的，以中文文本为准。</w:t>
      </w:r>
    </w:p>
    <w:p w14:paraId="7F944B7B">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（4）上述计划采购供货量仅为方便合计投标报价使用，不作为采购人最终购买数量的保证，我方承诺不因实际采购数量的减少或增加而要求采购人提供任何形式的补偿或赔偿。</w:t>
      </w:r>
    </w:p>
    <w:p w14:paraId="45DE05B0">
      <w:pPr>
        <w:tabs>
          <w:tab w:val="left" w:pos="654"/>
          <w:tab w:val="left" w:pos="1734"/>
          <w:tab w:val="left" w:pos="2814"/>
          <w:tab w:val="left" w:pos="3894"/>
          <w:tab w:val="left" w:pos="5334"/>
          <w:tab w:val="left" w:pos="6414"/>
          <w:tab w:val="left" w:pos="7254"/>
          <w:tab w:val="left" w:pos="8574"/>
          <w:tab w:val="left" w:pos="9654"/>
        </w:tabs>
        <w:snapToGrid w:val="0"/>
        <w:spacing w:line="360" w:lineRule="auto"/>
        <w:rPr>
          <w:rFonts w:hint="eastAsia" w:ascii="宋体" w:hAnsi="宋体" w:eastAsia="宋体" w:cs="宋体"/>
          <w:color w:val="auto"/>
          <w:sz w:val="21"/>
          <w:szCs w:val="22"/>
          <w:highlight w:val="none"/>
        </w:rPr>
      </w:pPr>
    </w:p>
    <w:p w14:paraId="4EF0B923">
      <w:pPr>
        <w:pStyle w:val="18"/>
        <w:rPr>
          <w:rFonts w:hint="eastAsia"/>
          <w:color w:val="auto"/>
          <w:highlight w:val="none"/>
        </w:rPr>
      </w:pPr>
    </w:p>
    <w:p w14:paraId="3F9B087B">
      <w:pPr>
        <w:snapToGrid w:val="0"/>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投标人代表签字：</w:t>
      </w:r>
    </w:p>
    <w:p w14:paraId="1E7BB0E9">
      <w:pPr>
        <w:snapToGrid w:val="0"/>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投标人盖章：</w:t>
      </w:r>
    </w:p>
    <w:p w14:paraId="58A48CF0">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2"/>
          <w:szCs w:val="22"/>
          <w:highlight w:val="none"/>
        </w:rPr>
        <w:t>日期：      年    月    日</w:t>
      </w:r>
    </w:p>
    <w:p w14:paraId="7A22EA3B">
      <w:pP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155"/>
    <w:bookmarkEnd w:id="156"/>
    <w:bookmarkEnd w:id="157"/>
    <w:bookmarkEnd w:id="158"/>
    <w:bookmarkEnd w:id="159"/>
    <w:p w14:paraId="25D4AA28">
      <w:pPr>
        <w:pStyle w:val="3"/>
        <w:spacing w:before="0" w:after="0" w:line="360" w:lineRule="auto"/>
        <w:jc w:val="center"/>
        <w:rPr>
          <w:rFonts w:hint="eastAsia" w:ascii="宋体" w:hAnsi="宋体" w:eastAsia="宋体" w:cs="宋体"/>
          <w:color w:val="auto"/>
          <w:sz w:val="72"/>
          <w:szCs w:val="72"/>
          <w:highlight w:val="none"/>
        </w:rPr>
      </w:pPr>
      <w:bookmarkStart w:id="167" w:name="_Toc14638"/>
      <w:bookmarkStart w:id="168" w:name="_Toc15062"/>
      <w:r>
        <w:rPr>
          <w:rFonts w:hint="eastAsia" w:ascii="宋体" w:hAnsi="宋体" w:eastAsia="宋体" w:cs="宋体"/>
          <w:color w:val="auto"/>
          <w:sz w:val="72"/>
          <w:szCs w:val="72"/>
          <w:highlight w:val="none"/>
        </w:rPr>
        <w:t>商务文件</w:t>
      </w:r>
      <w:bookmarkEnd w:id="167"/>
      <w:bookmarkEnd w:id="168"/>
    </w:p>
    <w:p w14:paraId="552B3BD2">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14:paraId="4E49A22D">
      <w:pPr>
        <w:rPr>
          <w:rFonts w:hint="eastAsia" w:ascii="宋体" w:hAnsi="宋体" w:eastAsia="宋体" w:cs="宋体"/>
          <w:color w:val="auto"/>
          <w:highlight w:val="none"/>
        </w:rPr>
      </w:pPr>
    </w:p>
    <w:p w14:paraId="4782B1BA">
      <w:pPr>
        <w:pStyle w:val="13"/>
        <w:rPr>
          <w:rFonts w:hint="eastAsia" w:ascii="宋体" w:hAnsi="宋体" w:eastAsia="宋体" w:cs="宋体"/>
          <w:color w:val="auto"/>
          <w:highlight w:val="none"/>
        </w:rPr>
      </w:pPr>
    </w:p>
    <w:p w14:paraId="4EDC9551">
      <w:pPr>
        <w:pStyle w:val="14"/>
        <w:ind w:firstLine="240"/>
        <w:rPr>
          <w:rFonts w:hint="eastAsia" w:ascii="宋体" w:hAnsi="宋体" w:eastAsia="宋体" w:cs="宋体"/>
          <w:color w:val="auto"/>
          <w:highlight w:val="none"/>
        </w:rPr>
      </w:pPr>
    </w:p>
    <w:p w14:paraId="44BDF3FA">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106"/>
          <w:kern w:val="0"/>
          <w:sz w:val="32"/>
          <w:szCs w:val="32"/>
          <w:highlight w:val="none"/>
          <w:fitText w:val="1600" w:id="4"/>
        </w:rPr>
        <w:t>项目名</w:t>
      </w:r>
      <w:r>
        <w:rPr>
          <w:rFonts w:hint="eastAsia" w:ascii="宋体" w:hAnsi="宋体" w:eastAsia="宋体" w:cs="宋体"/>
          <w:b/>
          <w:bCs/>
          <w:color w:val="auto"/>
          <w:spacing w:val="2"/>
          <w:kern w:val="0"/>
          <w:sz w:val="32"/>
          <w:szCs w:val="32"/>
          <w:highlight w:val="none"/>
          <w:fitText w:val="1600" w:id="4"/>
        </w:rPr>
        <w:t>称</w:t>
      </w:r>
      <w:r>
        <w:rPr>
          <w:rFonts w:hint="eastAsia" w:ascii="宋体" w:hAnsi="宋体" w:eastAsia="宋体" w:cs="宋体"/>
          <w:b/>
          <w:bCs/>
          <w:color w:val="auto"/>
          <w:spacing w:val="-6"/>
          <w:sz w:val="32"/>
          <w:szCs w:val="32"/>
          <w:highlight w:val="none"/>
        </w:rPr>
        <w:t>：</w:t>
      </w:r>
    </w:p>
    <w:p w14:paraId="0F7FA68A">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106"/>
          <w:kern w:val="0"/>
          <w:sz w:val="32"/>
          <w:szCs w:val="32"/>
          <w:highlight w:val="none"/>
          <w:fitText w:val="1600" w:id="5"/>
        </w:rPr>
        <w:t>项目编</w:t>
      </w:r>
      <w:r>
        <w:rPr>
          <w:rFonts w:hint="eastAsia" w:ascii="宋体" w:hAnsi="宋体" w:eastAsia="宋体" w:cs="宋体"/>
          <w:b/>
          <w:bCs/>
          <w:color w:val="auto"/>
          <w:spacing w:val="2"/>
          <w:kern w:val="0"/>
          <w:sz w:val="32"/>
          <w:szCs w:val="32"/>
          <w:highlight w:val="none"/>
          <w:fitText w:val="1600" w:id="5"/>
        </w:rPr>
        <w:t>号</w:t>
      </w:r>
      <w:r>
        <w:rPr>
          <w:rFonts w:hint="eastAsia" w:ascii="宋体" w:hAnsi="宋体" w:eastAsia="宋体" w:cs="宋体"/>
          <w:b/>
          <w:bCs/>
          <w:color w:val="auto"/>
          <w:sz w:val="32"/>
          <w:szCs w:val="32"/>
          <w:highlight w:val="none"/>
        </w:rPr>
        <w:t>：</w:t>
      </w:r>
    </w:p>
    <w:p w14:paraId="67112106">
      <w:pPr>
        <w:pStyle w:val="13"/>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14:paraId="79897E81">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6"/>
        </w:rPr>
        <w:t>投标人名称</w:t>
      </w:r>
      <w:r>
        <w:rPr>
          <w:rFonts w:hint="eastAsia" w:ascii="宋体" w:hAnsi="宋体" w:eastAsia="宋体" w:cs="宋体"/>
          <w:b/>
          <w:color w:val="auto"/>
          <w:sz w:val="32"/>
          <w:szCs w:val="32"/>
          <w:highlight w:val="none"/>
        </w:rPr>
        <w:t>：</w:t>
      </w:r>
    </w:p>
    <w:p w14:paraId="1C76402C">
      <w:pPr>
        <w:rPr>
          <w:rFonts w:hint="eastAsia" w:ascii="宋体" w:hAnsi="宋体" w:eastAsia="宋体" w:cs="宋体"/>
          <w:b/>
          <w:color w:val="auto"/>
          <w:sz w:val="32"/>
          <w:szCs w:val="32"/>
          <w:highlight w:val="none"/>
        </w:rPr>
      </w:pPr>
      <w:r>
        <w:rPr>
          <w:rFonts w:hint="eastAsia" w:ascii="宋体" w:hAnsi="宋体" w:eastAsia="宋体" w:cs="宋体"/>
          <w:b/>
          <w:color w:val="auto"/>
          <w:spacing w:val="64"/>
          <w:kern w:val="0"/>
          <w:sz w:val="32"/>
          <w:szCs w:val="32"/>
          <w:highlight w:val="none"/>
          <w:fitText w:val="1600" w:id="7"/>
        </w:rPr>
        <w:t xml:space="preserve">日    </w:t>
      </w:r>
      <w:r>
        <w:rPr>
          <w:rFonts w:hint="eastAsia" w:ascii="宋体" w:hAnsi="宋体" w:eastAsia="宋体" w:cs="宋体"/>
          <w:b/>
          <w:color w:val="auto"/>
          <w:spacing w:val="0"/>
          <w:kern w:val="0"/>
          <w:sz w:val="32"/>
          <w:szCs w:val="32"/>
          <w:highlight w:val="none"/>
          <w:fitText w:val="1600" w:id="7"/>
        </w:rPr>
        <w:t>期</w:t>
      </w:r>
      <w:r>
        <w:rPr>
          <w:rFonts w:hint="eastAsia" w:ascii="宋体" w:hAnsi="宋体" w:eastAsia="宋体" w:cs="宋体"/>
          <w:b/>
          <w:color w:val="auto"/>
          <w:sz w:val="32"/>
          <w:szCs w:val="32"/>
          <w:highlight w:val="none"/>
        </w:rPr>
        <w:t>：</w:t>
      </w:r>
    </w:p>
    <w:p w14:paraId="447FD50F">
      <w:pPr>
        <w:pStyle w:val="13"/>
        <w:rPr>
          <w:rFonts w:hint="eastAsia" w:ascii="宋体" w:hAnsi="宋体" w:eastAsia="宋体" w:cs="宋体"/>
          <w:b/>
          <w:color w:val="auto"/>
          <w:sz w:val="32"/>
          <w:szCs w:val="32"/>
          <w:highlight w:val="none"/>
        </w:rPr>
      </w:pPr>
    </w:p>
    <w:p w14:paraId="1C5BBFDD">
      <w:pPr>
        <w:pStyle w:val="14"/>
        <w:ind w:firstLine="321"/>
        <w:rPr>
          <w:rFonts w:hint="eastAsia" w:ascii="宋体" w:hAnsi="宋体" w:eastAsia="宋体" w:cs="宋体"/>
          <w:b/>
          <w:color w:val="auto"/>
          <w:sz w:val="32"/>
          <w:szCs w:val="32"/>
          <w:highlight w:val="none"/>
        </w:rPr>
      </w:pPr>
    </w:p>
    <w:p w14:paraId="6E0ADF5D">
      <w:pPr>
        <w:pStyle w:val="26"/>
        <w:rPr>
          <w:rFonts w:hint="eastAsia" w:ascii="宋体" w:hAnsi="宋体" w:eastAsia="宋体" w:cs="宋体"/>
          <w:b/>
          <w:color w:val="auto"/>
          <w:sz w:val="32"/>
          <w:szCs w:val="32"/>
          <w:highlight w:val="none"/>
        </w:rPr>
      </w:pPr>
    </w:p>
    <w:p w14:paraId="7168801A">
      <w:pPr>
        <w:rPr>
          <w:rFonts w:hint="eastAsia" w:ascii="宋体" w:hAnsi="宋体" w:eastAsia="宋体" w:cs="宋体"/>
          <w:b/>
          <w:color w:val="auto"/>
          <w:sz w:val="32"/>
          <w:szCs w:val="32"/>
          <w:highlight w:val="none"/>
        </w:rPr>
      </w:pPr>
    </w:p>
    <w:p w14:paraId="586E5DEB">
      <w:pPr>
        <w:pStyle w:val="13"/>
        <w:rPr>
          <w:rFonts w:hint="eastAsia" w:ascii="宋体" w:hAnsi="宋体" w:eastAsia="宋体" w:cs="宋体"/>
          <w:b/>
          <w:color w:val="auto"/>
          <w:sz w:val="32"/>
          <w:szCs w:val="32"/>
          <w:highlight w:val="none"/>
        </w:rPr>
      </w:pPr>
    </w:p>
    <w:p w14:paraId="64B465D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F5F82E3">
      <w:pPr>
        <w:pStyle w:val="5"/>
        <w:widowControl w:val="0"/>
        <w:overflowPunct w:val="0"/>
        <w:spacing w:line="240" w:lineRule="auto"/>
        <w:rPr>
          <w:rFonts w:hint="eastAsia" w:ascii="宋体" w:hAnsi="宋体" w:eastAsia="宋体" w:cs="宋体"/>
          <w:color w:val="auto"/>
          <w:highlight w:val="none"/>
        </w:rPr>
      </w:pPr>
      <w:bookmarkStart w:id="169" w:name="_Toc2734"/>
      <w:bookmarkStart w:id="170" w:name="_Toc9486"/>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.投标书格式</w:t>
      </w:r>
      <w:bookmarkEnd w:id="169"/>
      <w:bookmarkEnd w:id="170"/>
    </w:p>
    <w:p w14:paraId="578754D3">
      <w:pPr>
        <w:jc w:val="center"/>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投标书</w:t>
      </w:r>
    </w:p>
    <w:p w14:paraId="516F3C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lang w:eastAsia="zh-CN"/>
        </w:rPr>
        <w:t>广州宏达工程顾问集团有限公司</w:t>
      </w:r>
      <w:r>
        <w:rPr>
          <w:rFonts w:hint="eastAsia" w:ascii="宋体" w:hAnsi="宋体" w:eastAsia="宋体" w:cs="宋体"/>
          <w:color w:val="auto"/>
          <w:szCs w:val="21"/>
          <w:highlight w:val="none"/>
        </w:rPr>
        <w:t>：</w:t>
      </w:r>
    </w:p>
    <w:p w14:paraId="2C5B40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（项目名称）（采购项目编号）</w:t>
      </w:r>
      <w:r>
        <w:rPr>
          <w:rFonts w:hint="eastAsia" w:ascii="宋体" w:hAnsi="宋体" w:eastAsia="宋体" w:cs="宋体"/>
          <w:color w:val="auto"/>
          <w:szCs w:val="21"/>
          <w:highlight w:val="none"/>
        </w:rPr>
        <w:t>项目采购公告/采购邀请，签字代表</w:t>
      </w:r>
      <w:r>
        <w:rPr>
          <w:rFonts w:hint="eastAsia" w:ascii="宋体" w:hAnsi="宋体" w:eastAsia="宋体" w:cs="宋体"/>
          <w:color w:val="auto"/>
          <w:szCs w:val="21"/>
          <w:highlight w:val="none"/>
          <w:u w:val="single"/>
        </w:rPr>
        <w:t>（姓名、职务）</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（投标人名称、地址）</w:t>
      </w:r>
      <w:r>
        <w:rPr>
          <w:rFonts w:hint="eastAsia" w:ascii="宋体" w:hAnsi="宋体" w:eastAsia="宋体" w:cs="宋体"/>
          <w:color w:val="auto"/>
          <w:szCs w:val="21"/>
          <w:highlight w:val="none"/>
        </w:rPr>
        <w:t>提交投标文件：</w:t>
      </w:r>
    </w:p>
    <w:p w14:paraId="1FF8F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在此，签字代表宣布同意如下：</w:t>
      </w:r>
    </w:p>
    <w:p w14:paraId="05764FD6">
      <w:pPr>
        <w:widowControl w:val="0"/>
        <w:numPr>
          <w:ilvl w:val="0"/>
          <w:numId w:val="9"/>
        </w:numPr>
        <w:adjustRightInd/>
        <w:snapToGrid/>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我方将按采购文件的规定履行合同责任和义务。</w:t>
      </w:r>
    </w:p>
    <w:p w14:paraId="42DCD77F">
      <w:pPr>
        <w:widowControl w:val="0"/>
        <w:numPr>
          <w:ilvl w:val="0"/>
          <w:numId w:val="9"/>
        </w:numPr>
        <w:adjustRightInd/>
        <w:snapToGrid/>
        <w:spacing w:line="360" w:lineRule="auto"/>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0F57FC0F">
      <w:pPr>
        <w:widowControl w:val="0"/>
        <w:numPr>
          <w:ilvl w:val="0"/>
          <w:numId w:val="9"/>
        </w:numPr>
        <w:adjustRightInd/>
        <w:snapToGrid/>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本投标有效期为自开标日起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个日历日。</w:t>
      </w:r>
    </w:p>
    <w:p w14:paraId="12450E95">
      <w:pPr>
        <w:widowControl w:val="0"/>
        <w:numPr>
          <w:ilvl w:val="0"/>
          <w:numId w:val="9"/>
        </w:numPr>
        <w:adjustRightInd/>
        <w:snapToGrid/>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我方保证遵守投标人须知中关于没收投标保证金的规定。</w:t>
      </w:r>
    </w:p>
    <w:p w14:paraId="54BCF6A4">
      <w:pPr>
        <w:widowControl w:val="0"/>
        <w:numPr>
          <w:ilvl w:val="0"/>
          <w:numId w:val="9"/>
        </w:numPr>
        <w:adjustRightInd/>
        <w:snapToGrid/>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我方承诺，与买方聘请的为此项目提供咨询服务的公司及任何附属机构均无关联，我方不是买方的附属机构。</w:t>
      </w:r>
    </w:p>
    <w:p w14:paraId="57326AC7">
      <w:pPr>
        <w:widowControl w:val="0"/>
        <w:numPr>
          <w:ilvl w:val="0"/>
          <w:numId w:val="9"/>
        </w:numPr>
        <w:adjustRightInd/>
        <w:snapToGrid/>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24A803EB">
      <w:pPr>
        <w:widowControl w:val="0"/>
        <w:numPr>
          <w:ilvl w:val="0"/>
          <w:numId w:val="9"/>
        </w:numPr>
        <w:adjustRightInd/>
        <w:snapToGrid/>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我方同意提供按照贵方可能要求的与其投标有关的一切数据或资料。</w:t>
      </w:r>
    </w:p>
    <w:p w14:paraId="3CC5CB8A">
      <w:pPr>
        <w:widowControl w:val="0"/>
        <w:numPr>
          <w:ilvl w:val="0"/>
          <w:numId w:val="9"/>
        </w:numPr>
        <w:adjustRightInd/>
        <w:snapToGrid/>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与本投标有关的一切正式信函请寄：</w:t>
      </w:r>
    </w:p>
    <w:p w14:paraId="06DA33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电子邮箱：</w:t>
      </w:r>
    </w:p>
    <w:p w14:paraId="2408F08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电话/移动电话：</w:t>
      </w:r>
    </w:p>
    <w:p w14:paraId="79F7853E">
      <w:pPr>
        <w:spacing w:line="360" w:lineRule="auto"/>
        <w:rPr>
          <w:rFonts w:hint="eastAsia" w:ascii="宋体" w:hAnsi="宋体" w:eastAsia="宋体" w:cs="宋体"/>
          <w:color w:val="auto"/>
          <w:szCs w:val="21"/>
          <w:highlight w:val="none"/>
        </w:rPr>
      </w:pPr>
    </w:p>
    <w:p w14:paraId="02D6BA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投标人法定代表人（或其授权代表）签字：</w:t>
      </w:r>
    </w:p>
    <w:p w14:paraId="17790C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投标人名称（全称）：</w:t>
      </w:r>
    </w:p>
    <w:p w14:paraId="300430F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3AAB9D2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54BB553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843CBA8">
      <w:pPr>
        <w:pStyle w:val="5"/>
        <w:widowControl w:val="0"/>
        <w:overflowPunct w:val="0"/>
        <w:spacing w:line="240" w:lineRule="auto"/>
        <w:rPr>
          <w:rFonts w:hint="eastAsia" w:ascii="宋体" w:hAnsi="宋体" w:eastAsia="宋体" w:cs="宋体"/>
          <w:color w:val="auto"/>
          <w:sz w:val="21"/>
          <w:szCs w:val="21"/>
          <w:highlight w:val="none"/>
        </w:rPr>
      </w:pPr>
      <w:bookmarkStart w:id="171" w:name="_Toc21367"/>
      <w:bookmarkStart w:id="172" w:name="_Toc1966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法定代表人证明书格式</w:t>
      </w:r>
      <w:bookmarkEnd w:id="171"/>
      <w:bookmarkEnd w:id="172"/>
    </w:p>
    <w:p w14:paraId="522824D1">
      <w:pPr>
        <w:rPr>
          <w:rFonts w:hint="eastAsia" w:ascii="宋体" w:hAnsi="宋体" w:eastAsia="宋体" w:cs="宋体"/>
          <w:color w:val="auto"/>
          <w:highlight w:val="none"/>
        </w:rPr>
      </w:pPr>
    </w:p>
    <w:p w14:paraId="22AAE07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法定代表人证明书</w:t>
      </w:r>
    </w:p>
    <w:p w14:paraId="7E135B44">
      <w:pPr>
        <w:pStyle w:val="47"/>
        <w:spacing w:line="42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eastAsia="宋体" w:cs="宋体"/>
          <w:color w:val="auto"/>
          <w:sz w:val="21"/>
          <w:szCs w:val="21"/>
          <w:highlight w:val="none"/>
          <w:lang w:eastAsia="zh-CN"/>
        </w:rPr>
        <w:t>广州宏达工程顾问集团有限公司</w:t>
      </w:r>
    </w:p>
    <w:p w14:paraId="74372B8D">
      <w:pPr>
        <w:pStyle w:val="47"/>
        <w:spacing w:line="420" w:lineRule="atLeast"/>
        <w:ind w:firstLine="433"/>
        <w:rPr>
          <w:rFonts w:hint="eastAsia" w:ascii="宋体" w:hAnsi="宋体" w:eastAsia="宋体" w:cs="宋体"/>
          <w:color w:val="auto"/>
          <w:sz w:val="21"/>
          <w:szCs w:val="21"/>
          <w:highlight w:val="none"/>
        </w:rPr>
      </w:pPr>
    </w:p>
    <w:p w14:paraId="5BFF5B5E">
      <w:pPr>
        <w:pStyle w:val="47"/>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14:paraId="0C118EBC">
      <w:pPr>
        <w:pStyle w:val="47"/>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 位 性质：</w:t>
      </w:r>
    </w:p>
    <w:p w14:paraId="0B671351">
      <w:pPr>
        <w:pStyle w:val="47"/>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p>
    <w:p w14:paraId="7DE54EB7">
      <w:pPr>
        <w:pStyle w:val="47"/>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 立 时间：年月日</w:t>
      </w:r>
    </w:p>
    <w:p w14:paraId="17F0973D">
      <w:pPr>
        <w:pStyle w:val="47"/>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 营 期限：</w:t>
      </w:r>
    </w:p>
    <w:p w14:paraId="3A2BBA01">
      <w:pPr>
        <w:pStyle w:val="47"/>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姓名：性别：年龄：职务：</w:t>
      </w:r>
    </w:p>
    <w:p w14:paraId="358E9B0B">
      <w:pPr>
        <w:pStyle w:val="47"/>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系（投标人名称）的法定代表人。</w:t>
      </w:r>
    </w:p>
    <w:p w14:paraId="7CD0B735">
      <w:pPr>
        <w:spacing w:line="4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4A58ABB0">
      <w:pPr>
        <w:pStyle w:val="47"/>
        <w:spacing w:line="500" w:lineRule="atLeast"/>
        <w:ind w:firstLine="3517" w:firstLineChars="1675"/>
        <w:rPr>
          <w:rFonts w:hint="eastAsia" w:ascii="宋体" w:hAnsi="宋体" w:eastAsia="宋体" w:cs="宋体"/>
          <w:color w:val="auto"/>
          <w:sz w:val="21"/>
          <w:szCs w:val="21"/>
          <w:highlight w:val="none"/>
        </w:rPr>
      </w:pPr>
    </w:p>
    <w:p w14:paraId="551578B8">
      <w:pPr>
        <w:pStyle w:val="47"/>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7E5A4AA8">
      <w:pPr>
        <w:pStyle w:val="47"/>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法定代表人（签名或盖私章）：</w:t>
      </w:r>
    </w:p>
    <w:p w14:paraId="190CBF22">
      <w:pPr>
        <w:pStyle w:val="47"/>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法定代表人联系方式：</w:t>
      </w:r>
    </w:p>
    <w:p w14:paraId="49765CBC">
      <w:pPr>
        <w:pStyle w:val="47"/>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p>
    <w:p w14:paraId="7894247D">
      <w:pPr>
        <w:pStyle w:val="47"/>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6ED70BA1">
      <w:pPr>
        <w:ind w:firstLine="420" w:firstLineChars="200"/>
        <w:rPr>
          <w:rFonts w:hint="eastAsia" w:ascii="宋体" w:hAnsi="宋体" w:eastAsia="宋体" w:cs="宋体"/>
          <w:color w:val="auto"/>
          <w:szCs w:val="21"/>
          <w:highlight w:val="none"/>
        </w:rPr>
      </w:pPr>
    </w:p>
    <w:p w14:paraId="7991F88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注：法定代表人身份证明书需附法人代表身份证复印件。</w:t>
      </w:r>
    </w:p>
    <w:tbl>
      <w:tblPr>
        <w:tblStyle w:val="3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737F0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7DD18D5B">
            <w:pPr>
              <w:pStyle w:val="47"/>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182" w:type="dxa"/>
            <w:vAlign w:val="center"/>
          </w:tcPr>
          <w:p w14:paraId="20BC4CE3">
            <w:pPr>
              <w:pStyle w:val="47"/>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14:paraId="7BE98477">
      <w:pPr>
        <w:rPr>
          <w:rFonts w:hint="eastAsia" w:ascii="宋体" w:hAnsi="宋体" w:eastAsia="宋体" w:cs="宋体"/>
          <w:color w:val="auto"/>
          <w:highlight w:val="none"/>
        </w:rPr>
      </w:pPr>
    </w:p>
    <w:p w14:paraId="574C22EF">
      <w:pPr>
        <w:adjustRightInd/>
        <w:snapToGrid/>
        <w:spacing w:line="276" w:lineRule="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br w:type="page"/>
      </w:r>
    </w:p>
    <w:p w14:paraId="547CFBD6">
      <w:pPr>
        <w:pStyle w:val="5"/>
        <w:widowControl w:val="0"/>
        <w:overflowPunct w:val="0"/>
        <w:spacing w:line="240" w:lineRule="auto"/>
        <w:rPr>
          <w:rFonts w:hint="eastAsia" w:ascii="宋体" w:hAnsi="宋体" w:eastAsia="宋体" w:cs="宋体"/>
          <w:color w:val="auto"/>
          <w:highlight w:val="none"/>
        </w:rPr>
      </w:pPr>
      <w:bookmarkStart w:id="173" w:name="_Toc5634"/>
      <w:bookmarkStart w:id="174" w:name="_Toc2021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.法定代表人授权书格式</w:t>
      </w:r>
      <w:bookmarkEnd w:id="173"/>
      <w:bookmarkEnd w:id="174"/>
    </w:p>
    <w:p w14:paraId="1AC37A97">
      <w:pPr>
        <w:rPr>
          <w:rFonts w:hint="eastAsia" w:ascii="宋体" w:hAnsi="宋体" w:eastAsia="宋体" w:cs="宋体"/>
          <w:color w:val="auto"/>
          <w:highlight w:val="none"/>
        </w:rPr>
      </w:pPr>
    </w:p>
    <w:p w14:paraId="5CD2804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法定代表人授权书</w:t>
      </w:r>
    </w:p>
    <w:p w14:paraId="33F7049C">
      <w:pPr>
        <w:pStyle w:val="47"/>
        <w:spacing w:line="42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eastAsia="宋体" w:cs="宋体"/>
          <w:color w:val="auto"/>
          <w:sz w:val="21"/>
          <w:szCs w:val="21"/>
          <w:highlight w:val="none"/>
          <w:lang w:eastAsia="zh-CN"/>
        </w:rPr>
        <w:t>广州宏达工程顾问集团有限公司</w:t>
      </w:r>
    </w:p>
    <w:p w14:paraId="182754DE">
      <w:pPr>
        <w:pStyle w:val="47"/>
        <w:spacing w:line="420" w:lineRule="atLeast"/>
        <w:ind w:firstLine="433"/>
        <w:rPr>
          <w:rFonts w:hint="eastAsia" w:ascii="宋体" w:hAnsi="宋体" w:eastAsia="宋体" w:cs="宋体"/>
          <w:color w:val="auto"/>
          <w:sz w:val="21"/>
          <w:szCs w:val="21"/>
          <w:highlight w:val="none"/>
        </w:rPr>
      </w:pPr>
    </w:p>
    <w:p w14:paraId="3A3B216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（国家或地区的名称）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（法定代表人姓名、职务）</w:t>
      </w:r>
      <w:r>
        <w:rPr>
          <w:rFonts w:hint="eastAsia" w:ascii="宋体" w:hAnsi="宋体" w:eastAsia="宋体" w:cs="宋体"/>
          <w:color w:val="auto"/>
          <w:szCs w:val="21"/>
          <w:highlight w:val="none"/>
        </w:rPr>
        <w:t>代表本单位授权</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（被授权人的姓名、职务）</w:t>
      </w:r>
      <w:r>
        <w:rPr>
          <w:rFonts w:hint="eastAsia" w:ascii="宋体" w:hAnsi="宋体" w:eastAsia="宋体" w:cs="宋体"/>
          <w:color w:val="auto"/>
          <w:szCs w:val="21"/>
          <w:highlight w:val="none"/>
        </w:rPr>
        <w:t>为本单位的合法代理人，就</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投标及参加项目谈判，以本单位名义处理一切与之有关的事务。</w:t>
      </w:r>
    </w:p>
    <w:p w14:paraId="28724E23">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日签字生效，特此声明。</w:t>
      </w:r>
    </w:p>
    <w:p w14:paraId="7CC25E97">
      <w:pPr>
        <w:pStyle w:val="47"/>
        <w:spacing w:line="500" w:lineRule="atLeast"/>
        <w:ind w:firstLine="3517" w:firstLineChars="1675"/>
        <w:rPr>
          <w:rFonts w:hint="eastAsia" w:ascii="宋体" w:hAnsi="宋体" w:eastAsia="宋体" w:cs="宋体"/>
          <w:color w:val="auto"/>
          <w:sz w:val="21"/>
          <w:szCs w:val="21"/>
          <w:highlight w:val="none"/>
        </w:rPr>
      </w:pPr>
    </w:p>
    <w:p w14:paraId="792150F7">
      <w:pPr>
        <w:pStyle w:val="47"/>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24858642">
      <w:pPr>
        <w:pStyle w:val="47"/>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法定代表人签字（签名或盖私章）：</w:t>
      </w:r>
    </w:p>
    <w:p w14:paraId="036CDE3B">
      <w:pPr>
        <w:pStyle w:val="47"/>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14:paraId="427BA3A1">
      <w:pPr>
        <w:pStyle w:val="47"/>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职务：</w:t>
      </w:r>
    </w:p>
    <w:p w14:paraId="117316AD">
      <w:pPr>
        <w:pStyle w:val="47"/>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移动电话： </w:t>
      </w:r>
    </w:p>
    <w:p w14:paraId="1CFB7A9C">
      <w:pPr>
        <w:pStyle w:val="47"/>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14:paraId="3494C58A">
      <w:pPr>
        <w:pStyle w:val="47"/>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邮箱：                          </w:t>
      </w:r>
    </w:p>
    <w:p w14:paraId="5C836AC5">
      <w:pPr>
        <w:pStyle w:val="47"/>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6078F38C">
      <w:pPr>
        <w:pStyle w:val="47"/>
        <w:spacing w:line="460" w:lineRule="exact"/>
        <w:ind w:firstLine="433"/>
        <w:rPr>
          <w:rFonts w:hint="eastAsia" w:ascii="宋体" w:hAnsi="宋体" w:eastAsia="宋体" w:cs="宋体"/>
          <w:color w:val="auto"/>
          <w:sz w:val="21"/>
          <w:szCs w:val="21"/>
          <w:highlight w:val="none"/>
        </w:rPr>
      </w:pPr>
    </w:p>
    <w:p w14:paraId="5B3AD025">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须附：被授权人身份证复印件。</w:t>
      </w:r>
    </w:p>
    <w:tbl>
      <w:tblPr>
        <w:tblStyle w:val="3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3FA942D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661" w:hRule="atLeast"/>
          <w:jc w:val="center"/>
        </w:trPr>
        <w:tc>
          <w:tcPr>
            <w:tcW w:w="4232" w:type="dxa"/>
            <w:vAlign w:val="center"/>
          </w:tcPr>
          <w:p w14:paraId="6F1BE3A9">
            <w:pPr>
              <w:pStyle w:val="47"/>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232" w:type="dxa"/>
            <w:vAlign w:val="center"/>
          </w:tcPr>
          <w:p w14:paraId="7A07954D">
            <w:pPr>
              <w:pStyle w:val="47"/>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14:paraId="2D8253BF">
      <w:pPr>
        <w:adjustRightInd/>
        <w:snapToGrid/>
        <w:spacing w:line="276" w:lineRule="auto"/>
        <w:rPr>
          <w:rFonts w:hint="eastAsia" w:ascii="宋体" w:hAnsi="宋体" w:eastAsia="宋体" w:cs="宋体"/>
          <w:color w:val="auto"/>
          <w:highlight w:val="none"/>
        </w:rPr>
      </w:pPr>
      <w:bookmarkStart w:id="175" w:name="_Toc22486"/>
      <w:r>
        <w:rPr>
          <w:rFonts w:hint="eastAsia" w:ascii="宋体" w:hAnsi="宋体" w:eastAsia="宋体" w:cs="宋体"/>
          <w:color w:val="auto"/>
          <w:szCs w:val="21"/>
          <w:highlight w:val="none"/>
        </w:rPr>
        <w:br w:type="page"/>
      </w:r>
    </w:p>
    <w:p w14:paraId="7A1AE875">
      <w:pPr>
        <w:pStyle w:val="5"/>
        <w:widowControl w:val="0"/>
        <w:overflowPunct w:val="0"/>
        <w:spacing w:line="240" w:lineRule="auto"/>
        <w:rPr>
          <w:rFonts w:hint="eastAsia" w:ascii="宋体" w:hAnsi="宋体" w:eastAsia="宋体" w:cs="宋体"/>
          <w:color w:val="auto"/>
          <w:sz w:val="21"/>
          <w:szCs w:val="21"/>
          <w:highlight w:val="none"/>
        </w:rPr>
      </w:pPr>
      <w:bookmarkStart w:id="176" w:name="_Toc24057"/>
      <w:bookmarkStart w:id="177" w:name="_Toc29154"/>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.资格申明</w:t>
      </w:r>
      <w:bookmarkEnd w:id="176"/>
      <w:bookmarkEnd w:id="177"/>
    </w:p>
    <w:p w14:paraId="7F1F28E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资格申明</w:t>
      </w:r>
    </w:p>
    <w:p w14:paraId="348DD73F">
      <w:pPr>
        <w:pStyle w:val="47"/>
        <w:spacing w:line="420" w:lineRule="atLeast"/>
        <w:ind w:firstLine="0" w:firstLineChars="0"/>
        <w:rPr>
          <w:rFonts w:hint="eastAsia" w:ascii="宋体" w:hAnsi="宋体" w:eastAsia="宋体" w:cs="宋体"/>
          <w:color w:val="auto"/>
          <w:sz w:val="21"/>
          <w:szCs w:val="21"/>
          <w:highlight w:val="none"/>
        </w:rPr>
      </w:pPr>
      <w:r>
        <w:rPr>
          <w:rFonts w:hint="eastAsia" w:ascii="宋体" w:eastAsia="宋体" w:cs="宋体"/>
          <w:color w:val="auto"/>
          <w:sz w:val="21"/>
          <w:szCs w:val="21"/>
          <w:highlight w:val="none"/>
          <w:lang w:eastAsia="zh-CN"/>
        </w:rPr>
        <w:t>广州宏达工程顾问集团有限公司</w:t>
      </w:r>
      <w:r>
        <w:rPr>
          <w:rFonts w:hint="eastAsia" w:ascii="宋体" w:hAnsi="宋体" w:eastAsia="宋体" w:cs="宋体"/>
          <w:color w:val="auto"/>
          <w:sz w:val="21"/>
          <w:szCs w:val="21"/>
          <w:highlight w:val="none"/>
        </w:rPr>
        <w:t>：</w:t>
      </w:r>
    </w:p>
    <w:p w14:paraId="2F18A163">
      <w:pPr>
        <w:ind w:firstLine="420" w:firstLineChars="200"/>
        <w:rPr>
          <w:rFonts w:hint="eastAsia" w:ascii="宋体" w:hAnsi="宋体" w:eastAsia="宋体" w:cs="宋体"/>
          <w:color w:val="auto"/>
          <w:szCs w:val="21"/>
          <w:highlight w:val="none"/>
        </w:rPr>
      </w:pPr>
    </w:p>
    <w:p w14:paraId="2C84E4D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我方愿响应贵方关于（项目名称：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）的投标邀请，参与投标，提供用户需求书中规定的货物及相关服务，并按采购文件要求提交所附资格文件且声明和保证如下：</w:t>
      </w:r>
    </w:p>
    <w:p w14:paraId="379B839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6E8CFB2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二、我方依法注册，在法律上、财务上和运作上完全独立于</w:t>
      </w:r>
      <w:r>
        <w:rPr>
          <w:rFonts w:hint="eastAsia" w:ascii="宋体" w:hAnsi="宋体" w:eastAsia="宋体" w:cs="宋体"/>
          <w:color w:val="auto"/>
          <w:szCs w:val="21"/>
          <w:highlight w:val="none"/>
          <w:u w:val="single"/>
        </w:rPr>
        <w:t xml:space="preserve">  xxxx   </w:t>
      </w:r>
      <w:r>
        <w:rPr>
          <w:rFonts w:hint="eastAsia" w:ascii="宋体" w:hAnsi="宋体" w:eastAsia="宋体" w:cs="宋体"/>
          <w:color w:val="auto"/>
          <w:szCs w:val="21"/>
          <w:highlight w:val="none"/>
        </w:rPr>
        <w:t>公司（采购人）及</w:t>
      </w:r>
      <w:r>
        <w:rPr>
          <w:rFonts w:hint="eastAsia" w:ascii="宋体" w:hAnsi="宋体" w:eastAsia="宋体" w:cs="宋体"/>
          <w:color w:val="auto"/>
          <w:szCs w:val="21"/>
          <w:highlight w:val="none"/>
          <w:u w:val="single"/>
        </w:rPr>
        <w:t xml:space="preserve">    xxx   </w:t>
      </w:r>
      <w:r>
        <w:rPr>
          <w:rFonts w:hint="eastAsia" w:ascii="宋体" w:hAnsi="宋体" w:eastAsia="宋体" w:cs="宋体"/>
          <w:color w:val="auto"/>
          <w:szCs w:val="21"/>
          <w:highlight w:val="none"/>
        </w:rPr>
        <w:t>公司（采购代理机构）。</w:t>
      </w:r>
    </w:p>
    <w:p w14:paraId="138BC090">
      <w:pPr>
        <w:pStyle w:val="97"/>
        <w:keepNext w:val="0"/>
        <w:keepLines w:val="0"/>
        <w:pageBreakBefore w:val="0"/>
        <w:kinsoku/>
        <w:wordWrap/>
        <w:overflowPunct/>
        <w:topLinePunct w:val="0"/>
        <w:autoSpaceDE/>
        <w:autoSpaceDN/>
        <w:bidi w:val="0"/>
        <w:spacing w:beforeLine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bidi="ar-SA"/>
        </w:rPr>
        <w:t>三、我方与其他投标人不存在单位负责人为同一人或者存在直接控股、管理关系。</w:t>
      </w:r>
    </w:p>
    <w:p w14:paraId="6926B6DA">
      <w:pPr>
        <w:pStyle w:val="40"/>
        <w:rPr>
          <w:rFonts w:hint="eastAsia" w:ascii="宋体" w:hAnsi="宋体" w:eastAsia="宋体" w:cs="宋体"/>
          <w:color w:val="auto"/>
          <w:highlight w:val="none"/>
        </w:rPr>
      </w:pPr>
    </w:p>
    <w:p w14:paraId="15EE7751">
      <w:pPr>
        <w:pStyle w:val="47"/>
        <w:spacing w:line="500" w:lineRule="atLeast"/>
        <w:ind w:firstLine="3517" w:firstLineChars="1675"/>
        <w:rPr>
          <w:rFonts w:hint="eastAsia" w:ascii="宋体" w:hAnsi="宋体" w:eastAsia="宋体" w:cs="宋体"/>
          <w:color w:val="auto"/>
          <w:sz w:val="21"/>
          <w:szCs w:val="21"/>
          <w:highlight w:val="none"/>
        </w:rPr>
      </w:pPr>
    </w:p>
    <w:p w14:paraId="75CA7061">
      <w:pPr>
        <w:pStyle w:val="47"/>
        <w:spacing w:line="500" w:lineRule="atLeast"/>
        <w:ind w:firstLine="3517" w:firstLineChars="1675"/>
        <w:rPr>
          <w:rFonts w:hint="eastAsia" w:ascii="宋体" w:hAnsi="宋体" w:eastAsia="宋体" w:cs="宋体"/>
          <w:color w:val="auto"/>
          <w:sz w:val="21"/>
          <w:szCs w:val="21"/>
          <w:highlight w:val="none"/>
        </w:rPr>
      </w:pPr>
    </w:p>
    <w:p w14:paraId="10117A24">
      <w:pPr>
        <w:pStyle w:val="47"/>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14:paraId="22811FC4">
      <w:pPr>
        <w:pStyle w:val="47"/>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法定代表人签字（签名或盖私章）：</w:t>
      </w:r>
    </w:p>
    <w:p w14:paraId="6E39E84E">
      <w:pPr>
        <w:pStyle w:val="47"/>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期：年月日</w:t>
      </w:r>
    </w:p>
    <w:p w14:paraId="682C94F5">
      <w:pPr>
        <w:pStyle w:val="47"/>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36B9EBB">
      <w:pPr>
        <w:pStyle w:val="5"/>
        <w:widowControl w:val="0"/>
        <w:overflowPunct w:val="0"/>
        <w:spacing w:line="240" w:lineRule="auto"/>
        <w:rPr>
          <w:rFonts w:hint="eastAsia" w:ascii="宋体" w:hAnsi="宋体" w:eastAsia="宋体" w:cs="宋体"/>
          <w:color w:val="auto"/>
          <w:sz w:val="21"/>
          <w:szCs w:val="21"/>
          <w:highlight w:val="none"/>
        </w:rPr>
      </w:pPr>
      <w:bookmarkStart w:id="178" w:name="_Toc11404"/>
      <w:bookmarkStart w:id="179" w:name="_Toc17433"/>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.营业执照</w:t>
      </w:r>
      <w:bookmarkEnd w:id="178"/>
      <w:bookmarkEnd w:id="179"/>
    </w:p>
    <w:p w14:paraId="4EF6B779">
      <w:pPr>
        <w:jc w:val="center"/>
        <w:rPr>
          <w:rFonts w:hint="eastAsia" w:ascii="宋体" w:hAnsi="宋体" w:eastAsia="宋体" w:cs="宋体"/>
          <w:color w:val="auto"/>
          <w:sz w:val="28"/>
          <w:szCs w:val="28"/>
          <w:highlight w:val="none"/>
        </w:rPr>
      </w:pPr>
      <w:bookmarkStart w:id="180" w:name="_Toc24210"/>
      <w:bookmarkStart w:id="181" w:name="_Toc5919"/>
      <w:bookmarkStart w:id="182" w:name="_Toc17470"/>
      <w:bookmarkStart w:id="183" w:name="_Toc1511"/>
      <w:bookmarkStart w:id="184" w:name="_Toc4926"/>
      <w:r>
        <w:rPr>
          <w:rFonts w:hint="eastAsia" w:ascii="宋体" w:hAnsi="宋体" w:eastAsia="宋体" w:cs="宋体"/>
          <w:color w:val="auto"/>
          <w:sz w:val="28"/>
          <w:szCs w:val="28"/>
          <w:highlight w:val="none"/>
        </w:rPr>
        <w:t>营业执照</w:t>
      </w:r>
      <w:bookmarkEnd w:id="180"/>
      <w:bookmarkEnd w:id="181"/>
      <w:bookmarkEnd w:id="182"/>
      <w:bookmarkEnd w:id="183"/>
      <w:bookmarkEnd w:id="184"/>
    </w:p>
    <w:p w14:paraId="712B333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0EE88C">
      <w:pPr>
        <w:pStyle w:val="5"/>
        <w:widowControl w:val="0"/>
        <w:overflowPunct w:val="0"/>
        <w:spacing w:line="240" w:lineRule="auto"/>
        <w:rPr>
          <w:rFonts w:hint="eastAsia" w:ascii="宋体" w:hAnsi="宋体" w:eastAsia="宋体" w:cs="宋体"/>
          <w:color w:val="auto"/>
          <w:sz w:val="21"/>
          <w:szCs w:val="21"/>
          <w:highlight w:val="none"/>
        </w:rPr>
      </w:pPr>
      <w:bookmarkStart w:id="185" w:name="_Toc23003"/>
      <w:bookmarkStart w:id="186" w:name="_Toc27360"/>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.相关资质证明文件</w:t>
      </w:r>
      <w:bookmarkEnd w:id="185"/>
      <w:bookmarkEnd w:id="186"/>
    </w:p>
    <w:p w14:paraId="7781DD5A">
      <w:pPr>
        <w:rPr>
          <w:rFonts w:hint="eastAsia" w:ascii="宋体" w:hAnsi="宋体" w:eastAsia="宋体" w:cs="宋体"/>
          <w:color w:val="auto"/>
          <w:highlight w:val="none"/>
        </w:rPr>
      </w:pPr>
    </w:p>
    <w:p w14:paraId="07D21F38">
      <w:pPr>
        <w:jc w:val="center"/>
        <w:rPr>
          <w:rFonts w:hint="eastAsia" w:ascii="宋体" w:hAnsi="宋体" w:eastAsia="宋体" w:cs="宋体"/>
          <w:color w:val="auto"/>
          <w:sz w:val="28"/>
          <w:szCs w:val="28"/>
          <w:highlight w:val="none"/>
        </w:rPr>
      </w:pPr>
      <w:bookmarkStart w:id="187" w:name="_Toc9592"/>
      <w:bookmarkStart w:id="188" w:name="_Toc13458"/>
      <w:bookmarkStart w:id="189" w:name="_Toc30307"/>
      <w:bookmarkStart w:id="190" w:name="_Toc16233"/>
      <w:bookmarkStart w:id="191" w:name="_Toc16698"/>
      <w:r>
        <w:rPr>
          <w:rFonts w:hint="eastAsia" w:ascii="宋体" w:hAnsi="宋体" w:eastAsia="宋体" w:cs="宋体"/>
          <w:color w:val="auto"/>
          <w:sz w:val="28"/>
          <w:szCs w:val="28"/>
          <w:highlight w:val="none"/>
        </w:rPr>
        <w:t>相关资质证明文件</w:t>
      </w:r>
      <w:bookmarkEnd w:id="175"/>
      <w:bookmarkEnd w:id="187"/>
      <w:bookmarkEnd w:id="188"/>
      <w:bookmarkEnd w:id="189"/>
      <w:bookmarkEnd w:id="190"/>
      <w:bookmarkEnd w:id="191"/>
    </w:p>
    <w:p w14:paraId="6776E1C4">
      <w:pPr>
        <w:numPr>
          <w:ilvl w:val="0"/>
          <w:numId w:val="10"/>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符合投标邀请书“投标人资格要求”其他要求对应的证明文件；</w:t>
      </w:r>
    </w:p>
    <w:p w14:paraId="18278DE8">
      <w:pPr>
        <w:numPr>
          <w:ilvl w:val="0"/>
          <w:numId w:val="10"/>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投标人认为必要的文件。</w:t>
      </w:r>
      <w:r>
        <w:rPr>
          <w:rFonts w:hint="eastAsia" w:ascii="宋体" w:hAnsi="宋体" w:eastAsia="宋体" w:cs="宋体"/>
          <w:b/>
          <w:bCs/>
          <w:color w:val="auto"/>
          <w:szCs w:val="21"/>
          <w:highlight w:val="none"/>
        </w:rPr>
        <w:br w:type="page"/>
      </w:r>
    </w:p>
    <w:p w14:paraId="52B8C692">
      <w:pPr>
        <w:pStyle w:val="5"/>
        <w:widowControl w:val="0"/>
        <w:overflowPunct w:val="0"/>
        <w:spacing w:line="240" w:lineRule="auto"/>
        <w:rPr>
          <w:rFonts w:hint="eastAsia" w:ascii="宋体" w:hAnsi="宋体" w:eastAsia="宋体" w:cs="宋体"/>
          <w:color w:val="auto"/>
          <w:highlight w:val="none"/>
        </w:rPr>
      </w:pPr>
      <w:bookmarkStart w:id="192" w:name="_Toc8587"/>
      <w:bookmarkStart w:id="193" w:name="_Toc29429"/>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.在经营活动中没有重大违法记录的书面声明格式</w:t>
      </w:r>
      <w:bookmarkEnd w:id="192"/>
      <w:bookmarkEnd w:id="193"/>
    </w:p>
    <w:p w14:paraId="0ABA9ACD">
      <w:pPr>
        <w:rPr>
          <w:rFonts w:hint="eastAsia" w:ascii="宋体" w:hAnsi="宋体" w:eastAsia="宋体" w:cs="宋体"/>
          <w:color w:val="auto"/>
          <w:highlight w:val="none"/>
        </w:rPr>
      </w:pPr>
    </w:p>
    <w:p w14:paraId="032908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投标人在经营活动中前三年内未有重大违法记录、没有不良信用记录的声明函</w:t>
      </w:r>
    </w:p>
    <w:p w14:paraId="29F0FE70">
      <w:pPr>
        <w:ind w:firstLine="420" w:firstLineChars="200"/>
        <w:rPr>
          <w:rFonts w:hint="eastAsia" w:ascii="宋体" w:hAnsi="宋体" w:eastAsia="宋体" w:cs="宋体"/>
          <w:color w:val="auto"/>
          <w:szCs w:val="21"/>
          <w:highlight w:val="none"/>
        </w:rPr>
      </w:pPr>
    </w:p>
    <w:p w14:paraId="342C71F2">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东莞市新东元环保投资有限公司、</w:t>
      </w:r>
      <w:r>
        <w:rPr>
          <w:rFonts w:hint="eastAsia" w:ascii="宋体" w:hAnsi="宋体" w:cs="宋体"/>
          <w:color w:val="auto"/>
          <w:szCs w:val="21"/>
          <w:highlight w:val="none"/>
          <w:lang w:eastAsia="zh-CN"/>
        </w:rPr>
        <w:t>广州宏达工程顾问集团有限公司</w:t>
      </w:r>
      <w:r>
        <w:rPr>
          <w:rFonts w:hint="eastAsia" w:ascii="宋体" w:hAnsi="宋体" w:eastAsia="宋体" w:cs="宋体"/>
          <w:color w:val="auto"/>
          <w:szCs w:val="21"/>
          <w:highlight w:val="none"/>
        </w:rPr>
        <w:t>：</w:t>
      </w:r>
    </w:p>
    <w:p w14:paraId="3F016650">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我公司郑重承诺：在参加“</w:t>
      </w:r>
      <w:r>
        <w:rPr>
          <w:rFonts w:hint="eastAsia" w:ascii="宋体" w:hAnsi="宋体" w:eastAsia="宋体" w:cs="宋体"/>
          <w:color w:val="auto"/>
          <w:szCs w:val="21"/>
          <w:highlight w:val="none"/>
          <w:u w:val="single"/>
        </w:rPr>
        <w:t xml:space="preserve">       （采购项目名称）</w:t>
      </w:r>
      <w:r>
        <w:rPr>
          <w:rFonts w:hint="eastAsia" w:ascii="宋体" w:hAnsi="宋体" w:eastAsia="宋体" w:cs="宋体"/>
          <w:color w:val="auto"/>
          <w:szCs w:val="21"/>
          <w:highlight w:val="none"/>
        </w:rPr>
        <w:t>” （项目编号:</w:t>
      </w:r>
      <w:r>
        <w:rPr>
          <w:rFonts w:hint="eastAsia" w:ascii="宋体" w:hAnsi="宋体" w:eastAsia="宋体" w:cs="宋体"/>
          <w:color w:val="auto"/>
          <w:szCs w:val="21"/>
          <w:highlight w:val="none"/>
          <w:lang w:val="en-US" w:eastAsia="zh-CN"/>
        </w:rPr>
        <w:t>XX</w:t>
      </w:r>
      <w:r>
        <w:rPr>
          <w:rFonts w:hint="eastAsia" w:ascii="宋体" w:hAnsi="宋体" w:eastAsia="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276F0539">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我公司以上承诺均为真实有效，绝无任何虚假、伪造的成份，否则，愿承担相应的后果和法律责任。</w:t>
      </w:r>
    </w:p>
    <w:p w14:paraId="756A07BA">
      <w:pPr>
        <w:ind w:firstLine="420" w:firstLineChars="200"/>
        <w:rPr>
          <w:rFonts w:hint="eastAsia" w:ascii="宋体" w:hAnsi="宋体" w:eastAsia="宋体" w:cs="宋体"/>
          <w:color w:val="auto"/>
          <w:szCs w:val="21"/>
          <w:highlight w:val="none"/>
        </w:rPr>
      </w:pPr>
    </w:p>
    <w:p w14:paraId="2EA84194">
      <w:pPr>
        <w:rPr>
          <w:rFonts w:hint="eastAsia" w:ascii="宋体" w:hAnsi="宋体" w:eastAsia="宋体" w:cs="宋体"/>
          <w:color w:val="auto"/>
          <w:szCs w:val="21"/>
          <w:highlight w:val="none"/>
        </w:rPr>
      </w:pPr>
    </w:p>
    <w:p w14:paraId="2CDF767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14:paraId="297E2A48">
      <w:pPr>
        <w:rPr>
          <w:rFonts w:hint="eastAsia" w:ascii="宋体" w:hAnsi="宋体" w:eastAsia="宋体" w:cs="宋体"/>
          <w:color w:val="auto"/>
          <w:szCs w:val="21"/>
          <w:highlight w:val="none"/>
        </w:rPr>
      </w:pPr>
    </w:p>
    <w:p w14:paraId="22CBE90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3A6B5970">
      <w:pPr>
        <w:rPr>
          <w:rFonts w:hint="eastAsia" w:ascii="宋体" w:hAnsi="宋体" w:eastAsia="宋体" w:cs="宋体"/>
          <w:color w:val="auto"/>
          <w:highlight w:val="none"/>
        </w:rPr>
      </w:pPr>
    </w:p>
    <w:p w14:paraId="077D96D3">
      <w:pPr>
        <w:rPr>
          <w:rFonts w:hint="eastAsia" w:ascii="宋体" w:hAnsi="宋体" w:eastAsia="宋体" w:cs="宋体"/>
          <w:color w:val="auto"/>
          <w:szCs w:val="21"/>
          <w:highlight w:val="none"/>
        </w:rPr>
      </w:pPr>
    </w:p>
    <w:p w14:paraId="4098868B">
      <w:pPr>
        <w:pStyle w:val="13"/>
        <w:rPr>
          <w:rFonts w:hint="eastAsia" w:ascii="宋体" w:hAnsi="宋体" w:eastAsia="宋体" w:cs="宋体"/>
          <w:color w:val="auto"/>
          <w:sz w:val="21"/>
          <w:szCs w:val="21"/>
          <w:highlight w:val="none"/>
        </w:rPr>
      </w:pPr>
    </w:p>
    <w:p w14:paraId="23A6057B">
      <w:pPr>
        <w:rPr>
          <w:rFonts w:hint="eastAsia" w:ascii="宋体" w:hAnsi="宋体" w:eastAsia="宋体" w:cs="宋体"/>
          <w:color w:val="auto"/>
          <w:szCs w:val="21"/>
          <w:highlight w:val="none"/>
        </w:rPr>
      </w:pPr>
    </w:p>
    <w:p w14:paraId="5DB497B9">
      <w:pPr>
        <w:pStyle w:val="13"/>
        <w:rPr>
          <w:rFonts w:hint="eastAsia" w:ascii="宋体" w:hAnsi="宋体" w:eastAsia="宋体" w:cs="宋体"/>
          <w:color w:val="auto"/>
          <w:sz w:val="21"/>
          <w:szCs w:val="21"/>
          <w:highlight w:val="none"/>
        </w:rPr>
      </w:pPr>
    </w:p>
    <w:p w14:paraId="223BF5D2">
      <w:pPr>
        <w:rPr>
          <w:rFonts w:hint="eastAsia" w:ascii="宋体" w:hAnsi="宋体" w:eastAsia="宋体" w:cs="宋体"/>
          <w:color w:val="auto"/>
          <w:szCs w:val="21"/>
          <w:highlight w:val="none"/>
        </w:rPr>
      </w:pPr>
    </w:p>
    <w:p w14:paraId="7C92FAC4">
      <w:pPr>
        <w:pStyle w:val="13"/>
        <w:rPr>
          <w:rFonts w:hint="eastAsia" w:ascii="宋体" w:hAnsi="宋体" w:eastAsia="宋体" w:cs="宋体"/>
          <w:color w:val="auto"/>
          <w:sz w:val="21"/>
          <w:szCs w:val="21"/>
          <w:highlight w:val="none"/>
        </w:rPr>
      </w:pPr>
    </w:p>
    <w:p w14:paraId="4F0D783A">
      <w:pPr>
        <w:rPr>
          <w:rFonts w:hint="eastAsia" w:ascii="宋体" w:hAnsi="宋体" w:eastAsia="宋体" w:cs="宋体"/>
          <w:color w:val="auto"/>
          <w:szCs w:val="21"/>
          <w:highlight w:val="none"/>
        </w:rPr>
      </w:pPr>
    </w:p>
    <w:p w14:paraId="73619FF1">
      <w:pPr>
        <w:pStyle w:val="13"/>
        <w:rPr>
          <w:rFonts w:hint="eastAsia" w:ascii="宋体" w:hAnsi="宋体" w:eastAsia="宋体" w:cs="宋体"/>
          <w:color w:val="auto"/>
          <w:sz w:val="21"/>
          <w:szCs w:val="21"/>
          <w:highlight w:val="none"/>
        </w:rPr>
      </w:pPr>
    </w:p>
    <w:p w14:paraId="053BE97C">
      <w:pPr>
        <w:rPr>
          <w:rFonts w:hint="eastAsia" w:ascii="宋体" w:hAnsi="宋体" w:eastAsia="宋体" w:cs="宋体"/>
          <w:color w:val="auto"/>
          <w:szCs w:val="21"/>
          <w:highlight w:val="none"/>
        </w:rPr>
      </w:pPr>
    </w:p>
    <w:p w14:paraId="7B309820">
      <w:pPr>
        <w:pStyle w:val="13"/>
        <w:rPr>
          <w:rFonts w:hint="eastAsia" w:ascii="宋体" w:hAnsi="宋体" w:eastAsia="宋体" w:cs="宋体"/>
          <w:color w:val="auto"/>
          <w:sz w:val="21"/>
          <w:szCs w:val="21"/>
          <w:highlight w:val="none"/>
        </w:rPr>
      </w:pPr>
    </w:p>
    <w:p w14:paraId="6DFD00C7">
      <w:pPr>
        <w:rPr>
          <w:rFonts w:hint="eastAsia" w:ascii="宋体" w:hAnsi="宋体" w:eastAsia="宋体" w:cs="宋体"/>
          <w:color w:val="auto"/>
          <w:highlight w:val="none"/>
        </w:rPr>
      </w:pPr>
    </w:p>
    <w:p w14:paraId="448D2186">
      <w:pPr>
        <w:pStyle w:val="5"/>
        <w:widowControl w:val="0"/>
        <w:overflowPunct w:val="0"/>
        <w:spacing w:line="240" w:lineRule="auto"/>
        <w:rPr>
          <w:rFonts w:hint="eastAsia" w:ascii="宋体" w:hAnsi="宋体" w:eastAsia="宋体" w:cs="宋体"/>
          <w:color w:val="auto"/>
          <w:highlight w:val="none"/>
        </w:rPr>
      </w:pPr>
      <w:bookmarkStart w:id="194" w:name="_Toc10094"/>
      <w:bookmarkStart w:id="195" w:name="_Toc1935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.承诺书格式</w:t>
      </w:r>
      <w:bookmarkEnd w:id="194"/>
      <w:bookmarkEnd w:id="195"/>
    </w:p>
    <w:p w14:paraId="217402F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承诺书</w:t>
      </w:r>
    </w:p>
    <w:p w14:paraId="6E2C62E0">
      <w:pPr>
        <w:pStyle w:val="47"/>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eastAsia="宋体" w:cs="宋体"/>
          <w:color w:val="auto"/>
          <w:sz w:val="21"/>
          <w:szCs w:val="21"/>
          <w:highlight w:val="none"/>
          <w:lang w:eastAsia="zh-CN"/>
        </w:rPr>
        <w:t>广州宏达工程顾问集团有限公司</w:t>
      </w:r>
      <w:r>
        <w:rPr>
          <w:rFonts w:hint="eastAsia" w:ascii="宋体" w:hAnsi="宋体" w:eastAsia="宋体" w:cs="宋体"/>
          <w:color w:val="auto"/>
          <w:sz w:val="21"/>
          <w:szCs w:val="21"/>
          <w:highlight w:val="none"/>
        </w:rPr>
        <w:t>：</w:t>
      </w:r>
    </w:p>
    <w:p w14:paraId="5160FCC6">
      <w:pPr>
        <w:jc w:val="center"/>
        <w:rPr>
          <w:rFonts w:hint="eastAsia" w:ascii="宋体" w:hAnsi="宋体" w:eastAsia="宋体" w:cs="宋体"/>
          <w:color w:val="auto"/>
          <w:szCs w:val="21"/>
          <w:highlight w:val="none"/>
        </w:rPr>
      </w:pPr>
    </w:p>
    <w:p w14:paraId="14C2015A">
      <w:pPr>
        <w:pStyle w:val="47"/>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我方已完整阅读了</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hAnsi="宋体" w:eastAsia="宋体" w:cs="宋体"/>
          <w:color w:val="auto"/>
          <w:sz w:val="21"/>
          <w:szCs w:val="21"/>
          <w:highlight w:val="none"/>
        </w:rPr>
        <w:cr/>
      </w:r>
    </w:p>
    <w:p w14:paraId="6C91A2D7">
      <w:pPr>
        <w:pStyle w:val="47"/>
        <w:spacing w:line="420" w:lineRule="exact"/>
        <w:ind w:firstLine="433"/>
        <w:rPr>
          <w:rFonts w:hint="eastAsia" w:ascii="宋体" w:hAnsi="宋体" w:eastAsia="宋体" w:cs="宋体"/>
          <w:color w:val="auto"/>
          <w:sz w:val="21"/>
          <w:szCs w:val="21"/>
          <w:highlight w:val="none"/>
        </w:rPr>
      </w:pPr>
    </w:p>
    <w:p w14:paraId="6EF3B184">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14:paraId="6BE88525">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法定代表人或被授权人（签名或盖私章）：</w:t>
      </w:r>
    </w:p>
    <w:p w14:paraId="0C35750E">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4521040E">
      <w:pPr>
        <w:rPr>
          <w:rFonts w:hint="eastAsia" w:ascii="宋体" w:hAnsi="宋体" w:eastAsia="宋体" w:cs="宋体"/>
          <w:color w:val="auto"/>
          <w:highlight w:val="none"/>
        </w:rPr>
      </w:pPr>
    </w:p>
    <w:p w14:paraId="5FE9E5FF">
      <w:pPr>
        <w:rPr>
          <w:rFonts w:hint="eastAsia" w:ascii="宋体" w:hAnsi="宋体" w:eastAsia="宋体" w:cs="宋体"/>
          <w:color w:val="auto"/>
          <w:szCs w:val="21"/>
          <w:highlight w:val="none"/>
        </w:rPr>
      </w:pPr>
    </w:p>
    <w:p w14:paraId="4F2F0AA8">
      <w:pPr>
        <w:pStyle w:val="13"/>
        <w:rPr>
          <w:rFonts w:hint="eastAsia" w:ascii="宋体" w:hAnsi="宋体" w:eastAsia="宋体" w:cs="宋体"/>
          <w:color w:val="auto"/>
          <w:sz w:val="21"/>
          <w:szCs w:val="21"/>
          <w:highlight w:val="none"/>
        </w:rPr>
      </w:pPr>
    </w:p>
    <w:p w14:paraId="69A8B0D6">
      <w:pPr>
        <w:rPr>
          <w:rFonts w:hint="eastAsia" w:ascii="宋体" w:hAnsi="宋体" w:eastAsia="宋体" w:cs="宋体"/>
          <w:color w:val="auto"/>
          <w:szCs w:val="21"/>
          <w:highlight w:val="none"/>
        </w:rPr>
      </w:pPr>
    </w:p>
    <w:p w14:paraId="4C00C438">
      <w:pPr>
        <w:pStyle w:val="13"/>
        <w:rPr>
          <w:rFonts w:hint="eastAsia" w:ascii="宋体" w:hAnsi="宋体" w:eastAsia="宋体" w:cs="宋体"/>
          <w:color w:val="auto"/>
          <w:sz w:val="21"/>
          <w:szCs w:val="21"/>
          <w:highlight w:val="none"/>
        </w:rPr>
      </w:pPr>
    </w:p>
    <w:p w14:paraId="0BF52BA8">
      <w:pPr>
        <w:rPr>
          <w:rFonts w:hint="eastAsia" w:ascii="宋体" w:hAnsi="宋体" w:eastAsia="宋体" w:cs="宋体"/>
          <w:color w:val="auto"/>
          <w:szCs w:val="21"/>
          <w:highlight w:val="none"/>
        </w:rPr>
      </w:pPr>
    </w:p>
    <w:p w14:paraId="00034DEF">
      <w:pPr>
        <w:pStyle w:val="13"/>
        <w:rPr>
          <w:rFonts w:hint="eastAsia" w:ascii="宋体" w:hAnsi="宋体" w:eastAsia="宋体" w:cs="宋体"/>
          <w:color w:val="auto"/>
          <w:sz w:val="21"/>
          <w:szCs w:val="21"/>
          <w:highlight w:val="none"/>
        </w:rPr>
      </w:pPr>
    </w:p>
    <w:p w14:paraId="663678C8">
      <w:pPr>
        <w:rPr>
          <w:rFonts w:hint="eastAsia" w:ascii="宋体" w:hAnsi="宋体" w:eastAsia="宋体" w:cs="宋体"/>
          <w:color w:val="auto"/>
          <w:szCs w:val="21"/>
          <w:highlight w:val="none"/>
        </w:rPr>
      </w:pPr>
    </w:p>
    <w:p w14:paraId="4A487B2C">
      <w:pPr>
        <w:pStyle w:val="13"/>
        <w:rPr>
          <w:rFonts w:hint="eastAsia" w:ascii="宋体" w:hAnsi="宋体" w:eastAsia="宋体" w:cs="宋体"/>
          <w:color w:val="auto"/>
          <w:sz w:val="21"/>
          <w:szCs w:val="21"/>
          <w:highlight w:val="none"/>
        </w:rPr>
      </w:pPr>
    </w:p>
    <w:p w14:paraId="5211CAF9">
      <w:pPr>
        <w:rPr>
          <w:rFonts w:hint="eastAsia" w:ascii="宋体" w:hAnsi="宋体" w:eastAsia="宋体" w:cs="宋体"/>
          <w:color w:val="auto"/>
          <w:szCs w:val="21"/>
          <w:highlight w:val="none"/>
        </w:rPr>
      </w:pPr>
    </w:p>
    <w:p w14:paraId="6D17945F">
      <w:pPr>
        <w:pStyle w:val="13"/>
        <w:rPr>
          <w:rFonts w:hint="eastAsia" w:ascii="宋体" w:hAnsi="宋体" w:eastAsia="宋体" w:cs="宋体"/>
          <w:color w:val="auto"/>
          <w:sz w:val="21"/>
          <w:szCs w:val="21"/>
          <w:highlight w:val="none"/>
        </w:rPr>
      </w:pPr>
    </w:p>
    <w:p w14:paraId="563A146F">
      <w:pPr>
        <w:rPr>
          <w:rFonts w:hint="eastAsia" w:ascii="宋体" w:hAnsi="宋体" w:eastAsia="宋体" w:cs="宋体"/>
          <w:color w:val="auto"/>
          <w:szCs w:val="21"/>
          <w:highlight w:val="none"/>
        </w:rPr>
      </w:pPr>
    </w:p>
    <w:p w14:paraId="03ED34CD">
      <w:pPr>
        <w:pStyle w:val="13"/>
        <w:rPr>
          <w:rFonts w:hint="eastAsia" w:ascii="宋体" w:hAnsi="宋体" w:eastAsia="宋体" w:cs="宋体"/>
          <w:color w:val="auto"/>
          <w:sz w:val="21"/>
          <w:szCs w:val="21"/>
          <w:highlight w:val="none"/>
        </w:rPr>
      </w:pPr>
    </w:p>
    <w:p w14:paraId="238EB14B">
      <w:pPr>
        <w:rPr>
          <w:rFonts w:hint="eastAsia" w:ascii="宋体" w:hAnsi="宋体" w:eastAsia="宋体" w:cs="宋体"/>
          <w:color w:val="auto"/>
          <w:szCs w:val="21"/>
          <w:highlight w:val="none"/>
        </w:rPr>
      </w:pPr>
    </w:p>
    <w:p w14:paraId="0BA1F569">
      <w:pPr>
        <w:pStyle w:val="13"/>
        <w:rPr>
          <w:rFonts w:hint="eastAsia" w:ascii="宋体" w:hAnsi="宋体" w:eastAsia="宋体" w:cs="宋体"/>
          <w:color w:val="auto"/>
          <w:sz w:val="21"/>
          <w:szCs w:val="21"/>
          <w:highlight w:val="none"/>
        </w:rPr>
      </w:pPr>
    </w:p>
    <w:p w14:paraId="4D3F5F51">
      <w:pPr>
        <w:rPr>
          <w:rFonts w:hint="eastAsia" w:ascii="宋体" w:hAnsi="宋体" w:eastAsia="宋体" w:cs="宋体"/>
          <w:color w:val="auto"/>
          <w:szCs w:val="21"/>
          <w:highlight w:val="none"/>
        </w:rPr>
      </w:pPr>
    </w:p>
    <w:p w14:paraId="5846E5FE">
      <w:pPr>
        <w:pStyle w:val="13"/>
        <w:rPr>
          <w:rFonts w:hint="eastAsia" w:ascii="宋体" w:hAnsi="宋体" w:eastAsia="宋体" w:cs="宋体"/>
          <w:color w:val="auto"/>
          <w:sz w:val="21"/>
          <w:szCs w:val="21"/>
          <w:highlight w:val="none"/>
        </w:rPr>
      </w:pPr>
    </w:p>
    <w:p w14:paraId="43DE671A">
      <w:pPr>
        <w:rPr>
          <w:rFonts w:hint="eastAsia" w:ascii="宋体" w:hAnsi="宋体" w:eastAsia="宋体" w:cs="宋体"/>
          <w:color w:val="auto"/>
          <w:highlight w:val="none"/>
        </w:rPr>
      </w:pPr>
    </w:p>
    <w:p w14:paraId="6A098BCB">
      <w:pPr>
        <w:pStyle w:val="5"/>
        <w:widowControl w:val="0"/>
        <w:overflowPunct w:val="0"/>
        <w:spacing w:line="240" w:lineRule="auto"/>
        <w:rPr>
          <w:rFonts w:hint="eastAsia" w:ascii="宋体" w:hAnsi="宋体" w:eastAsia="宋体" w:cs="宋体"/>
          <w:color w:val="auto"/>
          <w:sz w:val="21"/>
          <w:szCs w:val="21"/>
          <w:highlight w:val="none"/>
        </w:rPr>
      </w:pPr>
      <w:bookmarkStart w:id="196" w:name="_Toc14917"/>
      <w:bookmarkStart w:id="197" w:name="_Toc7689"/>
      <w:bookmarkStart w:id="198" w:name="_Toc8279"/>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.商务需求条款偏离表格式</w:t>
      </w:r>
      <w:bookmarkEnd w:id="196"/>
      <w:bookmarkEnd w:id="197"/>
      <w:bookmarkEnd w:id="198"/>
    </w:p>
    <w:p w14:paraId="64CAA8DC">
      <w:pPr>
        <w:jc w:val="center"/>
        <w:rPr>
          <w:rFonts w:hint="eastAsia" w:ascii="宋体" w:hAnsi="宋体" w:eastAsia="宋体" w:cs="宋体"/>
          <w:color w:val="auto"/>
          <w:sz w:val="28"/>
          <w:szCs w:val="28"/>
          <w:highlight w:val="none"/>
        </w:rPr>
      </w:pPr>
    </w:p>
    <w:p w14:paraId="53BA38D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商务需求条款偏离表</w:t>
      </w:r>
    </w:p>
    <w:tbl>
      <w:tblPr>
        <w:tblStyle w:val="31"/>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7A1B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20E6F00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20" w:type="dxa"/>
            <w:vAlign w:val="center"/>
          </w:tcPr>
          <w:p w14:paraId="16CA61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60" w:type="dxa"/>
            <w:vAlign w:val="center"/>
          </w:tcPr>
          <w:p w14:paraId="59005E9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587" w:type="dxa"/>
            <w:vAlign w:val="center"/>
          </w:tcPr>
          <w:p w14:paraId="219515A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133" w:type="dxa"/>
            <w:vAlign w:val="center"/>
          </w:tcPr>
          <w:p w14:paraId="31741F8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w:t>
            </w:r>
          </w:p>
        </w:tc>
        <w:tc>
          <w:tcPr>
            <w:tcW w:w="1730" w:type="dxa"/>
            <w:vAlign w:val="center"/>
          </w:tcPr>
          <w:p w14:paraId="3E2EA14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179C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91BA315">
            <w:pPr>
              <w:jc w:val="center"/>
              <w:rPr>
                <w:rFonts w:hint="eastAsia" w:ascii="宋体" w:hAnsi="宋体" w:eastAsia="宋体" w:cs="宋体"/>
                <w:color w:val="auto"/>
                <w:szCs w:val="21"/>
                <w:highlight w:val="none"/>
              </w:rPr>
            </w:pPr>
          </w:p>
        </w:tc>
        <w:tc>
          <w:tcPr>
            <w:tcW w:w="1620" w:type="dxa"/>
            <w:vAlign w:val="center"/>
          </w:tcPr>
          <w:p w14:paraId="5F33DDEC">
            <w:pPr>
              <w:jc w:val="center"/>
              <w:rPr>
                <w:rFonts w:hint="eastAsia" w:ascii="宋体" w:hAnsi="宋体" w:eastAsia="宋体" w:cs="宋体"/>
                <w:color w:val="auto"/>
                <w:szCs w:val="21"/>
                <w:highlight w:val="none"/>
              </w:rPr>
            </w:pPr>
          </w:p>
        </w:tc>
        <w:tc>
          <w:tcPr>
            <w:tcW w:w="1360" w:type="dxa"/>
            <w:vAlign w:val="center"/>
          </w:tcPr>
          <w:p w14:paraId="10C57ABB">
            <w:pPr>
              <w:jc w:val="center"/>
              <w:rPr>
                <w:rFonts w:hint="eastAsia" w:ascii="宋体" w:hAnsi="宋体" w:eastAsia="宋体" w:cs="宋体"/>
                <w:color w:val="auto"/>
                <w:szCs w:val="21"/>
                <w:highlight w:val="none"/>
              </w:rPr>
            </w:pPr>
          </w:p>
        </w:tc>
        <w:tc>
          <w:tcPr>
            <w:tcW w:w="1587" w:type="dxa"/>
            <w:vAlign w:val="center"/>
          </w:tcPr>
          <w:p w14:paraId="3A4E029A">
            <w:pPr>
              <w:jc w:val="center"/>
              <w:rPr>
                <w:rFonts w:hint="eastAsia" w:ascii="宋体" w:hAnsi="宋体" w:eastAsia="宋体" w:cs="宋体"/>
                <w:color w:val="auto"/>
                <w:szCs w:val="21"/>
                <w:highlight w:val="none"/>
              </w:rPr>
            </w:pPr>
          </w:p>
        </w:tc>
        <w:tc>
          <w:tcPr>
            <w:tcW w:w="1133" w:type="dxa"/>
            <w:vAlign w:val="center"/>
          </w:tcPr>
          <w:p w14:paraId="74F7AF2B">
            <w:pPr>
              <w:jc w:val="center"/>
              <w:rPr>
                <w:rFonts w:hint="eastAsia" w:ascii="宋体" w:hAnsi="宋体" w:eastAsia="宋体" w:cs="宋体"/>
                <w:color w:val="auto"/>
                <w:szCs w:val="21"/>
                <w:highlight w:val="none"/>
              </w:rPr>
            </w:pPr>
          </w:p>
        </w:tc>
        <w:tc>
          <w:tcPr>
            <w:tcW w:w="1730" w:type="dxa"/>
            <w:vAlign w:val="center"/>
          </w:tcPr>
          <w:p w14:paraId="2A2B7287">
            <w:pPr>
              <w:jc w:val="center"/>
              <w:rPr>
                <w:rFonts w:hint="eastAsia" w:ascii="宋体" w:hAnsi="宋体" w:eastAsia="宋体" w:cs="宋体"/>
                <w:color w:val="auto"/>
                <w:szCs w:val="21"/>
                <w:highlight w:val="none"/>
              </w:rPr>
            </w:pPr>
          </w:p>
        </w:tc>
      </w:tr>
      <w:tr w14:paraId="32DC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A748EF">
            <w:pPr>
              <w:jc w:val="center"/>
              <w:rPr>
                <w:rFonts w:hint="eastAsia" w:ascii="宋体" w:hAnsi="宋体" w:eastAsia="宋体" w:cs="宋体"/>
                <w:color w:val="auto"/>
                <w:szCs w:val="21"/>
                <w:highlight w:val="none"/>
              </w:rPr>
            </w:pPr>
          </w:p>
        </w:tc>
        <w:tc>
          <w:tcPr>
            <w:tcW w:w="1620" w:type="dxa"/>
            <w:vAlign w:val="center"/>
          </w:tcPr>
          <w:p w14:paraId="7D55D36A">
            <w:pPr>
              <w:jc w:val="center"/>
              <w:rPr>
                <w:rFonts w:hint="eastAsia" w:ascii="宋体" w:hAnsi="宋体" w:eastAsia="宋体" w:cs="宋体"/>
                <w:color w:val="auto"/>
                <w:szCs w:val="21"/>
                <w:highlight w:val="none"/>
              </w:rPr>
            </w:pPr>
          </w:p>
        </w:tc>
        <w:tc>
          <w:tcPr>
            <w:tcW w:w="1360" w:type="dxa"/>
            <w:vAlign w:val="center"/>
          </w:tcPr>
          <w:p w14:paraId="6DE569D7">
            <w:pPr>
              <w:jc w:val="center"/>
              <w:rPr>
                <w:rFonts w:hint="eastAsia" w:ascii="宋体" w:hAnsi="宋体" w:eastAsia="宋体" w:cs="宋体"/>
                <w:color w:val="auto"/>
                <w:szCs w:val="21"/>
                <w:highlight w:val="none"/>
              </w:rPr>
            </w:pPr>
          </w:p>
        </w:tc>
        <w:tc>
          <w:tcPr>
            <w:tcW w:w="1587" w:type="dxa"/>
            <w:vAlign w:val="center"/>
          </w:tcPr>
          <w:p w14:paraId="6E368C9C">
            <w:pPr>
              <w:jc w:val="center"/>
              <w:rPr>
                <w:rFonts w:hint="eastAsia" w:ascii="宋体" w:hAnsi="宋体" w:eastAsia="宋体" w:cs="宋体"/>
                <w:color w:val="auto"/>
                <w:szCs w:val="21"/>
                <w:highlight w:val="none"/>
              </w:rPr>
            </w:pPr>
          </w:p>
        </w:tc>
        <w:tc>
          <w:tcPr>
            <w:tcW w:w="1133" w:type="dxa"/>
            <w:vAlign w:val="center"/>
          </w:tcPr>
          <w:p w14:paraId="4137368C">
            <w:pPr>
              <w:jc w:val="center"/>
              <w:rPr>
                <w:rFonts w:hint="eastAsia" w:ascii="宋体" w:hAnsi="宋体" w:eastAsia="宋体" w:cs="宋体"/>
                <w:color w:val="auto"/>
                <w:szCs w:val="21"/>
                <w:highlight w:val="none"/>
              </w:rPr>
            </w:pPr>
          </w:p>
        </w:tc>
        <w:tc>
          <w:tcPr>
            <w:tcW w:w="1730" w:type="dxa"/>
            <w:vAlign w:val="center"/>
          </w:tcPr>
          <w:p w14:paraId="6EAB23DE">
            <w:pPr>
              <w:jc w:val="center"/>
              <w:rPr>
                <w:rFonts w:hint="eastAsia" w:ascii="宋体" w:hAnsi="宋体" w:eastAsia="宋体" w:cs="宋体"/>
                <w:color w:val="auto"/>
                <w:szCs w:val="21"/>
                <w:highlight w:val="none"/>
              </w:rPr>
            </w:pPr>
          </w:p>
        </w:tc>
      </w:tr>
      <w:tr w14:paraId="48CC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44AAE24">
            <w:pPr>
              <w:jc w:val="center"/>
              <w:rPr>
                <w:rFonts w:hint="eastAsia" w:ascii="宋体" w:hAnsi="宋体" w:eastAsia="宋体" w:cs="宋体"/>
                <w:color w:val="auto"/>
                <w:szCs w:val="21"/>
                <w:highlight w:val="none"/>
              </w:rPr>
            </w:pPr>
          </w:p>
        </w:tc>
        <w:tc>
          <w:tcPr>
            <w:tcW w:w="1620" w:type="dxa"/>
            <w:vAlign w:val="center"/>
          </w:tcPr>
          <w:p w14:paraId="098263E2">
            <w:pPr>
              <w:jc w:val="center"/>
              <w:rPr>
                <w:rFonts w:hint="eastAsia" w:ascii="宋体" w:hAnsi="宋体" w:eastAsia="宋体" w:cs="宋体"/>
                <w:color w:val="auto"/>
                <w:szCs w:val="21"/>
                <w:highlight w:val="none"/>
              </w:rPr>
            </w:pPr>
          </w:p>
        </w:tc>
        <w:tc>
          <w:tcPr>
            <w:tcW w:w="1360" w:type="dxa"/>
            <w:vAlign w:val="center"/>
          </w:tcPr>
          <w:p w14:paraId="0EFFCEF7">
            <w:pPr>
              <w:jc w:val="center"/>
              <w:rPr>
                <w:rFonts w:hint="eastAsia" w:ascii="宋体" w:hAnsi="宋体" w:eastAsia="宋体" w:cs="宋体"/>
                <w:color w:val="auto"/>
                <w:szCs w:val="21"/>
                <w:highlight w:val="none"/>
              </w:rPr>
            </w:pPr>
          </w:p>
        </w:tc>
        <w:tc>
          <w:tcPr>
            <w:tcW w:w="1587" w:type="dxa"/>
            <w:vAlign w:val="center"/>
          </w:tcPr>
          <w:p w14:paraId="6FA255B3">
            <w:pPr>
              <w:jc w:val="center"/>
              <w:rPr>
                <w:rFonts w:hint="eastAsia" w:ascii="宋体" w:hAnsi="宋体" w:eastAsia="宋体" w:cs="宋体"/>
                <w:color w:val="auto"/>
                <w:szCs w:val="21"/>
                <w:highlight w:val="none"/>
              </w:rPr>
            </w:pPr>
          </w:p>
        </w:tc>
        <w:tc>
          <w:tcPr>
            <w:tcW w:w="1133" w:type="dxa"/>
            <w:vAlign w:val="center"/>
          </w:tcPr>
          <w:p w14:paraId="78DED798">
            <w:pPr>
              <w:jc w:val="center"/>
              <w:rPr>
                <w:rFonts w:hint="eastAsia" w:ascii="宋体" w:hAnsi="宋体" w:eastAsia="宋体" w:cs="宋体"/>
                <w:color w:val="auto"/>
                <w:szCs w:val="21"/>
                <w:highlight w:val="none"/>
              </w:rPr>
            </w:pPr>
          </w:p>
        </w:tc>
        <w:tc>
          <w:tcPr>
            <w:tcW w:w="1730" w:type="dxa"/>
            <w:vAlign w:val="center"/>
          </w:tcPr>
          <w:p w14:paraId="48C28D9C">
            <w:pPr>
              <w:jc w:val="center"/>
              <w:rPr>
                <w:rFonts w:hint="eastAsia" w:ascii="宋体" w:hAnsi="宋体" w:eastAsia="宋体" w:cs="宋体"/>
                <w:color w:val="auto"/>
                <w:szCs w:val="21"/>
                <w:highlight w:val="none"/>
              </w:rPr>
            </w:pPr>
          </w:p>
        </w:tc>
      </w:tr>
      <w:tr w14:paraId="2400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2FDC4E2">
            <w:pPr>
              <w:jc w:val="center"/>
              <w:rPr>
                <w:rFonts w:hint="eastAsia" w:ascii="宋体" w:hAnsi="宋体" w:eastAsia="宋体" w:cs="宋体"/>
                <w:color w:val="auto"/>
                <w:szCs w:val="21"/>
                <w:highlight w:val="none"/>
              </w:rPr>
            </w:pPr>
          </w:p>
        </w:tc>
        <w:tc>
          <w:tcPr>
            <w:tcW w:w="1620" w:type="dxa"/>
            <w:vAlign w:val="center"/>
          </w:tcPr>
          <w:p w14:paraId="43C876BD">
            <w:pPr>
              <w:jc w:val="center"/>
              <w:rPr>
                <w:rFonts w:hint="eastAsia" w:ascii="宋体" w:hAnsi="宋体" w:eastAsia="宋体" w:cs="宋体"/>
                <w:color w:val="auto"/>
                <w:szCs w:val="21"/>
                <w:highlight w:val="none"/>
              </w:rPr>
            </w:pPr>
          </w:p>
        </w:tc>
        <w:tc>
          <w:tcPr>
            <w:tcW w:w="1360" w:type="dxa"/>
            <w:vAlign w:val="center"/>
          </w:tcPr>
          <w:p w14:paraId="5E7CE5C2">
            <w:pPr>
              <w:jc w:val="center"/>
              <w:rPr>
                <w:rFonts w:hint="eastAsia" w:ascii="宋体" w:hAnsi="宋体" w:eastAsia="宋体" w:cs="宋体"/>
                <w:color w:val="auto"/>
                <w:szCs w:val="21"/>
                <w:highlight w:val="none"/>
              </w:rPr>
            </w:pPr>
          </w:p>
        </w:tc>
        <w:tc>
          <w:tcPr>
            <w:tcW w:w="1587" w:type="dxa"/>
            <w:vAlign w:val="center"/>
          </w:tcPr>
          <w:p w14:paraId="397AFBC3">
            <w:pPr>
              <w:jc w:val="center"/>
              <w:rPr>
                <w:rFonts w:hint="eastAsia" w:ascii="宋体" w:hAnsi="宋体" w:eastAsia="宋体" w:cs="宋体"/>
                <w:color w:val="auto"/>
                <w:szCs w:val="21"/>
                <w:highlight w:val="none"/>
              </w:rPr>
            </w:pPr>
          </w:p>
        </w:tc>
        <w:tc>
          <w:tcPr>
            <w:tcW w:w="1133" w:type="dxa"/>
            <w:vAlign w:val="center"/>
          </w:tcPr>
          <w:p w14:paraId="6A912B55">
            <w:pPr>
              <w:jc w:val="center"/>
              <w:rPr>
                <w:rFonts w:hint="eastAsia" w:ascii="宋体" w:hAnsi="宋体" w:eastAsia="宋体" w:cs="宋体"/>
                <w:color w:val="auto"/>
                <w:szCs w:val="21"/>
                <w:highlight w:val="none"/>
              </w:rPr>
            </w:pPr>
          </w:p>
        </w:tc>
        <w:tc>
          <w:tcPr>
            <w:tcW w:w="1730" w:type="dxa"/>
            <w:vAlign w:val="center"/>
          </w:tcPr>
          <w:p w14:paraId="38083F3F">
            <w:pPr>
              <w:jc w:val="center"/>
              <w:rPr>
                <w:rFonts w:hint="eastAsia" w:ascii="宋体" w:hAnsi="宋体" w:eastAsia="宋体" w:cs="宋体"/>
                <w:color w:val="auto"/>
                <w:szCs w:val="21"/>
                <w:highlight w:val="none"/>
              </w:rPr>
            </w:pPr>
          </w:p>
        </w:tc>
      </w:tr>
      <w:tr w14:paraId="60B2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9370917">
            <w:pPr>
              <w:jc w:val="center"/>
              <w:rPr>
                <w:rFonts w:hint="eastAsia" w:ascii="宋体" w:hAnsi="宋体" w:eastAsia="宋体" w:cs="宋体"/>
                <w:color w:val="auto"/>
                <w:szCs w:val="21"/>
                <w:highlight w:val="none"/>
              </w:rPr>
            </w:pPr>
          </w:p>
        </w:tc>
        <w:tc>
          <w:tcPr>
            <w:tcW w:w="1620" w:type="dxa"/>
            <w:vAlign w:val="center"/>
          </w:tcPr>
          <w:p w14:paraId="39364ED3">
            <w:pPr>
              <w:jc w:val="center"/>
              <w:rPr>
                <w:rFonts w:hint="eastAsia" w:ascii="宋体" w:hAnsi="宋体" w:eastAsia="宋体" w:cs="宋体"/>
                <w:color w:val="auto"/>
                <w:szCs w:val="21"/>
                <w:highlight w:val="none"/>
              </w:rPr>
            </w:pPr>
          </w:p>
        </w:tc>
        <w:tc>
          <w:tcPr>
            <w:tcW w:w="1360" w:type="dxa"/>
            <w:vAlign w:val="center"/>
          </w:tcPr>
          <w:p w14:paraId="6AA9DD84">
            <w:pPr>
              <w:jc w:val="center"/>
              <w:rPr>
                <w:rFonts w:hint="eastAsia" w:ascii="宋体" w:hAnsi="宋体" w:eastAsia="宋体" w:cs="宋体"/>
                <w:color w:val="auto"/>
                <w:szCs w:val="21"/>
                <w:highlight w:val="none"/>
              </w:rPr>
            </w:pPr>
          </w:p>
        </w:tc>
        <w:tc>
          <w:tcPr>
            <w:tcW w:w="1587" w:type="dxa"/>
            <w:vAlign w:val="center"/>
          </w:tcPr>
          <w:p w14:paraId="24A5D00A">
            <w:pPr>
              <w:jc w:val="center"/>
              <w:rPr>
                <w:rFonts w:hint="eastAsia" w:ascii="宋体" w:hAnsi="宋体" w:eastAsia="宋体" w:cs="宋体"/>
                <w:color w:val="auto"/>
                <w:szCs w:val="21"/>
                <w:highlight w:val="none"/>
              </w:rPr>
            </w:pPr>
          </w:p>
        </w:tc>
        <w:tc>
          <w:tcPr>
            <w:tcW w:w="1133" w:type="dxa"/>
            <w:vAlign w:val="center"/>
          </w:tcPr>
          <w:p w14:paraId="6E3C9DA6">
            <w:pPr>
              <w:jc w:val="center"/>
              <w:rPr>
                <w:rFonts w:hint="eastAsia" w:ascii="宋体" w:hAnsi="宋体" w:eastAsia="宋体" w:cs="宋体"/>
                <w:color w:val="auto"/>
                <w:szCs w:val="21"/>
                <w:highlight w:val="none"/>
              </w:rPr>
            </w:pPr>
          </w:p>
        </w:tc>
        <w:tc>
          <w:tcPr>
            <w:tcW w:w="1730" w:type="dxa"/>
            <w:vAlign w:val="center"/>
          </w:tcPr>
          <w:p w14:paraId="7EAB3B82">
            <w:pPr>
              <w:jc w:val="center"/>
              <w:rPr>
                <w:rFonts w:hint="eastAsia" w:ascii="宋体" w:hAnsi="宋体" w:eastAsia="宋体" w:cs="宋体"/>
                <w:color w:val="auto"/>
                <w:szCs w:val="21"/>
                <w:highlight w:val="none"/>
              </w:rPr>
            </w:pPr>
          </w:p>
        </w:tc>
      </w:tr>
      <w:tr w14:paraId="2B0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E2417D4">
            <w:pPr>
              <w:jc w:val="center"/>
              <w:rPr>
                <w:rFonts w:hint="eastAsia" w:ascii="宋体" w:hAnsi="宋体" w:eastAsia="宋体" w:cs="宋体"/>
                <w:color w:val="auto"/>
                <w:szCs w:val="21"/>
                <w:highlight w:val="none"/>
              </w:rPr>
            </w:pPr>
          </w:p>
        </w:tc>
        <w:tc>
          <w:tcPr>
            <w:tcW w:w="1620" w:type="dxa"/>
            <w:vAlign w:val="center"/>
          </w:tcPr>
          <w:p w14:paraId="0B1906AD">
            <w:pPr>
              <w:jc w:val="center"/>
              <w:rPr>
                <w:rFonts w:hint="eastAsia" w:ascii="宋体" w:hAnsi="宋体" w:eastAsia="宋体" w:cs="宋体"/>
                <w:color w:val="auto"/>
                <w:szCs w:val="21"/>
                <w:highlight w:val="none"/>
              </w:rPr>
            </w:pPr>
          </w:p>
        </w:tc>
        <w:tc>
          <w:tcPr>
            <w:tcW w:w="1360" w:type="dxa"/>
            <w:vAlign w:val="center"/>
          </w:tcPr>
          <w:p w14:paraId="648EE160">
            <w:pPr>
              <w:jc w:val="center"/>
              <w:rPr>
                <w:rFonts w:hint="eastAsia" w:ascii="宋体" w:hAnsi="宋体" w:eastAsia="宋体" w:cs="宋体"/>
                <w:color w:val="auto"/>
                <w:szCs w:val="21"/>
                <w:highlight w:val="none"/>
              </w:rPr>
            </w:pPr>
          </w:p>
        </w:tc>
        <w:tc>
          <w:tcPr>
            <w:tcW w:w="1587" w:type="dxa"/>
            <w:vAlign w:val="center"/>
          </w:tcPr>
          <w:p w14:paraId="27B9B7A9">
            <w:pPr>
              <w:jc w:val="center"/>
              <w:rPr>
                <w:rFonts w:hint="eastAsia" w:ascii="宋体" w:hAnsi="宋体" w:eastAsia="宋体" w:cs="宋体"/>
                <w:color w:val="auto"/>
                <w:szCs w:val="21"/>
                <w:highlight w:val="none"/>
              </w:rPr>
            </w:pPr>
          </w:p>
        </w:tc>
        <w:tc>
          <w:tcPr>
            <w:tcW w:w="1133" w:type="dxa"/>
            <w:vAlign w:val="center"/>
          </w:tcPr>
          <w:p w14:paraId="0FB2CBD4">
            <w:pPr>
              <w:jc w:val="center"/>
              <w:rPr>
                <w:rFonts w:hint="eastAsia" w:ascii="宋体" w:hAnsi="宋体" w:eastAsia="宋体" w:cs="宋体"/>
                <w:color w:val="auto"/>
                <w:szCs w:val="21"/>
                <w:highlight w:val="none"/>
              </w:rPr>
            </w:pPr>
          </w:p>
        </w:tc>
        <w:tc>
          <w:tcPr>
            <w:tcW w:w="1730" w:type="dxa"/>
            <w:vAlign w:val="center"/>
          </w:tcPr>
          <w:p w14:paraId="7C9D46DA">
            <w:pPr>
              <w:jc w:val="center"/>
              <w:rPr>
                <w:rFonts w:hint="eastAsia" w:ascii="宋体" w:hAnsi="宋体" w:eastAsia="宋体" w:cs="宋体"/>
                <w:color w:val="auto"/>
                <w:szCs w:val="21"/>
                <w:highlight w:val="none"/>
              </w:rPr>
            </w:pPr>
          </w:p>
        </w:tc>
      </w:tr>
      <w:tr w14:paraId="267E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DA6D575">
            <w:pPr>
              <w:jc w:val="center"/>
              <w:rPr>
                <w:rFonts w:hint="eastAsia" w:ascii="宋体" w:hAnsi="宋体" w:eastAsia="宋体" w:cs="宋体"/>
                <w:color w:val="auto"/>
                <w:szCs w:val="21"/>
                <w:highlight w:val="none"/>
              </w:rPr>
            </w:pPr>
          </w:p>
        </w:tc>
        <w:tc>
          <w:tcPr>
            <w:tcW w:w="1620" w:type="dxa"/>
            <w:vAlign w:val="center"/>
          </w:tcPr>
          <w:p w14:paraId="2A925326">
            <w:pPr>
              <w:jc w:val="center"/>
              <w:rPr>
                <w:rFonts w:hint="eastAsia" w:ascii="宋体" w:hAnsi="宋体" w:eastAsia="宋体" w:cs="宋体"/>
                <w:color w:val="auto"/>
                <w:szCs w:val="21"/>
                <w:highlight w:val="none"/>
              </w:rPr>
            </w:pPr>
          </w:p>
        </w:tc>
        <w:tc>
          <w:tcPr>
            <w:tcW w:w="1360" w:type="dxa"/>
            <w:vAlign w:val="center"/>
          </w:tcPr>
          <w:p w14:paraId="0C76B14C">
            <w:pPr>
              <w:jc w:val="center"/>
              <w:rPr>
                <w:rFonts w:hint="eastAsia" w:ascii="宋体" w:hAnsi="宋体" w:eastAsia="宋体" w:cs="宋体"/>
                <w:color w:val="auto"/>
                <w:szCs w:val="21"/>
                <w:highlight w:val="none"/>
              </w:rPr>
            </w:pPr>
          </w:p>
        </w:tc>
        <w:tc>
          <w:tcPr>
            <w:tcW w:w="1587" w:type="dxa"/>
            <w:vAlign w:val="center"/>
          </w:tcPr>
          <w:p w14:paraId="2E0ADF35">
            <w:pPr>
              <w:jc w:val="center"/>
              <w:rPr>
                <w:rFonts w:hint="eastAsia" w:ascii="宋体" w:hAnsi="宋体" w:eastAsia="宋体" w:cs="宋体"/>
                <w:color w:val="auto"/>
                <w:szCs w:val="21"/>
                <w:highlight w:val="none"/>
              </w:rPr>
            </w:pPr>
          </w:p>
        </w:tc>
        <w:tc>
          <w:tcPr>
            <w:tcW w:w="1133" w:type="dxa"/>
            <w:vAlign w:val="center"/>
          </w:tcPr>
          <w:p w14:paraId="0AC51603">
            <w:pPr>
              <w:jc w:val="center"/>
              <w:rPr>
                <w:rFonts w:hint="eastAsia" w:ascii="宋体" w:hAnsi="宋体" w:eastAsia="宋体" w:cs="宋体"/>
                <w:color w:val="auto"/>
                <w:szCs w:val="21"/>
                <w:highlight w:val="none"/>
              </w:rPr>
            </w:pPr>
          </w:p>
        </w:tc>
        <w:tc>
          <w:tcPr>
            <w:tcW w:w="1730" w:type="dxa"/>
            <w:vAlign w:val="center"/>
          </w:tcPr>
          <w:p w14:paraId="7CF85D85">
            <w:pPr>
              <w:jc w:val="center"/>
              <w:rPr>
                <w:rFonts w:hint="eastAsia" w:ascii="宋体" w:hAnsi="宋体" w:eastAsia="宋体" w:cs="宋体"/>
                <w:color w:val="auto"/>
                <w:szCs w:val="21"/>
                <w:highlight w:val="none"/>
              </w:rPr>
            </w:pPr>
          </w:p>
        </w:tc>
      </w:tr>
      <w:tr w14:paraId="25AB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E9D19D9">
            <w:pPr>
              <w:jc w:val="center"/>
              <w:rPr>
                <w:rFonts w:hint="eastAsia" w:ascii="宋体" w:hAnsi="宋体" w:eastAsia="宋体" w:cs="宋体"/>
                <w:color w:val="auto"/>
                <w:szCs w:val="21"/>
                <w:highlight w:val="none"/>
              </w:rPr>
            </w:pPr>
          </w:p>
        </w:tc>
        <w:tc>
          <w:tcPr>
            <w:tcW w:w="1620" w:type="dxa"/>
            <w:vAlign w:val="center"/>
          </w:tcPr>
          <w:p w14:paraId="53BDF582">
            <w:pPr>
              <w:jc w:val="center"/>
              <w:rPr>
                <w:rFonts w:hint="eastAsia" w:ascii="宋体" w:hAnsi="宋体" w:eastAsia="宋体" w:cs="宋体"/>
                <w:color w:val="auto"/>
                <w:szCs w:val="21"/>
                <w:highlight w:val="none"/>
              </w:rPr>
            </w:pPr>
          </w:p>
        </w:tc>
        <w:tc>
          <w:tcPr>
            <w:tcW w:w="1360" w:type="dxa"/>
            <w:vAlign w:val="center"/>
          </w:tcPr>
          <w:p w14:paraId="29AC8993">
            <w:pPr>
              <w:jc w:val="center"/>
              <w:rPr>
                <w:rFonts w:hint="eastAsia" w:ascii="宋体" w:hAnsi="宋体" w:eastAsia="宋体" w:cs="宋体"/>
                <w:color w:val="auto"/>
                <w:szCs w:val="21"/>
                <w:highlight w:val="none"/>
              </w:rPr>
            </w:pPr>
          </w:p>
        </w:tc>
        <w:tc>
          <w:tcPr>
            <w:tcW w:w="1587" w:type="dxa"/>
            <w:vAlign w:val="center"/>
          </w:tcPr>
          <w:p w14:paraId="25B39758">
            <w:pPr>
              <w:jc w:val="center"/>
              <w:rPr>
                <w:rFonts w:hint="eastAsia" w:ascii="宋体" w:hAnsi="宋体" w:eastAsia="宋体" w:cs="宋体"/>
                <w:color w:val="auto"/>
                <w:szCs w:val="21"/>
                <w:highlight w:val="none"/>
              </w:rPr>
            </w:pPr>
          </w:p>
        </w:tc>
        <w:tc>
          <w:tcPr>
            <w:tcW w:w="1133" w:type="dxa"/>
            <w:vAlign w:val="center"/>
          </w:tcPr>
          <w:p w14:paraId="6E8D232E">
            <w:pPr>
              <w:jc w:val="center"/>
              <w:rPr>
                <w:rFonts w:hint="eastAsia" w:ascii="宋体" w:hAnsi="宋体" w:eastAsia="宋体" w:cs="宋体"/>
                <w:color w:val="auto"/>
                <w:szCs w:val="21"/>
                <w:highlight w:val="none"/>
              </w:rPr>
            </w:pPr>
          </w:p>
        </w:tc>
        <w:tc>
          <w:tcPr>
            <w:tcW w:w="1730" w:type="dxa"/>
            <w:vAlign w:val="center"/>
          </w:tcPr>
          <w:p w14:paraId="277492CC">
            <w:pPr>
              <w:jc w:val="center"/>
              <w:rPr>
                <w:rFonts w:hint="eastAsia" w:ascii="宋体" w:hAnsi="宋体" w:eastAsia="宋体" w:cs="宋体"/>
                <w:color w:val="auto"/>
                <w:szCs w:val="21"/>
                <w:highlight w:val="none"/>
              </w:rPr>
            </w:pPr>
          </w:p>
        </w:tc>
      </w:tr>
      <w:tr w14:paraId="09CB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7746CEA">
            <w:pPr>
              <w:jc w:val="center"/>
              <w:rPr>
                <w:rFonts w:hint="eastAsia" w:ascii="宋体" w:hAnsi="宋体" w:eastAsia="宋体" w:cs="宋体"/>
                <w:color w:val="auto"/>
                <w:szCs w:val="21"/>
                <w:highlight w:val="none"/>
              </w:rPr>
            </w:pPr>
          </w:p>
        </w:tc>
        <w:tc>
          <w:tcPr>
            <w:tcW w:w="1620" w:type="dxa"/>
            <w:vAlign w:val="center"/>
          </w:tcPr>
          <w:p w14:paraId="5F2DF39F">
            <w:pPr>
              <w:jc w:val="center"/>
              <w:rPr>
                <w:rFonts w:hint="eastAsia" w:ascii="宋体" w:hAnsi="宋体" w:eastAsia="宋体" w:cs="宋体"/>
                <w:color w:val="auto"/>
                <w:szCs w:val="21"/>
                <w:highlight w:val="none"/>
              </w:rPr>
            </w:pPr>
          </w:p>
        </w:tc>
        <w:tc>
          <w:tcPr>
            <w:tcW w:w="1360" w:type="dxa"/>
            <w:vAlign w:val="center"/>
          </w:tcPr>
          <w:p w14:paraId="1D056418">
            <w:pPr>
              <w:jc w:val="center"/>
              <w:rPr>
                <w:rFonts w:hint="eastAsia" w:ascii="宋体" w:hAnsi="宋体" w:eastAsia="宋体" w:cs="宋体"/>
                <w:color w:val="auto"/>
                <w:szCs w:val="21"/>
                <w:highlight w:val="none"/>
              </w:rPr>
            </w:pPr>
          </w:p>
        </w:tc>
        <w:tc>
          <w:tcPr>
            <w:tcW w:w="1587" w:type="dxa"/>
            <w:vAlign w:val="center"/>
          </w:tcPr>
          <w:p w14:paraId="7899CCDE">
            <w:pPr>
              <w:jc w:val="center"/>
              <w:rPr>
                <w:rFonts w:hint="eastAsia" w:ascii="宋体" w:hAnsi="宋体" w:eastAsia="宋体" w:cs="宋体"/>
                <w:color w:val="auto"/>
                <w:szCs w:val="21"/>
                <w:highlight w:val="none"/>
              </w:rPr>
            </w:pPr>
          </w:p>
        </w:tc>
        <w:tc>
          <w:tcPr>
            <w:tcW w:w="1133" w:type="dxa"/>
            <w:vAlign w:val="center"/>
          </w:tcPr>
          <w:p w14:paraId="450239DA">
            <w:pPr>
              <w:jc w:val="center"/>
              <w:rPr>
                <w:rFonts w:hint="eastAsia" w:ascii="宋体" w:hAnsi="宋体" w:eastAsia="宋体" w:cs="宋体"/>
                <w:color w:val="auto"/>
                <w:szCs w:val="21"/>
                <w:highlight w:val="none"/>
              </w:rPr>
            </w:pPr>
          </w:p>
        </w:tc>
        <w:tc>
          <w:tcPr>
            <w:tcW w:w="1730" w:type="dxa"/>
            <w:vAlign w:val="center"/>
          </w:tcPr>
          <w:p w14:paraId="1EF80CB5">
            <w:pPr>
              <w:jc w:val="center"/>
              <w:rPr>
                <w:rFonts w:hint="eastAsia" w:ascii="宋体" w:hAnsi="宋体" w:eastAsia="宋体" w:cs="宋体"/>
                <w:color w:val="auto"/>
                <w:szCs w:val="21"/>
                <w:highlight w:val="none"/>
              </w:rPr>
            </w:pPr>
          </w:p>
        </w:tc>
      </w:tr>
      <w:tr w14:paraId="173B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D033DDE">
            <w:pPr>
              <w:jc w:val="center"/>
              <w:rPr>
                <w:rFonts w:hint="eastAsia" w:ascii="宋体" w:hAnsi="宋体" w:eastAsia="宋体" w:cs="宋体"/>
                <w:color w:val="auto"/>
                <w:szCs w:val="21"/>
                <w:highlight w:val="none"/>
              </w:rPr>
            </w:pPr>
          </w:p>
        </w:tc>
        <w:tc>
          <w:tcPr>
            <w:tcW w:w="1620" w:type="dxa"/>
            <w:vAlign w:val="center"/>
          </w:tcPr>
          <w:p w14:paraId="1A31AAAB">
            <w:pPr>
              <w:jc w:val="center"/>
              <w:rPr>
                <w:rFonts w:hint="eastAsia" w:ascii="宋体" w:hAnsi="宋体" w:eastAsia="宋体" w:cs="宋体"/>
                <w:color w:val="auto"/>
                <w:szCs w:val="21"/>
                <w:highlight w:val="none"/>
              </w:rPr>
            </w:pPr>
          </w:p>
        </w:tc>
        <w:tc>
          <w:tcPr>
            <w:tcW w:w="1360" w:type="dxa"/>
            <w:vAlign w:val="center"/>
          </w:tcPr>
          <w:p w14:paraId="33691CC9">
            <w:pPr>
              <w:jc w:val="center"/>
              <w:rPr>
                <w:rFonts w:hint="eastAsia" w:ascii="宋体" w:hAnsi="宋体" w:eastAsia="宋体" w:cs="宋体"/>
                <w:color w:val="auto"/>
                <w:szCs w:val="21"/>
                <w:highlight w:val="none"/>
              </w:rPr>
            </w:pPr>
          </w:p>
        </w:tc>
        <w:tc>
          <w:tcPr>
            <w:tcW w:w="1587" w:type="dxa"/>
            <w:vAlign w:val="center"/>
          </w:tcPr>
          <w:p w14:paraId="3AE18AAB">
            <w:pPr>
              <w:jc w:val="center"/>
              <w:rPr>
                <w:rFonts w:hint="eastAsia" w:ascii="宋体" w:hAnsi="宋体" w:eastAsia="宋体" w:cs="宋体"/>
                <w:color w:val="auto"/>
                <w:szCs w:val="21"/>
                <w:highlight w:val="none"/>
              </w:rPr>
            </w:pPr>
          </w:p>
        </w:tc>
        <w:tc>
          <w:tcPr>
            <w:tcW w:w="1133" w:type="dxa"/>
            <w:vAlign w:val="center"/>
          </w:tcPr>
          <w:p w14:paraId="07D2E63B">
            <w:pPr>
              <w:jc w:val="center"/>
              <w:rPr>
                <w:rFonts w:hint="eastAsia" w:ascii="宋体" w:hAnsi="宋体" w:eastAsia="宋体" w:cs="宋体"/>
                <w:color w:val="auto"/>
                <w:szCs w:val="21"/>
                <w:highlight w:val="none"/>
              </w:rPr>
            </w:pPr>
          </w:p>
        </w:tc>
        <w:tc>
          <w:tcPr>
            <w:tcW w:w="1730" w:type="dxa"/>
            <w:vAlign w:val="center"/>
          </w:tcPr>
          <w:p w14:paraId="612CE490">
            <w:pPr>
              <w:jc w:val="center"/>
              <w:rPr>
                <w:rFonts w:hint="eastAsia" w:ascii="宋体" w:hAnsi="宋体" w:eastAsia="宋体" w:cs="宋体"/>
                <w:color w:val="auto"/>
                <w:szCs w:val="21"/>
                <w:highlight w:val="none"/>
              </w:rPr>
            </w:pPr>
          </w:p>
        </w:tc>
      </w:tr>
    </w:tbl>
    <w:p w14:paraId="338EF257">
      <w:pPr>
        <w:rPr>
          <w:rFonts w:hint="eastAsia" w:ascii="宋体" w:hAnsi="宋体" w:eastAsia="宋体" w:cs="宋体"/>
          <w:color w:val="auto"/>
          <w:szCs w:val="21"/>
          <w:highlight w:val="none"/>
        </w:rPr>
      </w:pPr>
    </w:p>
    <w:p w14:paraId="18D29D2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2CD5701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7F4113B3">
      <w:pPr>
        <w:rPr>
          <w:rFonts w:hint="eastAsia" w:ascii="宋体" w:hAnsi="宋体" w:eastAsia="宋体" w:cs="宋体"/>
          <w:color w:val="auto"/>
          <w:szCs w:val="21"/>
          <w:highlight w:val="none"/>
        </w:rPr>
      </w:pPr>
    </w:p>
    <w:p w14:paraId="1F87990A">
      <w:pPr>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A8EA35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1、投标人应对照采购文件商务需求书中商务要求，说明已对采购文件的商务内容做出了实质性的响应。</w:t>
      </w:r>
    </w:p>
    <w:p w14:paraId="71234D9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14:paraId="0587652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14:paraId="510A7E0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14:paraId="5D3C2B0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14:paraId="58DDB5F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DEE3F22">
      <w:pPr>
        <w:pStyle w:val="5"/>
        <w:widowControl w:val="0"/>
        <w:overflowPunct w:val="0"/>
        <w:spacing w:line="240" w:lineRule="auto"/>
        <w:rPr>
          <w:rFonts w:hint="eastAsia" w:ascii="宋体" w:hAnsi="宋体" w:eastAsia="宋体" w:cs="宋体"/>
          <w:color w:val="auto"/>
          <w:sz w:val="30"/>
          <w:szCs w:val="30"/>
          <w:highlight w:val="none"/>
        </w:rPr>
      </w:pPr>
      <w:bookmarkStart w:id="199" w:name="_Toc20374"/>
      <w:bookmarkStart w:id="200" w:name="_Toc5936"/>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.业绩表</w:t>
      </w:r>
      <w:bookmarkEnd w:id="199"/>
      <w:bookmarkEnd w:id="200"/>
    </w:p>
    <w:p w14:paraId="0E620D2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业绩表</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6"/>
        <w:gridCol w:w="1704"/>
        <w:gridCol w:w="1699"/>
      </w:tblGrid>
      <w:tr w14:paraId="0E25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00" w:type="pct"/>
            <w:vAlign w:val="center"/>
          </w:tcPr>
          <w:p w14:paraId="113D58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00" w:type="pct"/>
            <w:vAlign w:val="center"/>
          </w:tcPr>
          <w:p w14:paraId="34E5FCD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001" w:type="pct"/>
            <w:vAlign w:val="center"/>
          </w:tcPr>
          <w:p w14:paraId="5A7349D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000" w:type="pct"/>
            <w:vAlign w:val="center"/>
          </w:tcPr>
          <w:p w14:paraId="0A03C2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项目合同</w:t>
            </w:r>
          </w:p>
          <w:p w14:paraId="5E4362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签订时间</w:t>
            </w:r>
          </w:p>
        </w:tc>
        <w:tc>
          <w:tcPr>
            <w:tcW w:w="996" w:type="pct"/>
            <w:vAlign w:val="center"/>
          </w:tcPr>
          <w:p w14:paraId="630B09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3F1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00" w:type="pct"/>
            <w:vAlign w:val="center"/>
          </w:tcPr>
          <w:p w14:paraId="1527C10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01F4A7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1" w:type="pct"/>
            <w:vAlign w:val="center"/>
          </w:tcPr>
          <w:p w14:paraId="62260CB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004C47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996" w:type="pct"/>
            <w:vAlign w:val="center"/>
          </w:tcPr>
          <w:p w14:paraId="6B9668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14:paraId="09A7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00" w:type="pct"/>
            <w:vAlign w:val="center"/>
          </w:tcPr>
          <w:p w14:paraId="1033F9E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6B240A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1" w:type="pct"/>
            <w:vAlign w:val="center"/>
          </w:tcPr>
          <w:p w14:paraId="0C6B0B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431181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996" w:type="pct"/>
            <w:vAlign w:val="center"/>
          </w:tcPr>
          <w:p w14:paraId="64D2F9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14:paraId="6D1F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00" w:type="pct"/>
            <w:vAlign w:val="center"/>
          </w:tcPr>
          <w:p w14:paraId="6562CC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45B84B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1" w:type="pct"/>
            <w:vAlign w:val="center"/>
          </w:tcPr>
          <w:p w14:paraId="7218902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1610A1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996" w:type="pct"/>
            <w:vAlign w:val="center"/>
          </w:tcPr>
          <w:p w14:paraId="67CBBAD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14:paraId="60EC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00" w:type="pct"/>
            <w:vAlign w:val="center"/>
          </w:tcPr>
          <w:p w14:paraId="1124C1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57C7E3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1" w:type="pct"/>
            <w:vAlign w:val="center"/>
          </w:tcPr>
          <w:p w14:paraId="30E4D6D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637547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996" w:type="pct"/>
            <w:vAlign w:val="center"/>
          </w:tcPr>
          <w:p w14:paraId="76769C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14:paraId="3031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00" w:type="pct"/>
            <w:vAlign w:val="center"/>
          </w:tcPr>
          <w:p w14:paraId="7D114A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25CEB9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1" w:type="pct"/>
            <w:vAlign w:val="center"/>
          </w:tcPr>
          <w:p w14:paraId="0DC9B4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5A011B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996" w:type="pct"/>
            <w:vAlign w:val="center"/>
          </w:tcPr>
          <w:p w14:paraId="23342E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14:paraId="3910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00" w:type="pct"/>
            <w:vAlign w:val="center"/>
          </w:tcPr>
          <w:p w14:paraId="56224C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458649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1" w:type="pct"/>
            <w:vAlign w:val="center"/>
          </w:tcPr>
          <w:p w14:paraId="49A76F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1000" w:type="pct"/>
            <w:vAlign w:val="center"/>
          </w:tcPr>
          <w:p w14:paraId="07F77D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996" w:type="pct"/>
            <w:vAlign w:val="center"/>
          </w:tcPr>
          <w:p w14:paraId="266CCF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bl>
    <w:p w14:paraId="1D54D059">
      <w:pPr>
        <w:pStyle w:val="44"/>
        <w:rPr>
          <w:rFonts w:hint="eastAsia" w:ascii="宋体" w:hAnsi="宋体" w:eastAsia="宋体" w:cs="宋体"/>
          <w:color w:val="auto"/>
          <w:szCs w:val="21"/>
          <w:highlight w:val="none"/>
        </w:rPr>
      </w:pPr>
    </w:p>
    <w:p w14:paraId="19EAED8A">
      <w:pPr>
        <w:pStyle w:val="44"/>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428145CB">
      <w:pPr>
        <w:pStyle w:val="44"/>
        <w:numPr>
          <w:ilvl w:val="0"/>
          <w:numId w:val="11"/>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14:paraId="0F74D0A6">
      <w:pPr>
        <w:pStyle w:val="44"/>
        <w:numPr>
          <w:ilvl w:val="0"/>
          <w:numId w:val="11"/>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业绩表所列出的材料应为真实准确的，并应提供相关证明材料复印件加盖公章。请勿提供虚假、过期材料，否则将依据相关规定严肃处理。</w:t>
      </w:r>
    </w:p>
    <w:p w14:paraId="4EB311D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CB7A4AA">
      <w:pPr>
        <w:pStyle w:val="3"/>
        <w:spacing w:before="0" w:after="0" w:line="360" w:lineRule="auto"/>
        <w:jc w:val="center"/>
        <w:rPr>
          <w:rFonts w:hint="eastAsia" w:ascii="宋体" w:hAnsi="宋体" w:eastAsia="宋体" w:cs="宋体"/>
          <w:color w:val="auto"/>
          <w:sz w:val="72"/>
          <w:szCs w:val="72"/>
          <w:highlight w:val="none"/>
        </w:rPr>
      </w:pPr>
      <w:bookmarkStart w:id="201" w:name="_Toc30539"/>
      <w:bookmarkStart w:id="202" w:name="_Toc18051"/>
      <w:r>
        <w:rPr>
          <w:rFonts w:hint="eastAsia" w:ascii="宋体" w:hAnsi="宋体" w:eastAsia="宋体" w:cs="宋体"/>
          <w:color w:val="auto"/>
          <w:sz w:val="72"/>
          <w:szCs w:val="72"/>
          <w:highlight w:val="none"/>
        </w:rPr>
        <w:t>技术文件</w:t>
      </w:r>
      <w:bookmarkEnd w:id="201"/>
      <w:bookmarkEnd w:id="202"/>
    </w:p>
    <w:p w14:paraId="400DE129">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（单独装订成册）</w:t>
      </w:r>
    </w:p>
    <w:p w14:paraId="200525F5">
      <w:pPr>
        <w:rPr>
          <w:rFonts w:hint="eastAsia" w:ascii="宋体" w:hAnsi="宋体" w:eastAsia="宋体" w:cs="宋体"/>
          <w:color w:val="auto"/>
          <w:highlight w:val="none"/>
        </w:rPr>
      </w:pPr>
    </w:p>
    <w:p w14:paraId="14B99F7F">
      <w:pPr>
        <w:pStyle w:val="13"/>
        <w:ind w:left="0" w:leftChars="0" w:firstLine="0" w:firstLineChars="0"/>
        <w:rPr>
          <w:rFonts w:hint="eastAsia" w:ascii="宋体" w:hAnsi="宋体" w:eastAsia="宋体" w:cs="宋体"/>
          <w:color w:val="auto"/>
          <w:highlight w:val="none"/>
        </w:rPr>
      </w:pPr>
    </w:p>
    <w:p w14:paraId="006001B0">
      <w:pPr>
        <w:pStyle w:val="14"/>
        <w:ind w:left="0" w:leftChars="0" w:firstLine="0" w:firstLineChars="0"/>
        <w:rPr>
          <w:rFonts w:hint="eastAsia" w:ascii="宋体" w:hAnsi="宋体" w:eastAsia="宋体" w:cs="宋体"/>
          <w:color w:val="auto"/>
          <w:highlight w:val="none"/>
        </w:rPr>
      </w:pPr>
    </w:p>
    <w:p w14:paraId="5AABD99A">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106"/>
          <w:kern w:val="0"/>
          <w:sz w:val="32"/>
          <w:szCs w:val="32"/>
          <w:highlight w:val="none"/>
          <w:fitText w:val="1600" w:id="8"/>
        </w:rPr>
        <w:t>项目名</w:t>
      </w:r>
      <w:r>
        <w:rPr>
          <w:rFonts w:hint="eastAsia" w:ascii="宋体" w:hAnsi="宋体" w:eastAsia="宋体" w:cs="宋体"/>
          <w:b/>
          <w:bCs/>
          <w:color w:val="auto"/>
          <w:spacing w:val="2"/>
          <w:kern w:val="0"/>
          <w:sz w:val="32"/>
          <w:szCs w:val="32"/>
          <w:highlight w:val="none"/>
          <w:fitText w:val="1600" w:id="8"/>
        </w:rPr>
        <w:t>称</w:t>
      </w:r>
      <w:r>
        <w:rPr>
          <w:rFonts w:hint="eastAsia" w:ascii="宋体" w:hAnsi="宋体" w:eastAsia="宋体" w:cs="宋体"/>
          <w:b/>
          <w:bCs/>
          <w:color w:val="auto"/>
          <w:spacing w:val="-6"/>
          <w:sz w:val="32"/>
          <w:szCs w:val="32"/>
          <w:highlight w:val="none"/>
        </w:rPr>
        <w:t>：</w:t>
      </w:r>
    </w:p>
    <w:p w14:paraId="0351066C">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106"/>
          <w:kern w:val="0"/>
          <w:sz w:val="32"/>
          <w:szCs w:val="32"/>
          <w:highlight w:val="none"/>
          <w:fitText w:val="1600" w:id="9"/>
        </w:rPr>
        <w:t>项目编</w:t>
      </w:r>
      <w:r>
        <w:rPr>
          <w:rFonts w:hint="eastAsia" w:ascii="宋体" w:hAnsi="宋体" w:eastAsia="宋体" w:cs="宋体"/>
          <w:b/>
          <w:bCs/>
          <w:color w:val="auto"/>
          <w:spacing w:val="2"/>
          <w:kern w:val="0"/>
          <w:sz w:val="32"/>
          <w:szCs w:val="32"/>
          <w:highlight w:val="none"/>
          <w:fitText w:val="1600" w:id="9"/>
        </w:rPr>
        <w:t>号</w:t>
      </w:r>
      <w:r>
        <w:rPr>
          <w:rFonts w:hint="eastAsia" w:ascii="宋体" w:hAnsi="宋体" w:eastAsia="宋体" w:cs="宋体"/>
          <w:b/>
          <w:bCs/>
          <w:color w:val="auto"/>
          <w:sz w:val="32"/>
          <w:szCs w:val="32"/>
          <w:highlight w:val="none"/>
        </w:rPr>
        <w:t>：</w:t>
      </w:r>
    </w:p>
    <w:p w14:paraId="4B70FB08">
      <w:pPr>
        <w:pStyle w:val="13"/>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14:paraId="5FD794C2">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10"/>
        </w:rPr>
        <w:t>投标人名称</w:t>
      </w:r>
      <w:r>
        <w:rPr>
          <w:rFonts w:hint="eastAsia" w:ascii="宋体" w:hAnsi="宋体" w:eastAsia="宋体" w:cs="宋体"/>
          <w:b/>
          <w:color w:val="auto"/>
          <w:sz w:val="32"/>
          <w:szCs w:val="32"/>
          <w:highlight w:val="none"/>
        </w:rPr>
        <w:t>：</w:t>
      </w:r>
    </w:p>
    <w:p w14:paraId="7F1A2911">
      <w:pPr>
        <w:rPr>
          <w:rFonts w:hint="eastAsia" w:ascii="宋体" w:hAnsi="宋体" w:eastAsia="宋体" w:cs="宋体"/>
          <w:b/>
          <w:color w:val="auto"/>
          <w:sz w:val="32"/>
          <w:szCs w:val="32"/>
          <w:highlight w:val="none"/>
        </w:rPr>
      </w:pPr>
      <w:r>
        <w:rPr>
          <w:rFonts w:hint="eastAsia" w:ascii="宋体" w:hAnsi="宋体" w:eastAsia="宋体" w:cs="宋体"/>
          <w:b/>
          <w:color w:val="auto"/>
          <w:spacing w:val="64"/>
          <w:kern w:val="0"/>
          <w:sz w:val="32"/>
          <w:szCs w:val="32"/>
          <w:highlight w:val="none"/>
          <w:fitText w:val="1600" w:id="11"/>
        </w:rPr>
        <w:t xml:space="preserve">日    </w:t>
      </w:r>
      <w:r>
        <w:rPr>
          <w:rFonts w:hint="eastAsia" w:ascii="宋体" w:hAnsi="宋体" w:eastAsia="宋体" w:cs="宋体"/>
          <w:b/>
          <w:color w:val="auto"/>
          <w:spacing w:val="0"/>
          <w:kern w:val="0"/>
          <w:sz w:val="32"/>
          <w:szCs w:val="32"/>
          <w:highlight w:val="none"/>
          <w:fitText w:val="1600" w:id="11"/>
        </w:rPr>
        <w:t>期</w:t>
      </w:r>
      <w:r>
        <w:rPr>
          <w:rFonts w:hint="eastAsia" w:ascii="宋体" w:hAnsi="宋体" w:eastAsia="宋体" w:cs="宋体"/>
          <w:b/>
          <w:color w:val="auto"/>
          <w:sz w:val="32"/>
          <w:szCs w:val="32"/>
          <w:highlight w:val="none"/>
        </w:rPr>
        <w:t>：</w:t>
      </w:r>
    </w:p>
    <w:p w14:paraId="2795D0B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98CEF06">
      <w:pPr>
        <w:pStyle w:val="5"/>
        <w:widowControl w:val="0"/>
        <w:overflowPunct w:val="0"/>
        <w:spacing w:line="240" w:lineRule="auto"/>
        <w:rPr>
          <w:rFonts w:hint="eastAsia" w:ascii="宋体" w:hAnsi="宋体" w:eastAsia="宋体" w:cs="宋体"/>
          <w:color w:val="auto"/>
          <w:sz w:val="21"/>
          <w:szCs w:val="21"/>
          <w:highlight w:val="none"/>
        </w:rPr>
      </w:pPr>
      <w:bookmarkStart w:id="203" w:name="_Toc7156"/>
      <w:bookmarkStart w:id="204" w:name="_Toc23889"/>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 技术规格偏离表格式</w:t>
      </w:r>
      <w:bookmarkEnd w:id="203"/>
      <w:bookmarkEnd w:id="204"/>
    </w:p>
    <w:p w14:paraId="1383C41B">
      <w:pPr>
        <w:jc w:val="center"/>
        <w:rPr>
          <w:rFonts w:hint="eastAsia" w:ascii="宋体" w:hAnsi="宋体" w:eastAsia="宋体" w:cs="宋体"/>
          <w:color w:val="auto"/>
          <w:sz w:val="28"/>
          <w:szCs w:val="28"/>
          <w:highlight w:val="none"/>
        </w:rPr>
      </w:pPr>
    </w:p>
    <w:p w14:paraId="4EE75D6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技术规格偏离表</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6D89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55DCBB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02" w:type="dxa"/>
            <w:vAlign w:val="center"/>
          </w:tcPr>
          <w:p w14:paraId="20D80AD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70" w:type="dxa"/>
            <w:vAlign w:val="center"/>
          </w:tcPr>
          <w:p w14:paraId="39F641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629" w:type="dxa"/>
            <w:vAlign w:val="center"/>
          </w:tcPr>
          <w:p w14:paraId="195C5F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239" w:type="dxa"/>
            <w:vAlign w:val="center"/>
          </w:tcPr>
          <w:p w14:paraId="58AC688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w:t>
            </w:r>
          </w:p>
        </w:tc>
        <w:tc>
          <w:tcPr>
            <w:tcW w:w="1544" w:type="dxa"/>
            <w:vAlign w:val="center"/>
          </w:tcPr>
          <w:p w14:paraId="3F1496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3BA0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F3128DA">
            <w:pPr>
              <w:jc w:val="center"/>
              <w:rPr>
                <w:rFonts w:hint="eastAsia" w:ascii="宋体" w:hAnsi="宋体" w:eastAsia="宋体" w:cs="宋体"/>
                <w:color w:val="auto"/>
                <w:szCs w:val="21"/>
                <w:highlight w:val="none"/>
              </w:rPr>
            </w:pPr>
          </w:p>
        </w:tc>
        <w:tc>
          <w:tcPr>
            <w:tcW w:w="1902" w:type="dxa"/>
            <w:vAlign w:val="center"/>
          </w:tcPr>
          <w:p w14:paraId="459DE2AA">
            <w:pPr>
              <w:jc w:val="center"/>
              <w:rPr>
                <w:rFonts w:hint="eastAsia" w:ascii="宋体" w:hAnsi="宋体" w:eastAsia="宋体" w:cs="宋体"/>
                <w:color w:val="auto"/>
                <w:szCs w:val="21"/>
                <w:highlight w:val="none"/>
              </w:rPr>
            </w:pPr>
          </w:p>
        </w:tc>
        <w:tc>
          <w:tcPr>
            <w:tcW w:w="1370" w:type="dxa"/>
            <w:vAlign w:val="center"/>
          </w:tcPr>
          <w:p w14:paraId="5801FB63">
            <w:pPr>
              <w:jc w:val="center"/>
              <w:rPr>
                <w:rFonts w:hint="eastAsia" w:ascii="宋体" w:hAnsi="宋体" w:eastAsia="宋体" w:cs="宋体"/>
                <w:color w:val="auto"/>
                <w:szCs w:val="21"/>
                <w:highlight w:val="none"/>
              </w:rPr>
            </w:pPr>
          </w:p>
        </w:tc>
        <w:tc>
          <w:tcPr>
            <w:tcW w:w="1629" w:type="dxa"/>
            <w:vAlign w:val="center"/>
          </w:tcPr>
          <w:p w14:paraId="3F36C63C">
            <w:pPr>
              <w:jc w:val="center"/>
              <w:rPr>
                <w:rFonts w:hint="eastAsia" w:ascii="宋体" w:hAnsi="宋体" w:eastAsia="宋体" w:cs="宋体"/>
                <w:color w:val="auto"/>
                <w:szCs w:val="21"/>
                <w:highlight w:val="none"/>
              </w:rPr>
            </w:pPr>
          </w:p>
        </w:tc>
        <w:tc>
          <w:tcPr>
            <w:tcW w:w="1239" w:type="dxa"/>
            <w:vAlign w:val="center"/>
          </w:tcPr>
          <w:p w14:paraId="10961BC7">
            <w:pPr>
              <w:jc w:val="center"/>
              <w:rPr>
                <w:rFonts w:hint="eastAsia" w:ascii="宋体" w:hAnsi="宋体" w:eastAsia="宋体" w:cs="宋体"/>
                <w:color w:val="auto"/>
                <w:szCs w:val="21"/>
                <w:highlight w:val="none"/>
              </w:rPr>
            </w:pPr>
          </w:p>
        </w:tc>
        <w:tc>
          <w:tcPr>
            <w:tcW w:w="1544" w:type="dxa"/>
            <w:vAlign w:val="center"/>
          </w:tcPr>
          <w:p w14:paraId="76858391">
            <w:pPr>
              <w:jc w:val="center"/>
              <w:rPr>
                <w:rFonts w:hint="eastAsia" w:ascii="宋体" w:hAnsi="宋体" w:eastAsia="宋体" w:cs="宋体"/>
                <w:color w:val="auto"/>
                <w:szCs w:val="21"/>
                <w:highlight w:val="none"/>
              </w:rPr>
            </w:pPr>
          </w:p>
        </w:tc>
      </w:tr>
      <w:tr w14:paraId="77BF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49BDC7F">
            <w:pPr>
              <w:jc w:val="center"/>
              <w:rPr>
                <w:rFonts w:hint="eastAsia" w:ascii="宋体" w:hAnsi="宋体" w:eastAsia="宋体" w:cs="宋体"/>
                <w:color w:val="auto"/>
                <w:szCs w:val="21"/>
                <w:highlight w:val="none"/>
              </w:rPr>
            </w:pPr>
          </w:p>
        </w:tc>
        <w:tc>
          <w:tcPr>
            <w:tcW w:w="1902" w:type="dxa"/>
            <w:vAlign w:val="center"/>
          </w:tcPr>
          <w:p w14:paraId="5937FB16">
            <w:pPr>
              <w:jc w:val="center"/>
              <w:rPr>
                <w:rFonts w:hint="eastAsia" w:ascii="宋体" w:hAnsi="宋体" w:eastAsia="宋体" w:cs="宋体"/>
                <w:color w:val="auto"/>
                <w:szCs w:val="21"/>
                <w:highlight w:val="none"/>
              </w:rPr>
            </w:pPr>
          </w:p>
        </w:tc>
        <w:tc>
          <w:tcPr>
            <w:tcW w:w="1370" w:type="dxa"/>
            <w:vAlign w:val="center"/>
          </w:tcPr>
          <w:p w14:paraId="1A2EC60F">
            <w:pPr>
              <w:jc w:val="center"/>
              <w:rPr>
                <w:rFonts w:hint="eastAsia" w:ascii="宋体" w:hAnsi="宋体" w:eastAsia="宋体" w:cs="宋体"/>
                <w:color w:val="auto"/>
                <w:szCs w:val="21"/>
                <w:highlight w:val="none"/>
              </w:rPr>
            </w:pPr>
          </w:p>
        </w:tc>
        <w:tc>
          <w:tcPr>
            <w:tcW w:w="1629" w:type="dxa"/>
            <w:vAlign w:val="center"/>
          </w:tcPr>
          <w:p w14:paraId="6D89BD77">
            <w:pPr>
              <w:jc w:val="center"/>
              <w:rPr>
                <w:rFonts w:hint="eastAsia" w:ascii="宋体" w:hAnsi="宋体" w:eastAsia="宋体" w:cs="宋体"/>
                <w:color w:val="auto"/>
                <w:szCs w:val="21"/>
                <w:highlight w:val="none"/>
              </w:rPr>
            </w:pPr>
          </w:p>
        </w:tc>
        <w:tc>
          <w:tcPr>
            <w:tcW w:w="1239" w:type="dxa"/>
            <w:vAlign w:val="center"/>
          </w:tcPr>
          <w:p w14:paraId="66D7D924">
            <w:pPr>
              <w:jc w:val="center"/>
              <w:rPr>
                <w:rFonts w:hint="eastAsia" w:ascii="宋体" w:hAnsi="宋体" w:eastAsia="宋体" w:cs="宋体"/>
                <w:color w:val="auto"/>
                <w:szCs w:val="21"/>
                <w:highlight w:val="none"/>
              </w:rPr>
            </w:pPr>
          </w:p>
        </w:tc>
        <w:tc>
          <w:tcPr>
            <w:tcW w:w="1544" w:type="dxa"/>
            <w:vAlign w:val="center"/>
          </w:tcPr>
          <w:p w14:paraId="124951D7">
            <w:pPr>
              <w:jc w:val="center"/>
              <w:rPr>
                <w:rFonts w:hint="eastAsia" w:ascii="宋体" w:hAnsi="宋体" w:eastAsia="宋体" w:cs="宋体"/>
                <w:color w:val="auto"/>
                <w:szCs w:val="21"/>
                <w:highlight w:val="none"/>
              </w:rPr>
            </w:pPr>
          </w:p>
        </w:tc>
      </w:tr>
      <w:tr w14:paraId="4E1D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4CCD3BF">
            <w:pPr>
              <w:jc w:val="center"/>
              <w:rPr>
                <w:rFonts w:hint="eastAsia" w:ascii="宋体" w:hAnsi="宋体" w:eastAsia="宋体" w:cs="宋体"/>
                <w:color w:val="auto"/>
                <w:szCs w:val="21"/>
                <w:highlight w:val="none"/>
              </w:rPr>
            </w:pPr>
          </w:p>
        </w:tc>
        <w:tc>
          <w:tcPr>
            <w:tcW w:w="1902" w:type="dxa"/>
            <w:vAlign w:val="center"/>
          </w:tcPr>
          <w:p w14:paraId="153144FA">
            <w:pPr>
              <w:jc w:val="center"/>
              <w:rPr>
                <w:rFonts w:hint="eastAsia" w:ascii="宋体" w:hAnsi="宋体" w:eastAsia="宋体" w:cs="宋体"/>
                <w:color w:val="auto"/>
                <w:szCs w:val="21"/>
                <w:highlight w:val="none"/>
              </w:rPr>
            </w:pPr>
          </w:p>
        </w:tc>
        <w:tc>
          <w:tcPr>
            <w:tcW w:w="1370" w:type="dxa"/>
            <w:vAlign w:val="center"/>
          </w:tcPr>
          <w:p w14:paraId="54598AFF">
            <w:pPr>
              <w:jc w:val="center"/>
              <w:rPr>
                <w:rFonts w:hint="eastAsia" w:ascii="宋体" w:hAnsi="宋体" w:eastAsia="宋体" w:cs="宋体"/>
                <w:color w:val="auto"/>
                <w:szCs w:val="21"/>
                <w:highlight w:val="none"/>
              </w:rPr>
            </w:pPr>
          </w:p>
        </w:tc>
        <w:tc>
          <w:tcPr>
            <w:tcW w:w="1629" w:type="dxa"/>
            <w:vAlign w:val="center"/>
          </w:tcPr>
          <w:p w14:paraId="6BDF9735">
            <w:pPr>
              <w:jc w:val="center"/>
              <w:rPr>
                <w:rFonts w:hint="eastAsia" w:ascii="宋体" w:hAnsi="宋体" w:eastAsia="宋体" w:cs="宋体"/>
                <w:color w:val="auto"/>
                <w:szCs w:val="21"/>
                <w:highlight w:val="none"/>
              </w:rPr>
            </w:pPr>
          </w:p>
        </w:tc>
        <w:tc>
          <w:tcPr>
            <w:tcW w:w="1239" w:type="dxa"/>
            <w:vAlign w:val="center"/>
          </w:tcPr>
          <w:p w14:paraId="2AE25EA3">
            <w:pPr>
              <w:jc w:val="center"/>
              <w:rPr>
                <w:rFonts w:hint="eastAsia" w:ascii="宋体" w:hAnsi="宋体" w:eastAsia="宋体" w:cs="宋体"/>
                <w:color w:val="auto"/>
                <w:szCs w:val="21"/>
                <w:highlight w:val="none"/>
              </w:rPr>
            </w:pPr>
          </w:p>
        </w:tc>
        <w:tc>
          <w:tcPr>
            <w:tcW w:w="1544" w:type="dxa"/>
            <w:vAlign w:val="center"/>
          </w:tcPr>
          <w:p w14:paraId="1A832D5B">
            <w:pPr>
              <w:jc w:val="center"/>
              <w:rPr>
                <w:rFonts w:hint="eastAsia" w:ascii="宋体" w:hAnsi="宋体" w:eastAsia="宋体" w:cs="宋体"/>
                <w:color w:val="auto"/>
                <w:szCs w:val="21"/>
                <w:highlight w:val="none"/>
              </w:rPr>
            </w:pPr>
          </w:p>
        </w:tc>
      </w:tr>
      <w:tr w14:paraId="6B87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FAF1D70">
            <w:pPr>
              <w:jc w:val="center"/>
              <w:rPr>
                <w:rFonts w:hint="eastAsia" w:ascii="宋体" w:hAnsi="宋体" w:eastAsia="宋体" w:cs="宋体"/>
                <w:color w:val="auto"/>
                <w:szCs w:val="21"/>
                <w:highlight w:val="none"/>
              </w:rPr>
            </w:pPr>
          </w:p>
        </w:tc>
        <w:tc>
          <w:tcPr>
            <w:tcW w:w="1902" w:type="dxa"/>
            <w:vAlign w:val="center"/>
          </w:tcPr>
          <w:p w14:paraId="20D7B193">
            <w:pPr>
              <w:jc w:val="center"/>
              <w:rPr>
                <w:rFonts w:hint="eastAsia" w:ascii="宋体" w:hAnsi="宋体" w:eastAsia="宋体" w:cs="宋体"/>
                <w:color w:val="auto"/>
                <w:szCs w:val="21"/>
                <w:highlight w:val="none"/>
              </w:rPr>
            </w:pPr>
          </w:p>
        </w:tc>
        <w:tc>
          <w:tcPr>
            <w:tcW w:w="1370" w:type="dxa"/>
            <w:vAlign w:val="center"/>
          </w:tcPr>
          <w:p w14:paraId="285CF498">
            <w:pPr>
              <w:jc w:val="center"/>
              <w:rPr>
                <w:rFonts w:hint="eastAsia" w:ascii="宋体" w:hAnsi="宋体" w:eastAsia="宋体" w:cs="宋体"/>
                <w:color w:val="auto"/>
                <w:szCs w:val="21"/>
                <w:highlight w:val="none"/>
              </w:rPr>
            </w:pPr>
          </w:p>
        </w:tc>
        <w:tc>
          <w:tcPr>
            <w:tcW w:w="1629" w:type="dxa"/>
            <w:vAlign w:val="center"/>
          </w:tcPr>
          <w:p w14:paraId="0B9961FE">
            <w:pPr>
              <w:jc w:val="center"/>
              <w:rPr>
                <w:rFonts w:hint="eastAsia" w:ascii="宋体" w:hAnsi="宋体" w:eastAsia="宋体" w:cs="宋体"/>
                <w:color w:val="auto"/>
                <w:szCs w:val="21"/>
                <w:highlight w:val="none"/>
              </w:rPr>
            </w:pPr>
          </w:p>
        </w:tc>
        <w:tc>
          <w:tcPr>
            <w:tcW w:w="1239" w:type="dxa"/>
            <w:vAlign w:val="center"/>
          </w:tcPr>
          <w:p w14:paraId="787E26AF">
            <w:pPr>
              <w:jc w:val="center"/>
              <w:rPr>
                <w:rFonts w:hint="eastAsia" w:ascii="宋体" w:hAnsi="宋体" w:eastAsia="宋体" w:cs="宋体"/>
                <w:color w:val="auto"/>
                <w:szCs w:val="21"/>
                <w:highlight w:val="none"/>
              </w:rPr>
            </w:pPr>
          </w:p>
        </w:tc>
        <w:tc>
          <w:tcPr>
            <w:tcW w:w="1544" w:type="dxa"/>
            <w:vAlign w:val="center"/>
          </w:tcPr>
          <w:p w14:paraId="43F48EEB">
            <w:pPr>
              <w:jc w:val="center"/>
              <w:rPr>
                <w:rFonts w:hint="eastAsia" w:ascii="宋体" w:hAnsi="宋体" w:eastAsia="宋体" w:cs="宋体"/>
                <w:color w:val="auto"/>
                <w:szCs w:val="21"/>
                <w:highlight w:val="none"/>
              </w:rPr>
            </w:pPr>
          </w:p>
        </w:tc>
      </w:tr>
      <w:tr w14:paraId="3675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67D0A76">
            <w:pPr>
              <w:jc w:val="center"/>
              <w:rPr>
                <w:rFonts w:hint="eastAsia" w:ascii="宋体" w:hAnsi="宋体" w:eastAsia="宋体" w:cs="宋体"/>
                <w:color w:val="auto"/>
                <w:szCs w:val="21"/>
                <w:highlight w:val="none"/>
              </w:rPr>
            </w:pPr>
          </w:p>
        </w:tc>
        <w:tc>
          <w:tcPr>
            <w:tcW w:w="1902" w:type="dxa"/>
            <w:vAlign w:val="center"/>
          </w:tcPr>
          <w:p w14:paraId="7DEA4911">
            <w:pPr>
              <w:jc w:val="center"/>
              <w:rPr>
                <w:rFonts w:hint="eastAsia" w:ascii="宋体" w:hAnsi="宋体" w:eastAsia="宋体" w:cs="宋体"/>
                <w:color w:val="auto"/>
                <w:szCs w:val="21"/>
                <w:highlight w:val="none"/>
              </w:rPr>
            </w:pPr>
          </w:p>
        </w:tc>
        <w:tc>
          <w:tcPr>
            <w:tcW w:w="1370" w:type="dxa"/>
            <w:vAlign w:val="center"/>
          </w:tcPr>
          <w:p w14:paraId="5D33C162">
            <w:pPr>
              <w:jc w:val="center"/>
              <w:rPr>
                <w:rFonts w:hint="eastAsia" w:ascii="宋体" w:hAnsi="宋体" w:eastAsia="宋体" w:cs="宋体"/>
                <w:color w:val="auto"/>
                <w:szCs w:val="21"/>
                <w:highlight w:val="none"/>
              </w:rPr>
            </w:pPr>
          </w:p>
        </w:tc>
        <w:tc>
          <w:tcPr>
            <w:tcW w:w="1629" w:type="dxa"/>
            <w:vAlign w:val="center"/>
          </w:tcPr>
          <w:p w14:paraId="34E689BA">
            <w:pPr>
              <w:jc w:val="center"/>
              <w:rPr>
                <w:rFonts w:hint="eastAsia" w:ascii="宋体" w:hAnsi="宋体" w:eastAsia="宋体" w:cs="宋体"/>
                <w:color w:val="auto"/>
                <w:szCs w:val="21"/>
                <w:highlight w:val="none"/>
              </w:rPr>
            </w:pPr>
          </w:p>
        </w:tc>
        <w:tc>
          <w:tcPr>
            <w:tcW w:w="1239" w:type="dxa"/>
            <w:vAlign w:val="center"/>
          </w:tcPr>
          <w:p w14:paraId="166C4CDC">
            <w:pPr>
              <w:jc w:val="center"/>
              <w:rPr>
                <w:rFonts w:hint="eastAsia" w:ascii="宋体" w:hAnsi="宋体" w:eastAsia="宋体" w:cs="宋体"/>
                <w:color w:val="auto"/>
                <w:szCs w:val="21"/>
                <w:highlight w:val="none"/>
              </w:rPr>
            </w:pPr>
          </w:p>
        </w:tc>
        <w:tc>
          <w:tcPr>
            <w:tcW w:w="1544" w:type="dxa"/>
            <w:vAlign w:val="center"/>
          </w:tcPr>
          <w:p w14:paraId="5503DD64">
            <w:pPr>
              <w:jc w:val="center"/>
              <w:rPr>
                <w:rFonts w:hint="eastAsia" w:ascii="宋体" w:hAnsi="宋体" w:eastAsia="宋体" w:cs="宋体"/>
                <w:color w:val="auto"/>
                <w:szCs w:val="21"/>
                <w:highlight w:val="none"/>
              </w:rPr>
            </w:pPr>
          </w:p>
        </w:tc>
      </w:tr>
      <w:tr w14:paraId="67C0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AE0FEDB">
            <w:pPr>
              <w:jc w:val="center"/>
              <w:rPr>
                <w:rFonts w:hint="eastAsia" w:ascii="宋体" w:hAnsi="宋体" w:eastAsia="宋体" w:cs="宋体"/>
                <w:color w:val="auto"/>
                <w:szCs w:val="21"/>
                <w:highlight w:val="none"/>
              </w:rPr>
            </w:pPr>
          </w:p>
        </w:tc>
        <w:tc>
          <w:tcPr>
            <w:tcW w:w="1902" w:type="dxa"/>
            <w:vAlign w:val="center"/>
          </w:tcPr>
          <w:p w14:paraId="75365A0D">
            <w:pPr>
              <w:jc w:val="center"/>
              <w:rPr>
                <w:rFonts w:hint="eastAsia" w:ascii="宋体" w:hAnsi="宋体" w:eastAsia="宋体" w:cs="宋体"/>
                <w:color w:val="auto"/>
                <w:szCs w:val="21"/>
                <w:highlight w:val="none"/>
              </w:rPr>
            </w:pPr>
          </w:p>
        </w:tc>
        <w:tc>
          <w:tcPr>
            <w:tcW w:w="1370" w:type="dxa"/>
            <w:vAlign w:val="center"/>
          </w:tcPr>
          <w:p w14:paraId="29CFC58D">
            <w:pPr>
              <w:jc w:val="center"/>
              <w:rPr>
                <w:rFonts w:hint="eastAsia" w:ascii="宋体" w:hAnsi="宋体" w:eastAsia="宋体" w:cs="宋体"/>
                <w:color w:val="auto"/>
                <w:szCs w:val="21"/>
                <w:highlight w:val="none"/>
              </w:rPr>
            </w:pPr>
          </w:p>
        </w:tc>
        <w:tc>
          <w:tcPr>
            <w:tcW w:w="1629" w:type="dxa"/>
            <w:vAlign w:val="center"/>
          </w:tcPr>
          <w:p w14:paraId="52B582F0">
            <w:pPr>
              <w:jc w:val="center"/>
              <w:rPr>
                <w:rFonts w:hint="eastAsia" w:ascii="宋体" w:hAnsi="宋体" w:eastAsia="宋体" w:cs="宋体"/>
                <w:color w:val="auto"/>
                <w:szCs w:val="21"/>
                <w:highlight w:val="none"/>
              </w:rPr>
            </w:pPr>
          </w:p>
        </w:tc>
        <w:tc>
          <w:tcPr>
            <w:tcW w:w="1239" w:type="dxa"/>
            <w:vAlign w:val="center"/>
          </w:tcPr>
          <w:p w14:paraId="33A88F2C">
            <w:pPr>
              <w:jc w:val="center"/>
              <w:rPr>
                <w:rFonts w:hint="eastAsia" w:ascii="宋体" w:hAnsi="宋体" w:eastAsia="宋体" w:cs="宋体"/>
                <w:color w:val="auto"/>
                <w:szCs w:val="21"/>
                <w:highlight w:val="none"/>
              </w:rPr>
            </w:pPr>
          </w:p>
        </w:tc>
        <w:tc>
          <w:tcPr>
            <w:tcW w:w="1544" w:type="dxa"/>
            <w:vAlign w:val="center"/>
          </w:tcPr>
          <w:p w14:paraId="7DDC923D">
            <w:pPr>
              <w:jc w:val="center"/>
              <w:rPr>
                <w:rFonts w:hint="eastAsia" w:ascii="宋体" w:hAnsi="宋体" w:eastAsia="宋体" w:cs="宋体"/>
                <w:color w:val="auto"/>
                <w:szCs w:val="21"/>
                <w:highlight w:val="none"/>
              </w:rPr>
            </w:pPr>
          </w:p>
        </w:tc>
      </w:tr>
      <w:tr w14:paraId="707D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7CA0710">
            <w:pPr>
              <w:jc w:val="center"/>
              <w:rPr>
                <w:rFonts w:hint="eastAsia" w:ascii="宋体" w:hAnsi="宋体" w:eastAsia="宋体" w:cs="宋体"/>
                <w:color w:val="auto"/>
                <w:szCs w:val="21"/>
                <w:highlight w:val="none"/>
              </w:rPr>
            </w:pPr>
          </w:p>
        </w:tc>
        <w:tc>
          <w:tcPr>
            <w:tcW w:w="1902" w:type="dxa"/>
            <w:vAlign w:val="center"/>
          </w:tcPr>
          <w:p w14:paraId="5F03594B">
            <w:pPr>
              <w:jc w:val="center"/>
              <w:rPr>
                <w:rFonts w:hint="eastAsia" w:ascii="宋体" w:hAnsi="宋体" w:eastAsia="宋体" w:cs="宋体"/>
                <w:color w:val="auto"/>
                <w:szCs w:val="21"/>
                <w:highlight w:val="none"/>
              </w:rPr>
            </w:pPr>
          </w:p>
        </w:tc>
        <w:tc>
          <w:tcPr>
            <w:tcW w:w="1370" w:type="dxa"/>
            <w:vAlign w:val="center"/>
          </w:tcPr>
          <w:p w14:paraId="58336A92">
            <w:pPr>
              <w:jc w:val="center"/>
              <w:rPr>
                <w:rFonts w:hint="eastAsia" w:ascii="宋体" w:hAnsi="宋体" w:eastAsia="宋体" w:cs="宋体"/>
                <w:color w:val="auto"/>
                <w:szCs w:val="21"/>
                <w:highlight w:val="none"/>
              </w:rPr>
            </w:pPr>
          </w:p>
        </w:tc>
        <w:tc>
          <w:tcPr>
            <w:tcW w:w="1629" w:type="dxa"/>
            <w:vAlign w:val="center"/>
          </w:tcPr>
          <w:p w14:paraId="2DC5ADF6">
            <w:pPr>
              <w:jc w:val="center"/>
              <w:rPr>
                <w:rFonts w:hint="eastAsia" w:ascii="宋体" w:hAnsi="宋体" w:eastAsia="宋体" w:cs="宋体"/>
                <w:color w:val="auto"/>
                <w:szCs w:val="21"/>
                <w:highlight w:val="none"/>
              </w:rPr>
            </w:pPr>
          </w:p>
        </w:tc>
        <w:tc>
          <w:tcPr>
            <w:tcW w:w="1239" w:type="dxa"/>
            <w:vAlign w:val="center"/>
          </w:tcPr>
          <w:p w14:paraId="2C5F1930">
            <w:pPr>
              <w:jc w:val="center"/>
              <w:rPr>
                <w:rFonts w:hint="eastAsia" w:ascii="宋体" w:hAnsi="宋体" w:eastAsia="宋体" w:cs="宋体"/>
                <w:color w:val="auto"/>
                <w:szCs w:val="21"/>
                <w:highlight w:val="none"/>
              </w:rPr>
            </w:pPr>
          </w:p>
        </w:tc>
        <w:tc>
          <w:tcPr>
            <w:tcW w:w="1544" w:type="dxa"/>
            <w:vAlign w:val="center"/>
          </w:tcPr>
          <w:p w14:paraId="6CEA57E2">
            <w:pPr>
              <w:jc w:val="center"/>
              <w:rPr>
                <w:rFonts w:hint="eastAsia" w:ascii="宋体" w:hAnsi="宋体" w:eastAsia="宋体" w:cs="宋体"/>
                <w:color w:val="auto"/>
                <w:szCs w:val="21"/>
                <w:highlight w:val="none"/>
              </w:rPr>
            </w:pPr>
          </w:p>
        </w:tc>
      </w:tr>
      <w:tr w14:paraId="23FC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3D4EBF0">
            <w:pPr>
              <w:jc w:val="center"/>
              <w:rPr>
                <w:rFonts w:hint="eastAsia" w:ascii="宋体" w:hAnsi="宋体" w:eastAsia="宋体" w:cs="宋体"/>
                <w:color w:val="auto"/>
                <w:szCs w:val="21"/>
                <w:highlight w:val="none"/>
              </w:rPr>
            </w:pPr>
          </w:p>
        </w:tc>
        <w:tc>
          <w:tcPr>
            <w:tcW w:w="1902" w:type="dxa"/>
            <w:vAlign w:val="center"/>
          </w:tcPr>
          <w:p w14:paraId="33C82AD1">
            <w:pPr>
              <w:jc w:val="center"/>
              <w:rPr>
                <w:rFonts w:hint="eastAsia" w:ascii="宋体" w:hAnsi="宋体" w:eastAsia="宋体" w:cs="宋体"/>
                <w:color w:val="auto"/>
                <w:szCs w:val="21"/>
                <w:highlight w:val="none"/>
              </w:rPr>
            </w:pPr>
          </w:p>
        </w:tc>
        <w:tc>
          <w:tcPr>
            <w:tcW w:w="1370" w:type="dxa"/>
            <w:vAlign w:val="center"/>
          </w:tcPr>
          <w:p w14:paraId="12FF28B8">
            <w:pPr>
              <w:jc w:val="center"/>
              <w:rPr>
                <w:rFonts w:hint="eastAsia" w:ascii="宋体" w:hAnsi="宋体" w:eastAsia="宋体" w:cs="宋体"/>
                <w:color w:val="auto"/>
                <w:szCs w:val="21"/>
                <w:highlight w:val="none"/>
              </w:rPr>
            </w:pPr>
          </w:p>
        </w:tc>
        <w:tc>
          <w:tcPr>
            <w:tcW w:w="1629" w:type="dxa"/>
            <w:vAlign w:val="center"/>
          </w:tcPr>
          <w:p w14:paraId="1DA93BF6">
            <w:pPr>
              <w:jc w:val="center"/>
              <w:rPr>
                <w:rFonts w:hint="eastAsia" w:ascii="宋体" w:hAnsi="宋体" w:eastAsia="宋体" w:cs="宋体"/>
                <w:color w:val="auto"/>
                <w:szCs w:val="21"/>
                <w:highlight w:val="none"/>
              </w:rPr>
            </w:pPr>
          </w:p>
        </w:tc>
        <w:tc>
          <w:tcPr>
            <w:tcW w:w="1239" w:type="dxa"/>
            <w:vAlign w:val="center"/>
          </w:tcPr>
          <w:p w14:paraId="0270A448">
            <w:pPr>
              <w:jc w:val="center"/>
              <w:rPr>
                <w:rFonts w:hint="eastAsia" w:ascii="宋体" w:hAnsi="宋体" w:eastAsia="宋体" w:cs="宋体"/>
                <w:color w:val="auto"/>
                <w:szCs w:val="21"/>
                <w:highlight w:val="none"/>
              </w:rPr>
            </w:pPr>
          </w:p>
        </w:tc>
        <w:tc>
          <w:tcPr>
            <w:tcW w:w="1544" w:type="dxa"/>
            <w:vAlign w:val="center"/>
          </w:tcPr>
          <w:p w14:paraId="5E5BB2F5">
            <w:pPr>
              <w:jc w:val="center"/>
              <w:rPr>
                <w:rFonts w:hint="eastAsia" w:ascii="宋体" w:hAnsi="宋体" w:eastAsia="宋体" w:cs="宋体"/>
                <w:color w:val="auto"/>
                <w:szCs w:val="21"/>
                <w:highlight w:val="none"/>
              </w:rPr>
            </w:pPr>
          </w:p>
        </w:tc>
      </w:tr>
      <w:tr w14:paraId="22C8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101D074">
            <w:pPr>
              <w:jc w:val="center"/>
              <w:rPr>
                <w:rFonts w:hint="eastAsia" w:ascii="宋体" w:hAnsi="宋体" w:eastAsia="宋体" w:cs="宋体"/>
                <w:color w:val="auto"/>
                <w:szCs w:val="21"/>
                <w:highlight w:val="none"/>
              </w:rPr>
            </w:pPr>
          </w:p>
        </w:tc>
        <w:tc>
          <w:tcPr>
            <w:tcW w:w="1902" w:type="dxa"/>
            <w:vAlign w:val="center"/>
          </w:tcPr>
          <w:p w14:paraId="750B2CEA">
            <w:pPr>
              <w:jc w:val="center"/>
              <w:rPr>
                <w:rFonts w:hint="eastAsia" w:ascii="宋体" w:hAnsi="宋体" w:eastAsia="宋体" w:cs="宋体"/>
                <w:color w:val="auto"/>
                <w:szCs w:val="21"/>
                <w:highlight w:val="none"/>
              </w:rPr>
            </w:pPr>
          </w:p>
        </w:tc>
        <w:tc>
          <w:tcPr>
            <w:tcW w:w="1370" w:type="dxa"/>
            <w:vAlign w:val="center"/>
          </w:tcPr>
          <w:p w14:paraId="7502498C">
            <w:pPr>
              <w:jc w:val="center"/>
              <w:rPr>
                <w:rFonts w:hint="eastAsia" w:ascii="宋体" w:hAnsi="宋体" w:eastAsia="宋体" w:cs="宋体"/>
                <w:color w:val="auto"/>
                <w:szCs w:val="21"/>
                <w:highlight w:val="none"/>
              </w:rPr>
            </w:pPr>
          </w:p>
        </w:tc>
        <w:tc>
          <w:tcPr>
            <w:tcW w:w="1629" w:type="dxa"/>
            <w:vAlign w:val="center"/>
          </w:tcPr>
          <w:p w14:paraId="748421E9">
            <w:pPr>
              <w:jc w:val="center"/>
              <w:rPr>
                <w:rFonts w:hint="eastAsia" w:ascii="宋体" w:hAnsi="宋体" w:eastAsia="宋体" w:cs="宋体"/>
                <w:color w:val="auto"/>
                <w:szCs w:val="21"/>
                <w:highlight w:val="none"/>
              </w:rPr>
            </w:pPr>
          </w:p>
        </w:tc>
        <w:tc>
          <w:tcPr>
            <w:tcW w:w="1239" w:type="dxa"/>
            <w:vAlign w:val="center"/>
          </w:tcPr>
          <w:p w14:paraId="24FA1AA5">
            <w:pPr>
              <w:jc w:val="center"/>
              <w:rPr>
                <w:rFonts w:hint="eastAsia" w:ascii="宋体" w:hAnsi="宋体" w:eastAsia="宋体" w:cs="宋体"/>
                <w:color w:val="auto"/>
                <w:szCs w:val="21"/>
                <w:highlight w:val="none"/>
              </w:rPr>
            </w:pPr>
          </w:p>
        </w:tc>
        <w:tc>
          <w:tcPr>
            <w:tcW w:w="1544" w:type="dxa"/>
            <w:vAlign w:val="center"/>
          </w:tcPr>
          <w:p w14:paraId="1F1CA390">
            <w:pPr>
              <w:jc w:val="center"/>
              <w:rPr>
                <w:rFonts w:hint="eastAsia" w:ascii="宋体" w:hAnsi="宋体" w:eastAsia="宋体" w:cs="宋体"/>
                <w:color w:val="auto"/>
                <w:szCs w:val="21"/>
                <w:highlight w:val="none"/>
              </w:rPr>
            </w:pPr>
          </w:p>
        </w:tc>
      </w:tr>
      <w:tr w14:paraId="175D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DAB8DAF">
            <w:pPr>
              <w:jc w:val="center"/>
              <w:rPr>
                <w:rFonts w:hint="eastAsia" w:ascii="宋体" w:hAnsi="宋体" w:eastAsia="宋体" w:cs="宋体"/>
                <w:color w:val="auto"/>
                <w:szCs w:val="21"/>
                <w:highlight w:val="none"/>
              </w:rPr>
            </w:pPr>
          </w:p>
        </w:tc>
        <w:tc>
          <w:tcPr>
            <w:tcW w:w="1902" w:type="dxa"/>
            <w:vAlign w:val="center"/>
          </w:tcPr>
          <w:p w14:paraId="728879BD">
            <w:pPr>
              <w:jc w:val="center"/>
              <w:rPr>
                <w:rFonts w:hint="eastAsia" w:ascii="宋体" w:hAnsi="宋体" w:eastAsia="宋体" w:cs="宋体"/>
                <w:color w:val="auto"/>
                <w:szCs w:val="21"/>
                <w:highlight w:val="none"/>
              </w:rPr>
            </w:pPr>
          </w:p>
        </w:tc>
        <w:tc>
          <w:tcPr>
            <w:tcW w:w="1370" w:type="dxa"/>
            <w:vAlign w:val="center"/>
          </w:tcPr>
          <w:p w14:paraId="6A749F6E">
            <w:pPr>
              <w:jc w:val="center"/>
              <w:rPr>
                <w:rFonts w:hint="eastAsia" w:ascii="宋体" w:hAnsi="宋体" w:eastAsia="宋体" w:cs="宋体"/>
                <w:color w:val="auto"/>
                <w:szCs w:val="21"/>
                <w:highlight w:val="none"/>
              </w:rPr>
            </w:pPr>
          </w:p>
        </w:tc>
        <w:tc>
          <w:tcPr>
            <w:tcW w:w="1629" w:type="dxa"/>
            <w:vAlign w:val="center"/>
          </w:tcPr>
          <w:p w14:paraId="12BAFEFA">
            <w:pPr>
              <w:jc w:val="center"/>
              <w:rPr>
                <w:rFonts w:hint="eastAsia" w:ascii="宋体" w:hAnsi="宋体" w:eastAsia="宋体" w:cs="宋体"/>
                <w:color w:val="auto"/>
                <w:szCs w:val="21"/>
                <w:highlight w:val="none"/>
              </w:rPr>
            </w:pPr>
          </w:p>
        </w:tc>
        <w:tc>
          <w:tcPr>
            <w:tcW w:w="1239" w:type="dxa"/>
            <w:vAlign w:val="center"/>
          </w:tcPr>
          <w:p w14:paraId="5C6724D6">
            <w:pPr>
              <w:jc w:val="center"/>
              <w:rPr>
                <w:rFonts w:hint="eastAsia" w:ascii="宋体" w:hAnsi="宋体" w:eastAsia="宋体" w:cs="宋体"/>
                <w:color w:val="auto"/>
                <w:szCs w:val="21"/>
                <w:highlight w:val="none"/>
              </w:rPr>
            </w:pPr>
          </w:p>
        </w:tc>
        <w:tc>
          <w:tcPr>
            <w:tcW w:w="1544" w:type="dxa"/>
            <w:vAlign w:val="center"/>
          </w:tcPr>
          <w:p w14:paraId="0117BB2B">
            <w:pPr>
              <w:jc w:val="center"/>
              <w:rPr>
                <w:rFonts w:hint="eastAsia" w:ascii="宋体" w:hAnsi="宋体" w:eastAsia="宋体" w:cs="宋体"/>
                <w:color w:val="auto"/>
                <w:szCs w:val="21"/>
                <w:highlight w:val="none"/>
              </w:rPr>
            </w:pPr>
          </w:p>
        </w:tc>
      </w:tr>
    </w:tbl>
    <w:p w14:paraId="7D3B8CF2">
      <w:pPr>
        <w:rPr>
          <w:rFonts w:hint="eastAsia" w:ascii="宋体" w:hAnsi="宋体" w:eastAsia="宋体" w:cs="宋体"/>
          <w:color w:val="auto"/>
          <w:szCs w:val="21"/>
          <w:highlight w:val="none"/>
        </w:rPr>
      </w:pPr>
    </w:p>
    <w:p w14:paraId="4AFBF42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26898E9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716971FB">
      <w:pPr>
        <w:ind w:firstLine="178" w:firstLineChars="85"/>
        <w:rPr>
          <w:rFonts w:hint="eastAsia" w:ascii="宋体" w:hAnsi="宋体" w:eastAsia="宋体" w:cs="宋体"/>
          <w:color w:val="auto"/>
          <w:szCs w:val="21"/>
          <w:highlight w:val="none"/>
        </w:rPr>
      </w:pPr>
    </w:p>
    <w:p w14:paraId="5B677EA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EE4E18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1E3CC9D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14:paraId="0690477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14:paraId="285E21D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14:paraId="605985B1">
      <w:pPr>
        <w:rPr>
          <w:rFonts w:hint="eastAsia" w:ascii="宋体" w:hAnsi="宋体" w:eastAsia="宋体" w:cs="宋体"/>
          <w:color w:val="auto"/>
          <w:highlight w:val="none"/>
        </w:rPr>
      </w:pPr>
      <w:r>
        <w:rPr>
          <w:rFonts w:hint="eastAsia" w:ascii="宋体" w:hAnsi="宋体" w:eastAsia="宋体" w:cs="宋体"/>
          <w:color w:val="auto"/>
          <w:szCs w:val="21"/>
          <w:highlight w:val="none"/>
        </w:rPr>
        <w:t>5、如投标人对用户需求书</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要求的条款全部响应的，也可以在表格下面用文字总括性的说明。</w:t>
      </w:r>
    </w:p>
    <w:p w14:paraId="45022C30">
      <w:pPr>
        <w:rPr>
          <w:rFonts w:hint="eastAsia" w:ascii="宋体" w:hAnsi="宋体" w:eastAsia="宋体" w:cs="宋体"/>
          <w:color w:val="auto"/>
          <w:szCs w:val="21"/>
          <w:highlight w:val="none"/>
        </w:rPr>
      </w:pPr>
      <w:bookmarkStart w:id="205" w:name="_Toc17691"/>
      <w:r>
        <w:rPr>
          <w:rFonts w:hint="eastAsia" w:ascii="宋体" w:hAnsi="宋体" w:eastAsia="宋体" w:cs="宋体"/>
          <w:color w:val="auto"/>
          <w:szCs w:val="21"/>
          <w:highlight w:val="none"/>
        </w:rPr>
        <w:br w:type="page"/>
      </w:r>
    </w:p>
    <w:p w14:paraId="07E74B4E">
      <w:pPr>
        <w:pStyle w:val="5"/>
        <w:widowControl w:val="0"/>
        <w:overflowPunct w:val="0"/>
        <w:spacing w:line="240" w:lineRule="auto"/>
        <w:rPr>
          <w:rFonts w:hint="eastAsia" w:ascii="宋体" w:hAnsi="宋体" w:eastAsia="宋体" w:cs="宋体"/>
          <w:b/>
          <w:color w:val="auto"/>
          <w:kern w:val="0"/>
          <w:sz w:val="30"/>
          <w:szCs w:val="30"/>
          <w:highlight w:val="none"/>
          <w:lang w:val="en-US" w:eastAsia="zh-CN"/>
        </w:rPr>
      </w:pPr>
      <w:bookmarkStart w:id="206" w:name="_Toc134278061"/>
      <w:bookmarkStart w:id="207" w:name="_Toc134278133"/>
      <w:bookmarkStart w:id="208" w:name="_Toc134275075"/>
      <w:bookmarkStart w:id="209" w:name="_Toc106632751"/>
      <w:bookmarkStart w:id="210" w:name="_Toc5997"/>
      <w:r>
        <w:rPr>
          <w:rFonts w:hint="eastAsia" w:ascii="宋体" w:hAnsi="宋体" w:eastAsia="宋体" w:cs="宋体"/>
          <w:color w:val="auto"/>
          <w:sz w:val="21"/>
          <w:szCs w:val="21"/>
          <w:highlight w:val="none"/>
        </w:rPr>
        <w:t>附</w:t>
      </w:r>
      <w:r>
        <w:rPr>
          <w:rFonts w:hint="eastAsia" w:ascii="宋体" w:hAnsi="宋体" w:eastAsia="宋体" w:cs="宋体"/>
          <w:b/>
          <w:bCs/>
          <w:color w:val="auto"/>
          <w:sz w:val="21"/>
          <w:szCs w:val="21"/>
          <w:highlight w:val="none"/>
        </w:rPr>
        <w:t>件</w:t>
      </w: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kern w:val="0"/>
          <w:sz w:val="21"/>
          <w:szCs w:val="21"/>
          <w:highlight w:val="none"/>
        </w:rPr>
        <w:t>实质性条款（★号条款）响应一览表</w:t>
      </w:r>
      <w:bookmarkEnd w:id="206"/>
      <w:bookmarkEnd w:id="207"/>
      <w:bookmarkEnd w:id="208"/>
      <w:bookmarkEnd w:id="209"/>
      <w:r>
        <w:rPr>
          <w:rFonts w:hint="eastAsia" w:ascii="宋体" w:hAnsi="宋体" w:eastAsia="宋体" w:cs="宋体"/>
          <w:b/>
          <w:bCs/>
          <w:color w:val="auto"/>
          <w:kern w:val="0"/>
          <w:sz w:val="21"/>
          <w:szCs w:val="21"/>
          <w:highlight w:val="none"/>
          <w:lang w:val="en-US" w:eastAsia="zh-CN"/>
        </w:rPr>
        <w:t>格式</w:t>
      </w:r>
      <w:bookmarkEnd w:id="210"/>
    </w:p>
    <w:p w14:paraId="4F40B59E">
      <w:pPr>
        <w:autoSpaceDE w:val="0"/>
        <w:autoSpaceDN w:val="0"/>
        <w:adjustRightInd w:val="0"/>
        <w:spacing w:before="240" w:beforeLines="100" w:after="360" w:afterLines="150" w:line="360" w:lineRule="auto"/>
        <w:jc w:val="center"/>
        <w:rPr>
          <w:rFonts w:hint="eastAsia" w:ascii="宋体" w:hAnsi="宋体" w:eastAsia="宋体" w:cs="宋体"/>
          <w:b/>
          <w:color w:val="auto"/>
          <w:spacing w:val="20"/>
          <w:kern w:val="0"/>
          <w:sz w:val="36"/>
          <w:szCs w:val="36"/>
          <w:highlight w:val="none"/>
        </w:rPr>
      </w:pPr>
      <w:r>
        <w:rPr>
          <w:rFonts w:hint="eastAsia" w:ascii="宋体" w:hAnsi="宋体" w:eastAsia="宋体" w:cs="宋体"/>
          <w:b/>
          <w:color w:val="auto"/>
          <w:spacing w:val="20"/>
          <w:kern w:val="0"/>
          <w:sz w:val="36"/>
          <w:szCs w:val="36"/>
          <w:highlight w:val="none"/>
        </w:rPr>
        <w:t>实质性条款（★号条款）响应一览表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969"/>
        <w:gridCol w:w="1841"/>
        <w:gridCol w:w="1841"/>
        <w:gridCol w:w="1198"/>
      </w:tblGrid>
      <w:tr w14:paraId="7001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000" w:type="pct"/>
            <w:gridSpan w:val="5"/>
            <w:vAlign w:val="center"/>
          </w:tcPr>
          <w:p w14:paraId="008456C7">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rPr>
              <w:t>招标编号：</w:t>
            </w:r>
            <w:r>
              <w:rPr>
                <w:rFonts w:hint="eastAsia" w:ascii="宋体" w:hAnsi="宋体" w:eastAsia="宋体" w:cs="宋体"/>
                <w:b/>
                <w:color w:val="auto"/>
                <w:kern w:val="0"/>
                <w:szCs w:val="21"/>
                <w:highlight w:val="none"/>
                <w:u w:val="single"/>
              </w:rPr>
              <w:t xml:space="preserve">                      </w:t>
            </w:r>
          </w:p>
        </w:tc>
      </w:tr>
      <w:tr w14:paraId="2AB5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95" w:type="pct"/>
            <w:vAlign w:val="center"/>
          </w:tcPr>
          <w:p w14:paraId="0EE58C9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742" w:type="pct"/>
            <w:vAlign w:val="center"/>
          </w:tcPr>
          <w:p w14:paraId="174E1FB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用户需求实质性条款（★号条款）要求</w:t>
            </w:r>
          </w:p>
        </w:tc>
        <w:tc>
          <w:tcPr>
            <w:tcW w:w="1080" w:type="pct"/>
            <w:vAlign w:val="center"/>
          </w:tcPr>
          <w:p w14:paraId="2B24950A">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供应商响应内容</w:t>
            </w:r>
          </w:p>
        </w:tc>
        <w:tc>
          <w:tcPr>
            <w:tcW w:w="1080" w:type="pct"/>
            <w:vAlign w:val="center"/>
          </w:tcPr>
          <w:p w14:paraId="3576726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偏离情况及说明</w:t>
            </w:r>
          </w:p>
          <w:p w14:paraId="1C0ED39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(正偏离/无偏离/负偏离)</w:t>
            </w:r>
          </w:p>
        </w:tc>
        <w:tc>
          <w:tcPr>
            <w:tcW w:w="699" w:type="pct"/>
            <w:vAlign w:val="center"/>
          </w:tcPr>
          <w:p w14:paraId="7FD85EA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查阅/证明文件索引页码</w:t>
            </w:r>
          </w:p>
        </w:tc>
      </w:tr>
      <w:tr w14:paraId="0FE8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vAlign w:val="center"/>
          </w:tcPr>
          <w:p w14:paraId="091A1EA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42" w:type="pct"/>
          </w:tcPr>
          <w:p w14:paraId="4A15F921">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48033D61">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3F569CA3">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699" w:type="pct"/>
          </w:tcPr>
          <w:p w14:paraId="78C3F05A">
            <w:pPr>
              <w:autoSpaceDE w:val="0"/>
              <w:autoSpaceDN w:val="0"/>
              <w:adjustRightInd w:val="0"/>
              <w:spacing w:line="360" w:lineRule="auto"/>
              <w:jc w:val="left"/>
              <w:rPr>
                <w:rFonts w:hint="eastAsia" w:ascii="宋体" w:hAnsi="宋体" w:eastAsia="宋体" w:cs="宋体"/>
                <w:color w:val="auto"/>
                <w:kern w:val="0"/>
                <w:szCs w:val="21"/>
                <w:highlight w:val="none"/>
              </w:rPr>
            </w:pPr>
          </w:p>
        </w:tc>
      </w:tr>
      <w:tr w14:paraId="0835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vAlign w:val="center"/>
          </w:tcPr>
          <w:p w14:paraId="6DAAD4F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742" w:type="pct"/>
          </w:tcPr>
          <w:p w14:paraId="4DB86351">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35C6E9C7">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2B03387B">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699" w:type="pct"/>
          </w:tcPr>
          <w:p w14:paraId="359AA193">
            <w:pPr>
              <w:autoSpaceDE w:val="0"/>
              <w:autoSpaceDN w:val="0"/>
              <w:adjustRightInd w:val="0"/>
              <w:spacing w:line="360" w:lineRule="auto"/>
              <w:jc w:val="left"/>
              <w:rPr>
                <w:rFonts w:hint="eastAsia" w:ascii="宋体" w:hAnsi="宋体" w:eastAsia="宋体" w:cs="宋体"/>
                <w:color w:val="auto"/>
                <w:kern w:val="0"/>
                <w:szCs w:val="21"/>
                <w:highlight w:val="none"/>
              </w:rPr>
            </w:pPr>
          </w:p>
        </w:tc>
      </w:tr>
      <w:tr w14:paraId="3FE3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vAlign w:val="center"/>
          </w:tcPr>
          <w:p w14:paraId="7E934E8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742" w:type="pct"/>
          </w:tcPr>
          <w:p w14:paraId="7439710E">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5AB30D69">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22166191">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699" w:type="pct"/>
          </w:tcPr>
          <w:p w14:paraId="4FA9CB25">
            <w:pPr>
              <w:autoSpaceDE w:val="0"/>
              <w:autoSpaceDN w:val="0"/>
              <w:adjustRightInd w:val="0"/>
              <w:spacing w:line="360" w:lineRule="auto"/>
              <w:jc w:val="left"/>
              <w:rPr>
                <w:rFonts w:hint="eastAsia" w:ascii="宋体" w:hAnsi="宋体" w:eastAsia="宋体" w:cs="宋体"/>
                <w:color w:val="auto"/>
                <w:kern w:val="0"/>
                <w:szCs w:val="21"/>
                <w:highlight w:val="none"/>
              </w:rPr>
            </w:pPr>
          </w:p>
        </w:tc>
      </w:tr>
      <w:tr w14:paraId="4451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vAlign w:val="center"/>
          </w:tcPr>
          <w:p w14:paraId="09F358D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742" w:type="pct"/>
          </w:tcPr>
          <w:p w14:paraId="57A2D1F1">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1C5CF51A">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3533A529">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699" w:type="pct"/>
          </w:tcPr>
          <w:p w14:paraId="1953F103">
            <w:pPr>
              <w:autoSpaceDE w:val="0"/>
              <w:autoSpaceDN w:val="0"/>
              <w:adjustRightInd w:val="0"/>
              <w:spacing w:line="360" w:lineRule="auto"/>
              <w:jc w:val="left"/>
              <w:rPr>
                <w:rFonts w:hint="eastAsia" w:ascii="宋体" w:hAnsi="宋体" w:eastAsia="宋体" w:cs="宋体"/>
                <w:color w:val="auto"/>
                <w:kern w:val="0"/>
                <w:szCs w:val="21"/>
                <w:highlight w:val="none"/>
              </w:rPr>
            </w:pPr>
          </w:p>
        </w:tc>
      </w:tr>
      <w:tr w14:paraId="4ADB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vAlign w:val="center"/>
          </w:tcPr>
          <w:p w14:paraId="0CAA9BA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742" w:type="pct"/>
          </w:tcPr>
          <w:p w14:paraId="08211DB9">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797DF874">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70B16775">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699" w:type="pct"/>
          </w:tcPr>
          <w:p w14:paraId="60DAF44E">
            <w:pPr>
              <w:autoSpaceDE w:val="0"/>
              <w:autoSpaceDN w:val="0"/>
              <w:adjustRightInd w:val="0"/>
              <w:spacing w:line="360" w:lineRule="auto"/>
              <w:jc w:val="left"/>
              <w:rPr>
                <w:rFonts w:hint="eastAsia" w:ascii="宋体" w:hAnsi="宋体" w:eastAsia="宋体" w:cs="宋体"/>
                <w:color w:val="auto"/>
                <w:kern w:val="0"/>
                <w:szCs w:val="21"/>
                <w:highlight w:val="none"/>
              </w:rPr>
            </w:pPr>
          </w:p>
        </w:tc>
      </w:tr>
      <w:tr w14:paraId="4D5C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vAlign w:val="center"/>
          </w:tcPr>
          <w:p w14:paraId="4D0A6F26">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742" w:type="pct"/>
          </w:tcPr>
          <w:p w14:paraId="15838FF7">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78974334">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1080" w:type="pct"/>
          </w:tcPr>
          <w:p w14:paraId="3E17E315">
            <w:pPr>
              <w:autoSpaceDE w:val="0"/>
              <w:autoSpaceDN w:val="0"/>
              <w:adjustRightInd w:val="0"/>
              <w:spacing w:line="360" w:lineRule="auto"/>
              <w:jc w:val="left"/>
              <w:rPr>
                <w:rFonts w:hint="eastAsia" w:ascii="宋体" w:hAnsi="宋体" w:eastAsia="宋体" w:cs="宋体"/>
                <w:color w:val="auto"/>
                <w:kern w:val="0"/>
                <w:szCs w:val="21"/>
                <w:highlight w:val="none"/>
              </w:rPr>
            </w:pPr>
          </w:p>
        </w:tc>
        <w:tc>
          <w:tcPr>
            <w:tcW w:w="699" w:type="pct"/>
          </w:tcPr>
          <w:p w14:paraId="3F144617">
            <w:pPr>
              <w:autoSpaceDE w:val="0"/>
              <w:autoSpaceDN w:val="0"/>
              <w:adjustRightInd w:val="0"/>
              <w:spacing w:line="360" w:lineRule="auto"/>
              <w:jc w:val="left"/>
              <w:rPr>
                <w:rFonts w:hint="eastAsia" w:ascii="宋体" w:hAnsi="宋体" w:eastAsia="宋体" w:cs="宋体"/>
                <w:color w:val="auto"/>
                <w:kern w:val="0"/>
                <w:szCs w:val="21"/>
                <w:highlight w:val="none"/>
              </w:rPr>
            </w:pPr>
          </w:p>
        </w:tc>
      </w:tr>
    </w:tbl>
    <w:p w14:paraId="56EBB5FB">
      <w:pPr>
        <w:autoSpaceDE w:val="0"/>
        <w:autoSpaceDN w:val="0"/>
        <w:adjustRightInd w:val="0"/>
        <w:spacing w:before="120"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注明：</w:t>
      </w:r>
    </w:p>
    <w:p w14:paraId="2BB151A6">
      <w:pPr>
        <w:numPr>
          <w:ilvl w:val="0"/>
          <w:numId w:val="12"/>
        </w:num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投标人必须对应招标文件“用户需求书”中的实质性条款</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即</w:t>
      </w:r>
      <w:bookmarkStart w:id="211" w:name="_Hlk134272890"/>
      <w:r>
        <w:rPr>
          <w:rFonts w:hint="eastAsia" w:ascii="宋体" w:hAnsi="宋体" w:eastAsia="宋体" w:cs="宋体"/>
          <w:color w:val="auto"/>
          <w:kern w:val="0"/>
          <w:szCs w:val="21"/>
          <w:highlight w:val="none"/>
        </w:rPr>
        <w:t>★号</w:t>
      </w:r>
      <w:bookmarkEnd w:id="211"/>
      <w:r>
        <w:rPr>
          <w:rFonts w:hint="eastAsia" w:ascii="宋体" w:hAnsi="宋体" w:eastAsia="宋体" w:cs="宋体"/>
          <w:color w:val="auto"/>
          <w:kern w:val="0"/>
          <w:szCs w:val="21"/>
          <w:highlight w:val="none"/>
        </w:rPr>
        <w:t>条款</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逐条应答并按要求填写表格；</w:t>
      </w:r>
    </w:p>
    <w:p w14:paraId="4C96239F">
      <w:pPr>
        <w:numPr>
          <w:ilvl w:val="0"/>
          <w:numId w:val="12"/>
        </w:num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若招标文件</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 xml:space="preserve">第三部分 </w:t>
      </w:r>
      <w:r>
        <w:rPr>
          <w:rFonts w:hint="eastAsia" w:ascii="宋体" w:hAnsi="宋体" w:eastAsia="宋体" w:cs="宋体"/>
          <w:b/>
          <w:bCs/>
          <w:color w:val="auto"/>
          <w:kern w:val="0"/>
          <w:szCs w:val="21"/>
          <w:highlight w:val="none"/>
        </w:rPr>
        <w:t>用户需求书”</w:t>
      </w:r>
      <w:r>
        <w:rPr>
          <w:rFonts w:hint="eastAsia" w:ascii="宋体" w:hAnsi="宋体" w:eastAsia="宋体" w:cs="宋体"/>
          <w:color w:val="auto"/>
          <w:kern w:val="0"/>
          <w:szCs w:val="21"/>
          <w:highlight w:val="none"/>
        </w:rPr>
        <w:t>中的实质性条款中规定须提交相关证明文件的，须按要求提供，并作为附件附于表格后。未按要求提供或未提供完整的，视为负偏离处理。</w:t>
      </w:r>
    </w:p>
    <w:p w14:paraId="082D2DCC">
      <w:pPr>
        <w:autoSpaceDE w:val="0"/>
        <w:autoSpaceDN w:val="0"/>
        <w:adjustRightInd w:val="0"/>
        <w:spacing w:line="360" w:lineRule="auto"/>
        <w:jc w:val="left"/>
        <w:rPr>
          <w:rFonts w:hint="eastAsia" w:ascii="宋体" w:hAnsi="宋体" w:eastAsia="宋体" w:cs="宋体"/>
          <w:color w:val="auto"/>
          <w:kern w:val="0"/>
          <w:szCs w:val="21"/>
          <w:highlight w:val="none"/>
        </w:rPr>
      </w:pPr>
    </w:p>
    <w:p w14:paraId="618B1EE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62D809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4780B006">
      <w:pPr>
        <w:rPr>
          <w:rFonts w:hint="eastAsia" w:ascii="宋体" w:hAnsi="宋体" w:eastAsia="宋体" w:cs="宋体"/>
          <w:color w:val="auto"/>
          <w:szCs w:val="21"/>
          <w:highlight w:val="none"/>
        </w:rPr>
      </w:pPr>
    </w:p>
    <w:p w14:paraId="61243FE2">
      <w:pPr>
        <w:rPr>
          <w:rFonts w:hint="eastAsia" w:ascii="宋体" w:hAnsi="宋体" w:eastAsia="宋体" w:cs="宋体"/>
          <w:color w:val="auto"/>
          <w:szCs w:val="21"/>
          <w:highlight w:val="none"/>
        </w:rPr>
      </w:pPr>
    </w:p>
    <w:p w14:paraId="6DF9987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51876EE">
      <w:pPr>
        <w:pStyle w:val="18"/>
        <w:rPr>
          <w:rFonts w:hint="eastAsia"/>
        </w:rPr>
      </w:pPr>
    </w:p>
    <w:bookmarkEnd w:id="205"/>
    <w:p w14:paraId="3A332627">
      <w:pPr>
        <w:pStyle w:val="5"/>
        <w:widowControl w:val="0"/>
        <w:overflowPunct w:val="0"/>
        <w:spacing w:line="240" w:lineRule="auto"/>
        <w:rPr>
          <w:rFonts w:hint="eastAsia" w:ascii="宋体" w:hAnsi="宋体" w:eastAsia="宋体" w:cs="宋体"/>
          <w:color w:val="auto"/>
          <w:sz w:val="21"/>
          <w:szCs w:val="21"/>
          <w:highlight w:val="none"/>
        </w:rPr>
      </w:pPr>
      <w:bookmarkStart w:id="212" w:name="_Toc5672"/>
      <w:bookmarkStart w:id="213" w:name="_Toc26368"/>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.项目实施方案格式</w:t>
      </w:r>
      <w:bookmarkEnd w:id="212"/>
      <w:bookmarkEnd w:id="213"/>
    </w:p>
    <w:p w14:paraId="369B619E">
      <w:pPr>
        <w:jc w:val="center"/>
        <w:rPr>
          <w:rFonts w:hint="eastAsia" w:ascii="宋体" w:hAnsi="宋体" w:eastAsia="宋体" w:cs="宋体"/>
          <w:color w:val="auto"/>
          <w:sz w:val="32"/>
          <w:szCs w:val="32"/>
          <w:highlight w:val="none"/>
        </w:rPr>
      </w:pPr>
    </w:p>
    <w:p w14:paraId="0904357E">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项目实施方案</w:t>
      </w:r>
    </w:p>
    <w:p w14:paraId="0152B125">
      <w:pPr>
        <w:jc w:val="center"/>
        <w:rPr>
          <w:rFonts w:hint="eastAsia" w:ascii="宋体" w:hAnsi="宋体" w:eastAsia="宋体" w:cs="宋体"/>
          <w:color w:val="auto"/>
          <w:sz w:val="32"/>
          <w:szCs w:val="32"/>
          <w:highlight w:val="none"/>
        </w:rPr>
      </w:pPr>
    </w:p>
    <w:p w14:paraId="4F749F72">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、投标人为本项目制定的具体项目实施方案与项目实施流程</w:t>
      </w:r>
    </w:p>
    <w:p w14:paraId="3758AF6F">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、投标方案</w:t>
      </w:r>
    </w:p>
    <w:p w14:paraId="41685F71">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、其他技术资料</w:t>
      </w:r>
    </w:p>
    <w:p w14:paraId="0FC19C60">
      <w:pPr>
        <w:ind w:left="718" w:leftChars="200" w:hanging="298" w:hangingChars="14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p w14:paraId="340DE2F2">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自行编写。</w:t>
      </w:r>
    </w:p>
    <w:p w14:paraId="7BB8C6CB">
      <w:pPr>
        <w:ind w:left="718" w:leftChars="200" w:hanging="298" w:hangingChars="142"/>
        <w:rPr>
          <w:rFonts w:hint="eastAsia" w:ascii="宋体" w:hAnsi="宋体" w:eastAsia="宋体" w:cs="宋体"/>
          <w:color w:val="auto"/>
          <w:szCs w:val="21"/>
          <w:highlight w:val="none"/>
        </w:rPr>
      </w:pPr>
    </w:p>
    <w:p w14:paraId="157B977F">
      <w:pPr>
        <w:ind w:left="718" w:leftChars="200" w:hanging="298" w:hangingChars="142"/>
        <w:rPr>
          <w:rFonts w:hint="eastAsia" w:ascii="宋体" w:hAnsi="宋体" w:eastAsia="宋体" w:cs="宋体"/>
          <w:color w:val="auto"/>
          <w:szCs w:val="21"/>
          <w:highlight w:val="none"/>
        </w:rPr>
      </w:pPr>
    </w:p>
    <w:p w14:paraId="4D68ACBE">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0646C21">
      <w:pPr>
        <w:pStyle w:val="5"/>
        <w:widowControl w:val="0"/>
        <w:overflowPunct w:val="0"/>
        <w:spacing w:line="240" w:lineRule="auto"/>
        <w:rPr>
          <w:rFonts w:hint="eastAsia" w:ascii="宋体" w:hAnsi="宋体" w:eastAsia="宋体" w:cs="宋体"/>
          <w:color w:val="auto"/>
          <w:sz w:val="21"/>
          <w:szCs w:val="21"/>
          <w:highlight w:val="none"/>
        </w:rPr>
      </w:pPr>
      <w:bookmarkStart w:id="214" w:name="_Toc31849"/>
      <w:bookmarkStart w:id="215" w:name="_Toc30530"/>
      <w:r>
        <w:rPr>
          <w:rFonts w:hint="eastAsia" w:ascii="宋体" w:hAnsi="宋体" w:eastAsia="宋体" w:cs="宋体"/>
          <w:color w:val="auto"/>
          <w:sz w:val="21"/>
          <w:szCs w:val="21"/>
          <w:highlight w:val="none"/>
        </w:rPr>
        <w:t>附件1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.实施本项目的有关人员资料表格式</w:t>
      </w:r>
      <w:bookmarkEnd w:id="214"/>
      <w:bookmarkEnd w:id="215"/>
    </w:p>
    <w:p w14:paraId="55AA494E">
      <w:pPr>
        <w:jc w:val="center"/>
        <w:rPr>
          <w:rFonts w:hint="eastAsia" w:ascii="宋体" w:hAnsi="宋体" w:eastAsia="宋体" w:cs="宋体"/>
          <w:color w:val="auto"/>
          <w:szCs w:val="21"/>
          <w:highlight w:val="none"/>
        </w:rPr>
      </w:pPr>
    </w:p>
    <w:p w14:paraId="540A655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实施本项目的有关人员资料表</w:t>
      </w:r>
    </w:p>
    <w:tbl>
      <w:tblPr>
        <w:tblStyle w:val="31"/>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076"/>
        <w:gridCol w:w="1861"/>
        <w:gridCol w:w="702"/>
        <w:gridCol w:w="702"/>
        <w:gridCol w:w="1164"/>
        <w:gridCol w:w="1165"/>
        <w:gridCol w:w="703"/>
      </w:tblGrid>
      <w:tr w14:paraId="4A3C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6A311E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76" w:type="dxa"/>
            <w:vAlign w:val="center"/>
          </w:tcPr>
          <w:p w14:paraId="3DC541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61" w:type="dxa"/>
            <w:vAlign w:val="center"/>
          </w:tcPr>
          <w:p w14:paraId="5E7030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本项目拟任岗位</w:t>
            </w:r>
          </w:p>
        </w:tc>
        <w:tc>
          <w:tcPr>
            <w:tcW w:w="702" w:type="dxa"/>
            <w:vAlign w:val="center"/>
          </w:tcPr>
          <w:p w14:paraId="2102A1B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02" w:type="dxa"/>
            <w:vAlign w:val="center"/>
          </w:tcPr>
          <w:p w14:paraId="3A21E3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64" w:type="dxa"/>
            <w:vAlign w:val="center"/>
          </w:tcPr>
          <w:p w14:paraId="6D0C47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165" w:type="dxa"/>
            <w:vAlign w:val="center"/>
          </w:tcPr>
          <w:p w14:paraId="537C52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资质证书</w:t>
            </w:r>
          </w:p>
        </w:tc>
        <w:tc>
          <w:tcPr>
            <w:tcW w:w="703" w:type="dxa"/>
            <w:tcBorders>
              <w:right w:val="single" w:color="auto" w:sz="6" w:space="0"/>
            </w:tcBorders>
            <w:vAlign w:val="center"/>
          </w:tcPr>
          <w:p w14:paraId="560B04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629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19994ED8">
            <w:pPr>
              <w:spacing w:line="288" w:lineRule="auto"/>
              <w:jc w:val="center"/>
              <w:rPr>
                <w:rFonts w:hint="eastAsia" w:ascii="宋体" w:hAnsi="宋体" w:eastAsia="宋体" w:cs="宋体"/>
                <w:color w:val="auto"/>
                <w:szCs w:val="21"/>
                <w:highlight w:val="none"/>
              </w:rPr>
            </w:pPr>
          </w:p>
        </w:tc>
        <w:tc>
          <w:tcPr>
            <w:tcW w:w="1076" w:type="dxa"/>
            <w:vAlign w:val="center"/>
          </w:tcPr>
          <w:p w14:paraId="53BF2E9C">
            <w:pPr>
              <w:spacing w:line="288" w:lineRule="auto"/>
              <w:jc w:val="center"/>
              <w:rPr>
                <w:rFonts w:hint="eastAsia" w:ascii="宋体" w:hAnsi="宋体" w:eastAsia="宋体" w:cs="宋体"/>
                <w:color w:val="auto"/>
                <w:szCs w:val="21"/>
                <w:highlight w:val="none"/>
              </w:rPr>
            </w:pPr>
          </w:p>
        </w:tc>
        <w:tc>
          <w:tcPr>
            <w:tcW w:w="1861" w:type="dxa"/>
            <w:vAlign w:val="center"/>
          </w:tcPr>
          <w:p w14:paraId="2736EAB2">
            <w:pPr>
              <w:spacing w:line="288" w:lineRule="auto"/>
              <w:jc w:val="center"/>
              <w:rPr>
                <w:rFonts w:hint="eastAsia" w:ascii="宋体" w:hAnsi="宋体" w:eastAsia="宋体" w:cs="宋体"/>
                <w:color w:val="auto"/>
                <w:szCs w:val="21"/>
                <w:highlight w:val="none"/>
              </w:rPr>
            </w:pPr>
          </w:p>
        </w:tc>
        <w:tc>
          <w:tcPr>
            <w:tcW w:w="702" w:type="dxa"/>
            <w:vAlign w:val="center"/>
          </w:tcPr>
          <w:p w14:paraId="6D9A77DC">
            <w:pPr>
              <w:spacing w:line="288" w:lineRule="auto"/>
              <w:jc w:val="center"/>
              <w:rPr>
                <w:rFonts w:hint="eastAsia" w:ascii="宋体" w:hAnsi="宋体" w:eastAsia="宋体" w:cs="宋体"/>
                <w:color w:val="auto"/>
                <w:szCs w:val="21"/>
                <w:highlight w:val="none"/>
              </w:rPr>
            </w:pPr>
          </w:p>
        </w:tc>
        <w:tc>
          <w:tcPr>
            <w:tcW w:w="702" w:type="dxa"/>
            <w:vAlign w:val="center"/>
          </w:tcPr>
          <w:p w14:paraId="1725C60B">
            <w:pPr>
              <w:spacing w:line="288" w:lineRule="auto"/>
              <w:jc w:val="center"/>
              <w:rPr>
                <w:rFonts w:hint="eastAsia" w:ascii="宋体" w:hAnsi="宋体" w:eastAsia="宋体" w:cs="宋体"/>
                <w:color w:val="auto"/>
                <w:szCs w:val="21"/>
                <w:highlight w:val="none"/>
              </w:rPr>
            </w:pPr>
          </w:p>
        </w:tc>
        <w:tc>
          <w:tcPr>
            <w:tcW w:w="1164" w:type="dxa"/>
            <w:vAlign w:val="center"/>
          </w:tcPr>
          <w:p w14:paraId="61D148CD">
            <w:pPr>
              <w:spacing w:line="288" w:lineRule="auto"/>
              <w:jc w:val="center"/>
              <w:rPr>
                <w:rFonts w:hint="eastAsia" w:ascii="宋体" w:hAnsi="宋体" w:eastAsia="宋体" w:cs="宋体"/>
                <w:color w:val="auto"/>
                <w:szCs w:val="21"/>
                <w:highlight w:val="none"/>
              </w:rPr>
            </w:pPr>
          </w:p>
        </w:tc>
        <w:tc>
          <w:tcPr>
            <w:tcW w:w="1165" w:type="dxa"/>
            <w:vAlign w:val="center"/>
          </w:tcPr>
          <w:p w14:paraId="7E7CF2A8">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25F874E9">
            <w:pPr>
              <w:spacing w:line="288" w:lineRule="auto"/>
              <w:jc w:val="center"/>
              <w:rPr>
                <w:rFonts w:hint="eastAsia" w:ascii="宋体" w:hAnsi="宋体" w:eastAsia="宋体" w:cs="宋体"/>
                <w:color w:val="auto"/>
                <w:szCs w:val="21"/>
                <w:highlight w:val="none"/>
              </w:rPr>
            </w:pPr>
          </w:p>
        </w:tc>
      </w:tr>
      <w:tr w14:paraId="2736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0DDD56EC">
            <w:pPr>
              <w:spacing w:line="288" w:lineRule="auto"/>
              <w:jc w:val="center"/>
              <w:rPr>
                <w:rFonts w:hint="eastAsia" w:ascii="宋体" w:hAnsi="宋体" w:eastAsia="宋体" w:cs="宋体"/>
                <w:color w:val="auto"/>
                <w:szCs w:val="21"/>
                <w:highlight w:val="none"/>
              </w:rPr>
            </w:pPr>
          </w:p>
        </w:tc>
        <w:tc>
          <w:tcPr>
            <w:tcW w:w="1076" w:type="dxa"/>
            <w:vAlign w:val="center"/>
          </w:tcPr>
          <w:p w14:paraId="77D6BC83">
            <w:pPr>
              <w:spacing w:line="288" w:lineRule="auto"/>
              <w:jc w:val="center"/>
              <w:rPr>
                <w:rFonts w:hint="eastAsia" w:ascii="宋体" w:hAnsi="宋体" w:eastAsia="宋体" w:cs="宋体"/>
                <w:color w:val="auto"/>
                <w:szCs w:val="21"/>
                <w:highlight w:val="none"/>
              </w:rPr>
            </w:pPr>
          </w:p>
        </w:tc>
        <w:tc>
          <w:tcPr>
            <w:tcW w:w="1861" w:type="dxa"/>
            <w:vAlign w:val="center"/>
          </w:tcPr>
          <w:p w14:paraId="306193A6">
            <w:pPr>
              <w:spacing w:line="288" w:lineRule="auto"/>
              <w:jc w:val="center"/>
              <w:rPr>
                <w:rFonts w:hint="eastAsia" w:ascii="宋体" w:hAnsi="宋体" w:eastAsia="宋体" w:cs="宋体"/>
                <w:color w:val="auto"/>
                <w:szCs w:val="21"/>
                <w:highlight w:val="none"/>
              </w:rPr>
            </w:pPr>
          </w:p>
        </w:tc>
        <w:tc>
          <w:tcPr>
            <w:tcW w:w="702" w:type="dxa"/>
            <w:vAlign w:val="center"/>
          </w:tcPr>
          <w:p w14:paraId="4B3FBCC0">
            <w:pPr>
              <w:spacing w:line="288" w:lineRule="auto"/>
              <w:jc w:val="center"/>
              <w:rPr>
                <w:rFonts w:hint="eastAsia" w:ascii="宋体" w:hAnsi="宋体" w:eastAsia="宋体" w:cs="宋体"/>
                <w:color w:val="auto"/>
                <w:szCs w:val="21"/>
                <w:highlight w:val="none"/>
              </w:rPr>
            </w:pPr>
          </w:p>
        </w:tc>
        <w:tc>
          <w:tcPr>
            <w:tcW w:w="702" w:type="dxa"/>
            <w:vAlign w:val="center"/>
          </w:tcPr>
          <w:p w14:paraId="74FFBF67">
            <w:pPr>
              <w:spacing w:line="288" w:lineRule="auto"/>
              <w:jc w:val="center"/>
              <w:rPr>
                <w:rFonts w:hint="eastAsia" w:ascii="宋体" w:hAnsi="宋体" w:eastAsia="宋体" w:cs="宋体"/>
                <w:color w:val="auto"/>
                <w:szCs w:val="21"/>
                <w:highlight w:val="none"/>
              </w:rPr>
            </w:pPr>
          </w:p>
        </w:tc>
        <w:tc>
          <w:tcPr>
            <w:tcW w:w="1164" w:type="dxa"/>
            <w:vAlign w:val="center"/>
          </w:tcPr>
          <w:p w14:paraId="55FD2EDA">
            <w:pPr>
              <w:spacing w:line="288" w:lineRule="auto"/>
              <w:jc w:val="center"/>
              <w:rPr>
                <w:rFonts w:hint="eastAsia" w:ascii="宋体" w:hAnsi="宋体" w:eastAsia="宋体" w:cs="宋体"/>
                <w:color w:val="auto"/>
                <w:szCs w:val="21"/>
                <w:highlight w:val="none"/>
              </w:rPr>
            </w:pPr>
          </w:p>
        </w:tc>
        <w:tc>
          <w:tcPr>
            <w:tcW w:w="1165" w:type="dxa"/>
            <w:vAlign w:val="center"/>
          </w:tcPr>
          <w:p w14:paraId="21BD1BA0">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21290E7C">
            <w:pPr>
              <w:spacing w:line="288" w:lineRule="auto"/>
              <w:jc w:val="center"/>
              <w:rPr>
                <w:rFonts w:hint="eastAsia" w:ascii="宋体" w:hAnsi="宋体" w:eastAsia="宋体" w:cs="宋体"/>
                <w:color w:val="auto"/>
                <w:szCs w:val="21"/>
                <w:highlight w:val="none"/>
              </w:rPr>
            </w:pPr>
          </w:p>
        </w:tc>
      </w:tr>
      <w:tr w14:paraId="70CA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508E6CDE">
            <w:pPr>
              <w:spacing w:line="288" w:lineRule="auto"/>
              <w:jc w:val="center"/>
              <w:rPr>
                <w:rFonts w:hint="eastAsia" w:ascii="宋体" w:hAnsi="宋体" w:eastAsia="宋体" w:cs="宋体"/>
                <w:color w:val="auto"/>
                <w:szCs w:val="21"/>
                <w:highlight w:val="none"/>
              </w:rPr>
            </w:pPr>
          </w:p>
        </w:tc>
        <w:tc>
          <w:tcPr>
            <w:tcW w:w="1076" w:type="dxa"/>
            <w:vAlign w:val="center"/>
          </w:tcPr>
          <w:p w14:paraId="28423CBF">
            <w:pPr>
              <w:spacing w:line="288" w:lineRule="auto"/>
              <w:jc w:val="center"/>
              <w:rPr>
                <w:rFonts w:hint="eastAsia" w:ascii="宋体" w:hAnsi="宋体" w:eastAsia="宋体" w:cs="宋体"/>
                <w:color w:val="auto"/>
                <w:szCs w:val="21"/>
                <w:highlight w:val="none"/>
              </w:rPr>
            </w:pPr>
          </w:p>
        </w:tc>
        <w:tc>
          <w:tcPr>
            <w:tcW w:w="1861" w:type="dxa"/>
            <w:vAlign w:val="center"/>
          </w:tcPr>
          <w:p w14:paraId="25CF2670">
            <w:pPr>
              <w:spacing w:line="288" w:lineRule="auto"/>
              <w:jc w:val="center"/>
              <w:rPr>
                <w:rFonts w:hint="eastAsia" w:ascii="宋体" w:hAnsi="宋体" w:eastAsia="宋体" w:cs="宋体"/>
                <w:color w:val="auto"/>
                <w:szCs w:val="21"/>
                <w:highlight w:val="none"/>
              </w:rPr>
            </w:pPr>
          </w:p>
        </w:tc>
        <w:tc>
          <w:tcPr>
            <w:tcW w:w="702" w:type="dxa"/>
            <w:vAlign w:val="center"/>
          </w:tcPr>
          <w:p w14:paraId="5C08AC84">
            <w:pPr>
              <w:spacing w:line="288" w:lineRule="auto"/>
              <w:jc w:val="center"/>
              <w:rPr>
                <w:rFonts w:hint="eastAsia" w:ascii="宋体" w:hAnsi="宋体" w:eastAsia="宋体" w:cs="宋体"/>
                <w:color w:val="auto"/>
                <w:szCs w:val="21"/>
                <w:highlight w:val="none"/>
              </w:rPr>
            </w:pPr>
          </w:p>
        </w:tc>
        <w:tc>
          <w:tcPr>
            <w:tcW w:w="702" w:type="dxa"/>
            <w:vAlign w:val="center"/>
          </w:tcPr>
          <w:p w14:paraId="04E4B05F">
            <w:pPr>
              <w:spacing w:line="288" w:lineRule="auto"/>
              <w:jc w:val="center"/>
              <w:rPr>
                <w:rFonts w:hint="eastAsia" w:ascii="宋体" w:hAnsi="宋体" w:eastAsia="宋体" w:cs="宋体"/>
                <w:color w:val="auto"/>
                <w:szCs w:val="21"/>
                <w:highlight w:val="none"/>
              </w:rPr>
            </w:pPr>
          </w:p>
        </w:tc>
        <w:tc>
          <w:tcPr>
            <w:tcW w:w="1164" w:type="dxa"/>
            <w:vAlign w:val="center"/>
          </w:tcPr>
          <w:p w14:paraId="63E7CE6E">
            <w:pPr>
              <w:spacing w:line="288" w:lineRule="auto"/>
              <w:jc w:val="center"/>
              <w:rPr>
                <w:rFonts w:hint="eastAsia" w:ascii="宋体" w:hAnsi="宋体" w:eastAsia="宋体" w:cs="宋体"/>
                <w:color w:val="auto"/>
                <w:szCs w:val="21"/>
                <w:highlight w:val="none"/>
              </w:rPr>
            </w:pPr>
          </w:p>
        </w:tc>
        <w:tc>
          <w:tcPr>
            <w:tcW w:w="1165" w:type="dxa"/>
            <w:vAlign w:val="center"/>
          </w:tcPr>
          <w:p w14:paraId="37731159">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76EB450A">
            <w:pPr>
              <w:spacing w:line="288" w:lineRule="auto"/>
              <w:jc w:val="center"/>
              <w:rPr>
                <w:rFonts w:hint="eastAsia" w:ascii="宋体" w:hAnsi="宋体" w:eastAsia="宋体" w:cs="宋体"/>
                <w:color w:val="auto"/>
                <w:szCs w:val="21"/>
                <w:highlight w:val="none"/>
              </w:rPr>
            </w:pPr>
          </w:p>
        </w:tc>
      </w:tr>
      <w:tr w14:paraId="7ED4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221D29A8">
            <w:pPr>
              <w:spacing w:line="288" w:lineRule="auto"/>
              <w:jc w:val="center"/>
              <w:rPr>
                <w:rFonts w:hint="eastAsia" w:ascii="宋体" w:hAnsi="宋体" w:eastAsia="宋体" w:cs="宋体"/>
                <w:color w:val="auto"/>
                <w:szCs w:val="21"/>
                <w:highlight w:val="none"/>
              </w:rPr>
            </w:pPr>
          </w:p>
        </w:tc>
        <w:tc>
          <w:tcPr>
            <w:tcW w:w="1076" w:type="dxa"/>
            <w:vAlign w:val="center"/>
          </w:tcPr>
          <w:p w14:paraId="07563B6F">
            <w:pPr>
              <w:spacing w:line="288" w:lineRule="auto"/>
              <w:jc w:val="center"/>
              <w:rPr>
                <w:rFonts w:hint="eastAsia" w:ascii="宋体" w:hAnsi="宋体" w:eastAsia="宋体" w:cs="宋体"/>
                <w:color w:val="auto"/>
                <w:szCs w:val="21"/>
                <w:highlight w:val="none"/>
              </w:rPr>
            </w:pPr>
          </w:p>
        </w:tc>
        <w:tc>
          <w:tcPr>
            <w:tcW w:w="1861" w:type="dxa"/>
            <w:vAlign w:val="center"/>
          </w:tcPr>
          <w:p w14:paraId="50066711">
            <w:pPr>
              <w:spacing w:line="288" w:lineRule="auto"/>
              <w:jc w:val="center"/>
              <w:rPr>
                <w:rFonts w:hint="eastAsia" w:ascii="宋体" w:hAnsi="宋体" w:eastAsia="宋体" w:cs="宋体"/>
                <w:color w:val="auto"/>
                <w:szCs w:val="21"/>
                <w:highlight w:val="none"/>
              </w:rPr>
            </w:pPr>
          </w:p>
        </w:tc>
        <w:tc>
          <w:tcPr>
            <w:tcW w:w="702" w:type="dxa"/>
            <w:vAlign w:val="center"/>
          </w:tcPr>
          <w:p w14:paraId="5D0D563F">
            <w:pPr>
              <w:spacing w:line="288" w:lineRule="auto"/>
              <w:jc w:val="center"/>
              <w:rPr>
                <w:rFonts w:hint="eastAsia" w:ascii="宋体" w:hAnsi="宋体" w:eastAsia="宋体" w:cs="宋体"/>
                <w:color w:val="auto"/>
                <w:szCs w:val="21"/>
                <w:highlight w:val="none"/>
              </w:rPr>
            </w:pPr>
          </w:p>
        </w:tc>
        <w:tc>
          <w:tcPr>
            <w:tcW w:w="702" w:type="dxa"/>
            <w:vAlign w:val="center"/>
          </w:tcPr>
          <w:p w14:paraId="29283396">
            <w:pPr>
              <w:spacing w:line="288" w:lineRule="auto"/>
              <w:jc w:val="center"/>
              <w:rPr>
                <w:rFonts w:hint="eastAsia" w:ascii="宋体" w:hAnsi="宋体" w:eastAsia="宋体" w:cs="宋体"/>
                <w:color w:val="auto"/>
                <w:szCs w:val="21"/>
                <w:highlight w:val="none"/>
              </w:rPr>
            </w:pPr>
          </w:p>
        </w:tc>
        <w:tc>
          <w:tcPr>
            <w:tcW w:w="1164" w:type="dxa"/>
            <w:vAlign w:val="center"/>
          </w:tcPr>
          <w:p w14:paraId="4D813210">
            <w:pPr>
              <w:spacing w:line="288" w:lineRule="auto"/>
              <w:jc w:val="center"/>
              <w:rPr>
                <w:rFonts w:hint="eastAsia" w:ascii="宋体" w:hAnsi="宋体" w:eastAsia="宋体" w:cs="宋体"/>
                <w:color w:val="auto"/>
                <w:szCs w:val="21"/>
                <w:highlight w:val="none"/>
              </w:rPr>
            </w:pPr>
          </w:p>
        </w:tc>
        <w:tc>
          <w:tcPr>
            <w:tcW w:w="1165" w:type="dxa"/>
            <w:vAlign w:val="center"/>
          </w:tcPr>
          <w:p w14:paraId="7BEA1C02">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5FB7EC9C">
            <w:pPr>
              <w:spacing w:line="288" w:lineRule="auto"/>
              <w:jc w:val="center"/>
              <w:rPr>
                <w:rFonts w:hint="eastAsia" w:ascii="宋体" w:hAnsi="宋体" w:eastAsia="宋体" w:cs="宋体"/>
                <w:color w:val="auto"/>
                <w:szCs w:val="21"/>
                <w:highlight w:val="none"/>
              </w:rPr>
            </w:pPr>
          </w:p>
        </w:tc>
      </w:tr>
      <w:tr w14:paraId="22C6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3BD35B03">
            <w:pPr>
              <w:spacing w:line="288" w:lineRule="auto"/>
              <w:jc w:val="center"/>
              <w:rPr>
                <w:rFonts w:hint="eastAsia" w:ascii="宋体" w:hAnsi="宋体" w:eastAsia="宋体" w:cs="宋体"/>
                <w:color w:val="auto"/>
                <w:szCs w:val="21"/>
                <w:highlight w:val="none"/>
              </w:rPr>
            </w:pPr>
          </w:p>
        </w:tc>
        <w:tc>
          <w:tcPr>
            <w:tcW w:w="1076" w:type="dxa"/>
            <w:vAlign w:val="center"/>
          </w:tcPr>
          <w:p w14:paraId="4F9669F5">
            <w:pPr>
              <w:spacing w:line="288" w:lineRule="auto"/>
              <w:jc w:val="center"/>
              <w:rPr>
                <w:rFonts w:hint="eastAsia" w:ascii="宋体" w:hAnsi="宋体" w:eastAsia="宋体" w:cs="宋体"/>
                <w:color w:val="auto"/>
                <w:szCs w:val="21"/>
                <w:highlight w:val="none"/>
              </w:rPr>
            </w:pPr>
          </w:p>
        </w:tc>
        <w:tc>
          <w:tcPr>
            <w:tcW w:w="1861" w:type="dxa"/>
            <w:vAlign w:val="center"/>
          </w:tcPr>
          <w:p w14:paraId="3EC282A8">
            <w:pPr>
              <w:spacing w:line="288" w:lineRule="auto"/>
              <w:jc w:val="center"/>
              <w:rPr>
                <w:rFonts w:hint="eastAsia" w:ascii="宋体" w:hAnsi="宋体" w:eastAsia="宋体" w:cs="宋体"/>
                <w:color w:val="auto"/>
                <w:szCs w:val="21"/>
                <w:highlight w:val="none"/>
              </w:rPr>
            </w:pPr>
          </w:p>
        </w:tc>
        <w:tc>
          <w:tcPr>
            <w:tcW w:w="702" w:type="dxa"/>
            <w:vAlign w:val="center"/>
          </w:tcPr>
          <w:p w14:paraId="257A07E0">
            <w:pPr>
              <w:spacing w:line="288" w:lineRule="auto"/>
              <w:jc w:val="center"/>
              <w:rPr>
                <w:rFonts w:hint="eastAsia" w:ascii="宋体" w:hAnsi="宋体" w:eastAsia="宋体" w:cs="宋体"/>
                <w:color w:val="auto"/>
                <w:szCs w:val="21"/>
                <w:highlight w:val="none"/>
              </w:rPr>
            </w:pPr>
          </w:p>
        </w:tc>
        <w:tc>
          <w:tcPr>
            <w:tcW w:w="702" w:type="dxa"/>
            <w:vAlign w:val="center"/>
          </w:tcPr>
          <w:p w14:paraId="28315410">
            <w:pPr>
              <w:spacing w:line="288" w:lineRule="auto"/>
              <w:jc w:val="center"/>
              <w:rPr>
                <w:rFonts w:hint="eastAsia" w:ascii="宋体" w:hAnsi="宋体" w:eastAsia="宋体" w:cs="宋体"/>
                <w:color w:val="auto"/>
                <w:szCs w:val="21"/>
                <w:highlight w:val="none"/>
              </w:rPr>
            </w:pPr>
          </w:p>
        </w:tc>
        <w:tc>
          <w:tcPr>
            <w:tcW w:w="1164" w:type="dxa"/>
            <w:vAlign w:val="center"/>
          </w:tcPr>
          <w:p w14:paraId="0185309A">
            <w:pPr>
              <w:spacing w:line="288" w:lineRule="auto"/>
              <w:jc w:val="center"/>
              <w:rPr>
                <w:rFonts w:hint="eastAsia" w:ascii="宋体" w:hAnsi="宋体" w:eastAsia="宋体" w:cs="宋体"/>
                <w:color w:val="auto"/>
                <w:szCs w:val="21"/>
                <w:highlight w:val="none"/>
              </w:rPr>
            </w:pPr>
          </w:p>
        </w:tc>
        <w:tc>
          <w:tcPr>
            <w:tcW w:w="1165" w:type="dxa"/>
            <w:vAlign w:val="center"/>
          </w:tcPr>
          <w:p w14:paraId="0B0476C0">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78323E7B">
            <w:pPr>
              <w:spacing w:line="288" w:lineRule="auto"/>
              <w:jc w:val="center"/>
              <w:rPr>
                <w:rFonts w:hint="eastAsia" w:ascii="宋体" w:hAnsi="宋体" w:eastAsia="宋体" w:cs="宋体"/>
                <w:color w:val="auto"/>
                <w:szCs w:val="21"/>
                <w:highlight w:val="none"/>
              </w:rPr>
            </w:pPr>
          </w:p>
        </w:tc>
      </w:tr>
      <w:tr w14:paraId="0CA8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563F3DAC">
            <w:pPr>
              <w:spacing w:line="288" w:lineRule="auto"/>
              <w:jc w:val="center"/>
              <w:rPr>
                <w:rFonts w:hint="eastAsia" w:ascii="宋体" w:hAnsi="宋体" w:eastAsia="宋体" w:cs="宋体"/>
                <w:color w:val="auto"/>
                <w:szCs w:val="21"/>
                <w:highlight w:val="none"/>
              </w:rPr>
            </w:pPr>
          </w:p>
        </w:tc>
        <w:tc>
          <w:tcPr>
            <w:tcW w:w="1076" w:type="dxa"/>
            <w:vAlign w:val="center"/>
          </w:tcPr>
          <w:p w14:paraId="5A2BE15B">
            <w:pPr>
              <w:spacing w:line="288" w:lineRule="auto"/>
              <w:jc w:val="center"/>
              <w:rPr>
                <w:rFonts w:hint="eastAsia" w:ascii="宋体" w:hAnsi="宋体" w:eastAsia="宋体" w:cs="宋体"/>
                <w:color w:val="auto"/>
                <w:szCs w:val="21"/>
                <w:highlight w:val="none"/>
              </w:rPr>
            </w:pPr>
          </w:p>
        </w:tc>
        <w:tc>
          <w:tcPr>
            <w:tcW w:w="1861" w:type="dxa"/>
            <w:vAlign w:val="center"/>
          </w:tcPr>
          <w:p w14:paraId="76195087">
            <w:pPr>
              <w:spacing w:line="288" w:lineRule="auto"/>
              <w:jc w:val="center"/>
              <w:rPr>
                <w:rFonts w:hint="eastAsia" w:ascii="宋体" w:hAnsi="宋体" w:eastAsia="宋体" w:cs="宋体"/>
                <w:color w:val="auto"/>
                <w:szCs w:val="21"/>
                <w:highlight w:val="none"/>
              </w:rPr>
            </w:pPr>
          </w:p>
        </w:tc>
        <w:tc>
          <w:tcPr>
            <w:tcW w:w="702" w:type="dxa"/>
            <w:vAlign w:val="center"/>
          </w:tcPr>
          <w:p w14:paraId="7EDBE651">
            <w:pPr>
              <w:spacing w:line="288" w:lineRule="auto"/>
              <w:jc w:val="center"/>
              <w:rPr>
                <w:rFonts w:hint="eastAsia" w:ascii="宋体" w:hAnsi="宋体" w:eastAsia="宋体" w:cs="宋体"/>
                <w:color w:val="auto"/>
                <w:szCs w:val="21"/>
                <w:highlight w:val="none"/>
              </w:rPr>
            </w:pPr>
          </w:p>
        </w:tc>
        <w:tc>
          <w:tcPr>
            <w:tcW w:w="702" w:type="dxa"/>
            <w:vAlign w:val="center"/>
          </w:tcPr>
          <w:p w14:paraId="1E68EFC5">
            <w:pPr>
              <w:spacing w:line="288" w:lineRule="auto"/>
              <w:jc w:val="center"/>
              <w:rPr>
                <w:rFonts w:hint="eastAsia" w:ascii="宋体" w:hAnsi="宋体" w:eastAsia="宋体" w:cs="宋体"/>
                <w:color w:val="auto"/>
                <w:szCs w:val="21"/>
                <w:highlight w:val="none"/>
              </w:rPr>
            </w:pPr>
          </w:p>
        </w:tc>
        <w:tc>
          <w:tcPr>
            <w:tcW w:w="1164" w:type="dxa"/>
            <w:vAlign w:val="center"/>
          </w:tcPr>
          <w:p w14:paraId="31D383D3">
            <w:pPr>
              <w:spacing w:line="288" w:lineRule="auto"/>
              <w:jc w:val="center"/>
              <w:rPr>
                <w:rFonts w:hint="eastAsia" w:ascii="宋体" w:hAnsi="宋体" w:eastAsia="宋体" w:cs="宋体"/>
                <w:color w:val="auto"/>
                <w:szCs w:val="21"/>
                <w:highlight w:val="none"/>
              </w:rPr>
            </w:pPr>
          </w:p>
        </w:tc>
        <w:tc>
          <w:tcPr>
            <w:tcW w:w="1165" w:type="dxa"/>
            <w:vAlign w:val="center"/>
          </w:tcPr>
          <w:p w14:paraId="6745B012">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19A49AE6">
            <w:pPr>
              <w:spacing w:line="288" w:lineRule="auto"/>
              <w:jc w:val="center"/>
              <w:rPr>
                <w:rFonts w:hint="eastAsia" w:ascii="宋体" w:hAnsi="宋体" w:eastAsia="宋体" w:cs="宋体"/>
                <w:color w:val="auto"/>
                <w:szCs w:val="21"/>
                <w:highlight w:val="none"/>
              </w:rPr>
            </w:pPr>
          </w:p>
        </w:tc>
      </w:tr>
      <w:tr w14:paraId="6747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6EC0020C">
            <w:pPr>
              <w:spacing w:line="288" w:lineRule="auto"/>
              <w:jc w:val="center"/>
              <w:rPr>
                <w:rFonts w:hint="eastAsia" w:ascii="宋体" w:hAnsi="宋体" w:eastAsia="宋体" w:cs="宋体"/>
                <w:color w:val="auto"/>
                <w:szCs w:val="21"/>
                <w:highlight w:val="none"/>
              </w:rPr>
            </w:pPr>
          </w:p>
        </w:tc>
        <w:tc>
          <w:tcPr>
            <w:tcW w:w="1076" w:type="dxa"/>
            <w:vAlign w:val="center"/>
          </w:tcPr>
          <w:p w14:paraId="6A310C10">
            <w:pPr>
              <w:spacing w:line="288" w:lineRule="auto"/>
              <w:jc w:val="center"/>
              <w:rPr>
                <w:rFonts w:hint="eastAsia" w:ascii="宋体" w:hAnsi="宋体" w:eastAsia="宋体" w:cs="宋体"/>
                <w:color w:val="auto"/>
                <w:szCs w:val="21"/>
                <w:highlight w:val="none"/>
              </w:rPr>
            </w:pPr>
          </w:p>
        </w:tc>
        <w:tc>
          <w:tcPr>
            <w:tcW w:w="1861" w:type="dxa"/>
            <w:vAlign w:val="center"/>
          </w:tcPr>
          <w:p w14:paraId="7D065EBA">
            <w:pPr>
              <w:spacing w:line="288" w:lineRule="auto"/>
              <w:jc w:val="center"/>
              <w:rPr>
                <w:rFonts w:hint="eastAsia" w:ascii="宋体" w:hAnsi="宋体" w:eastAsia="宋体" w:cs="宋体"/>
                <w:color w:val="auto"/>
                <w:szCs w:val="21"/>
                <w:highlight w:val="none"/>
              </w:rPr>
            </w:pPr>
          </w:p>
        </w:tc>
        <w:tc>
          <w:tcPr>
            <w:tcW w:w="702" w:type="dxa"/>
            <w:vAlign w:val="center"/>
          </w:tcPr>
          <w:p w14:paraId="620F7DDE">
            <w:pPr>
              <w:spacing w:line="288" w:lineRule="auto"/>
              <w:jc w:val="center"/>
              <w:rPr>
                <w:rFonts w:hint="eastAsia" w:ascii="宋体" w:hAnsi="宋体" w:eastAsia="宋体" w:cs="宋体"/>
                <w:color w:val="auto"/>
                <w:szCs w:val="21"/>
                <w:highlight w:val="none"/>
              </w:rPr>
            </w:pPr>
          </w:p>
        </w:tc>
        <w:tc>
          <w:tcPr>
            <w:tcW w:w="702" w:type="dxa"/>
            <w:vAlign w:val="center"/>
          </w:tcPr>
          <w:p w14:paraId="550A92F0">
            <w:pPr>
              <w:spacing w:line="288" w:lineRule="auto"/>
              <w:jc w:val="center"/>
              <w:rPr>
                <w:rFonts w:hint="eastAsia" w:ascii="宋体" w:hAnsi="宋体" w:eastAsia="宋体" w:cs="宋体"/>
                <w:color w:val="auto"/>
                <w:szCs w:val="21"/>
                <w:highlight w:val="none"/>
              </w:rPr>
            </w:pPr>
          </w:p>
        </w:tc>
        <w:tc>
          <w:tcPr>
            <w:tcW w:w="1164" w:type="dxa"/>
            <w:vAlign w:val="center"/>
          </w:tcPr>
          <w:p w14:paraId="1F0B412E">
            <w:pPr>
              <w:spacing w:line="288" w:lineRule="auto"/>
              <w:jc w:val="center"/>
              <w:rPr>
                <w:rFonts w:hint="eastAsia" w:ascii="宋体" w:hAnsi="宋体" w:eastAsia="宋体" w:cs="宋体"/>
                <w:color w:val="auto"/>
                <w:szCs w:val="21"/>
                <w:highlight w:val="none"/>
              </w:rPr>
            </w:pPr>
          </w:p>
        </w:tc>
        <w:tc>
          <w:tcPr>
            <w:tcW w:w="1165" w:type="dxa"/>
            <w:vAlign w:val="center"/>
          </w:tcPr>
          <w:p w14:paraId="036BEC9A">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09BBEB96">
            <w:pPr>
              <w:spacing w:line="288" w:lineRule="auto"/>
              <w:jc w:val="center"/>
              <w:rPr>
                <w:rFonts w:hint="eastAsia" w:ascii="宋体" w:hAnsi="宋体" w:eastAsia="宋体" w:cs="宋体"/>
                <w:color w:val="auto"/>
                <w:szCs w:val="21"/>
                <w:highlight w:val="none"/>
              </w:rPr>
            </w:pPr>
          </w:p>
        </w:tc>
      </w:tr>
      <w:tr w14:paraId="170A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3B04E835">
            <w:pPr>
              <w:spacing w:line="288" w:lineRule="auto"/>
              <w:jc w:val="center"/>
              <w:rPr>
                <w:rFonts w:hint="eastAsia" w:ascii="宋体" w:hAnsi="宋体" w:eastAsia="宋体" w:cs="宋体"/>
                <w:color w:val="auto"/>
                <w:szCs w:val="21"/>
                <w:highlight w:val="none"/>
              </w:rPr>
            </w:pPr>
          </w:p>
        </w:tc>
        <w:tc>
          <w:tcPr>
            <w:tcW w:w="1076" w:type="dxa"/>
            <w:vAlign w:val="center"/>
          </w:tcPr>
          <w:p w14:paraId="6EA0B590">
            <w:pPr>
              <w:spacing w:line="288" w:lineRule="auto"/>
              <w:jc w:val="center"/>
              <w:rPr>
                <w:rFonts w:hint="eastAsia" w:ascii="宋体" w:hAnsi="宋体" w:eastAsia="宋体" w:cs="宋体"/>
                <w:color w:val="auto"/>
                <w:szCs w:val="21"/>
                <w:highlight w:val="none"/>
              </w:rPr>
            </w:pPr>
          </w:p>
        </w:tc>
        <w:tc>
          <w:tcPr>
            <w:tcW w:w="1861" w:type="dxa"/>
            <w:vAlign w:val="center"/>
          </w:tcPr>
          <w:p w14:paraId="0FABBD69">
            <w:pPr>
              <w:spacing w:line="288" w:lineRule="auto"/>
              <w:jc w:val="center"/>
              <w:rPr>
                <w:rFonts w:hint="eastAsia" w:ascii="宋体" w:hAnsi="宋体" w:eastAsia="宋体" w:cs="宋体"/>
                <w:color w:val="auto"/>
                <w:szCs w:val="21"/>
                <w:highlight w:val="none"/>
              </w:rPr>
            </w:pPr>
          </w:p>
        </w:tc>
        <w:tc>
          <w:tcPr>
            <w:tcW w:w="702" w:type="dxa"/>
            <w:vAlign w:val="center"/>
          </w:tcPr>
          <w:p w14:paraId="196B0DEC">
            <w:pPr>
              <w:spacing w:line="288" w:lineRule="auto"/>
              <w:jc w:val="center"/>
              <w:rPr>
                <w:rFonts w:hint="eastAsia" w:ascii="宋体" w:hAnsi="宋体" w:eastAsia="宋体" w:cs="宋体"/>
                <w:color w:val="auto"/>
                <w:szCs w:val="21"/>
                <w:highlight w:val="none"/>
              </w:rPr>
            </w:pPr>
          </w:p>
        </w:tc>
        <w:tc>
          <w:tcPr>
            <w:tcW w:w="702" w:type="dxa"/>
            <w:vAlign w:val="center"/>
          </w:tcPr>
          <w:p w14:paraId="3068259D">
            <w:pPr>
              <w:spacing w:line="288" w:lineRule="auto"/>
              <w:jc w:val="center"/>
              <w:rPr>
                <w:rFonts w:hint="eastAsia" w:ascii="宋体" w:hAnsi="宋体" w:eastAsia="宋体" w:cs="宋体"/>
                <w:color w:val="auto"/>
                <w:szCs w:val="21"/>
                <w:highlight w:val="none"/>
              </w:rPr>
            </w:pPr>
          </w:p>
        </w:tc>
        <w:tc>
          <w:tcPr>
            <w:tcW w:w="1164" w:type="dxa"/>
            <w:vAlign w:val="center"/>
          </w:tcPr>
          <w:p w14:paraId="51CCE651">
            <w:pPr>
              <w:spacing w:line="288" w:lineRule="auto"/>
              <w:jc w:val="center"/>
              <w:rPr>
                <w:rFonts w:hint="eastAsia" w:ascii="宋体" w:hAnsi="宋体" w:eastAsia="宋体" w:cs="宋体"/>
                <w:color w:val="auto"/>
                <w:szCs w:val="21"/>
                <w:highlight w:val="none"/>
              </w:rPr>
            </w:pPr>
          </w:p>
        </w:tc>
        <w:tc>
          <w:tcPr>
            <w:tcW w:w="1165" w:type="dxa"/>
            <w:vAlign w:val="center"/>
          </w:tcPr>
          <w:p w14:paraId="0F4300FD">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42B03CD6">
            <w:pPr>
              <w:spacing w:line="288" w:lineRule="auto"/>
              <w:jc w:val="center"/>
              <w:rPr>
                <w:rFonts w:hint="eastAsia" w:ascii="宋体" w:hAnsi="宋体" w:eastAsia="宋体" w:cs="宋体"/>
                <w:color w:val="auto"/>
                <w:szCs w:val="21"/>
                <w:highlight w:val="none"/>
              </w:rPr>
            </w:pPr>
          </w:p>
        </w:tc>
      </w:tr>
      <w:tr w14:paraId="06E9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51D00370">
            <w:pPr>
              <w:spacing w:line="288" w:lineRule="auto"/>
              <w:jc w:val="center"/>
              <w:rPr>
                <w:rFonts w:hint="eastAsia" w:ascii="宋体" w:hAnsi="宋体" w:eastAsia="宋体" w:cs="宋体"/>
                <w:color w:val="auto"/>
                <w:szCs w:val="21"/>
                <w:highlight w:val="none"/>
              </w:rPr>
            </w:pPr>
          </w:p>
        </w:tc>
        <w:tc>
          <w:tcPr>
            <w:tcW w:w="1076" w:type="dxa"/>
            <w:vAlign w:val="center"/>
          </w:tcPr>
          <w:p w14:paraId="7978E538">
            <w:pPr>
              <w:spacing w:line="288" w:lineRule="auto"/>
              <w:jc w:val="center"/>
              <w:rPr>
                <w:rFonts w:hint="eastAsia" w:ascii="宋体" w:hAnsi="宋体" w:eastAsia="宋体" w:cs="宋体"/>
                <w:color w:val="auto"/>
                <w:szCs w:val="21"/>
                <w:highlight w:val="none"/>
              </w:rPr>
            </w:pPr>
          </w:p>
        </w:tc>
        <w:tc>
          <w:tcPr>
            <w:tcW w:w="1861" w:type="dxa"/>
            <w:vAlign w:val="center"/>
          </w:tcPr>
          <w:p w14:paraId="25DAB4D6">
            <w:pPr>
              <w:spacing w:line="288" w:lineRule="auto"/>
              <w:jc w:val="center"/>
              <w:rPr>
                <w:rFonts w:hint="eastAsia" w:ascii="宋体" w:hAnsi="宋体" w:eastAsia="宋体" w:cs="宋体"/>
                <w:color w:val="auto"/>
                <w:szCs w:val="21"/>
                <w:highlight w:val="none"/>
              </w:rPr>
            </w:pPr>
          </w:p>
        </w:tc>
        <w:tc>
          <w:tcPr>
            <w:tcW w:w="702" w:type="dxa"/>
            <w:vAlign w:val="center"/>
          </w:tcPr>
          <w:p w14:paraId="3C777B59">
            <w:pPr>
              <w:spacing w:line="288" w:lineRule="auto"/>
              <w:jc w:val="center"/>
              <w:rPr>
                <w:rFonts w:hint="eastAsia" w:ascii="宋体" w:hAnsi="宋体" w:eastAsia="宋体" w:cs="宋体"/>
                <w:color w:val="auto"/>
                <w:szCs w:val="21"/>
                <w:highlight w:val="none"/>
              </w:rPr>
            </w:pPr>
          </w:p>
        </w:tc>
        <w:tc>
          <w:tcPr>
            <w:tcW w:w="702" w:type="dxa"/>
            <w:vAlign w:val="center"/>
          </w:tcPr>
          <w:p w14:paraId="4437D1BC">
            <w:pPr>
              <w:spacing w:line="288" w:lineRule="auto"/>
              <w:jc w:val="center"/>
              <w:rPr>
                <w:rFonts w:hint="eastAsia" w:ascii="宋体" w:hAnsi="宋体" w:eastAsia="宋体" w:cs="宋体"/>
                <w:color w:val="auto"/>
                <w:szCs w:val="21"/>
                <w:highlight w:val="none"/>
              </w:rPr>
            </w:pPr>
          </w:p>
        </w:tc>
        <w:tc>
          <w:tcPr>
            <w:tcW w:w="1164" w:type="dxa"/>
            <w:vAlign w:val="center"/>
          </w:tcPr>
          <w:p w14:paraId="56254EDB">
            <w:pPr>
              <w:spacing w:line="288" w:lineRule="auto"/>
              <w:jc w:val="center"/>
              <w:rPr>
                <w:rFonts w:hint="eastAsia" w:ascii="宋体" w:hAnsi="宋体" w:eastAsia="宋体" w:cs="宋体"/>
                <w:color w:val="auto"/>
                <w:szCs w:val="21"/>
                <w:highlight w:val="none"/>
              </w:rPr>
            </w:pPr>
          </w:p>
        </w:tc>
        <w:tc>
          <w:tcPr>
            <w:tcW w:w="1165" w:type="dxa"/>
            <w:vAlign w:val="center"/>
          </w:tcPr>
          <w:p w14:paraId="50B607CE">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53E00332">
            <w:pPr>
              <w:spacing w:line="288" w:lineRule="auto"/>
              <w:jc w:val="center"/>
              <w:rPr>
                <w:rFonts w:hint="eastAsia" w:ascii="宋体" w:hAnsi="宋体" w:eastAsia="宋体" w:cs="宋体"/>
                <w:color w:val="auto"/>
                <w:szCs w:val="21"/>
                <w:highlight w:val="none"/>
              </w:rPr>
            </w:pPr>
          </w:p>
        </w:tc>
      </w:tr>
      <w:tr w14:paraId="01BC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4" w:type="dxa"/>
            <w:vAlign w:val="center"/>
          </w:tcPr>
          <w:p w14:paraId="29730612">
            <w:pPr>
              <w:spacing w:line="288" w:lineRule="auto"/>
              <w:jc w:val="center"/>
              <w:rPr>
                <w:rFonts w:hint="eastAsia" w:ascii="宋体" w:hAnsi="宋体" w:eastAsia="宋体" w:cs="宋体"/>
                <w:color w:val="auto"/>
                <w:szCs w:val="21"/>
                <w:highlight w:val="none"/>
              </w:rPr>
            </w:pPr>
          </w:p>
        </w:tc>
        <w:tc>
          <w:tcPr>
            <w:tcW w:w="1076" w:type="dxa"/>
            <w:vAlign w:val="center"/>
          </w:tcPr>
          <w:p w14:paraId="337D2E3B">
            <w:pPr>
              <w:spacing w:line="288" w:lineRule="auto"/>
              <w:jc w:val="center"/>
              <w:rPr>
                <w:rFonts w:hint="eastAsia" w:ascii="宋体" w:hAnsi="宋体" w:eastAsia="宋体" w:cs="宋体"/>
                <w:color w:val="auto"/>
                <w:szCs w:val="21"/>
                <w:highlight w:val="none"/>
              </w:rPr>
            </w:pPr>
          </w:p>
        </w:tc>
        <w:tc>
          <w:tcPr>
            <w:tcW w:w="1861" w:type="dxa"/>
            <w:vAlign w:val="center"/>
          </w:tcPr>
          <w:p w14:paraId="55A47BF1">
            <w:pPr>
              <w:spacing w:line="288" w:lineRule="auto"/>
              <w:jc w:val="center"/>
              <w:rPr>
                <w:rFonts w:hint="eastAsia" w:ascii="宋体" w:hAnsi="宋体" w:eastAsia="宋体" w:cs="宋体"/>
                <w:color w:val="auto"/>
                <w:szCs w:val="21"/>
                <w:highlight w:val="none"/>
              </w:rPr>
            </w:pPr>
          </w:p>
        </w:tc>
        <w:tc>
          <w:tcPr>
            <w:tcW w:w="702" w:type="dxa"/>
            <w:vAlign w:val="center"/>
          </w:tcPr>
          <w:p w14:paraId="2EFC9B56">
            <w:pPr>
              <w:spacing w:line="288" w:lineRule="auto"/>
              <w:jc w:val="center"/>
              <w:rPr>
                <w:rFonts w:hint="eastAsia" w:ascii="宋体" w:hAnsi="宋体" w:eastAsia="宋体" w:cs="宋体"/>
                <w:color w:val="auto"/>
                <w:szCs w:val="21"/>
                <w:highlight w:val="none"/>
              </w:rPr>
            </w:pPr>
          </w:p>
        </w:tc>
        <w:tc>
          <w:tcPr>
            <w:tcW w:w="702" w:type="dxa"/>
            <w:vAlign w:val="center"/>
          </w:tcPr>
          <w:p w14:paraId="6BA4F029">
            <w:pPr>
              <w:spacing w:line="288" w:lineRule="auto"/>
              <w:jc w:val="center"/>
              <w:rPr>
                <w:rFonts w:hint="eastAsia" w:ascii="宋体" w:hAnsi="宋体" w:eastAsia="宋体" w:cs="宋体"/>
                <w:color w:val="auto"/>
                <w:szCs w:val="21"/>
                <w:highlight w:val="none"/>
              </w:rPr>
            </w:pPr>
          </w:p>
        </w:tc>
        <w:tc>
          <w:tcPr>
            <w:tcW w:w="1164" w:type="dxa"/>
            <w:vAlign w:val="center"/>
          </w:tcPr>
          <w:p w14:paraId="73FA61D7">
            <w:pPr>
              <w:spacing w:line="288" w:lineRule="auto"/>
              <w:jc w:val="center"/>
              <w:rPr>
                <w:rFonts w:hint="eastAsia" w:ascii="宋体" w:hAnsi="宋体" w:eastAsia="宋体" w:cs="宋体"/>
                <w:color w:val="auto"/>
                <w:szCs w:val="21"/>
                <w:highlight w:val="none"/>
              </w:rPr>
            </w:pPr>
          </w:p>
        </w:tc>
        <w:tc>
          <w:tcPr>
            <w:tcW w:w="1165" w:type="dxa"/>
            <w:vAlign w:val="center"/>
          </w:tcPr>
          <w:p w14:paraId="3677B33A">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14:paraId="12E29382">
            <w:pPr>
              <w:spacing w:line="288" w:lineRule="auto"/>
              <w:jc w:val="center"/>
              <w:rPr>
                <w:rFonts w:hint="eastAsia" w:ascii="宋体" w:hAnsi="宋体" w:eastAsia="宋体" w:cs="宋体"/>
                <w:color w:val="auto"/>
                <w:szCs w:val="21"/>
                <w:highlight w:val="none"/>
              </w:rPr>
            </w:pPr>
          </w:p>
        </w:tc>
      </w:tr>
    </w:tbl>
    <w:p w14:paraId="398F531A">
      <w:pPr>
        <w:ind w:firstLine="178" w:firstLineChars="85"/>
        <w:rPr>
          <w:rFonts w:hint="eastAsia" w:ascii="宋体" w:hAnsi="宋体" w:eastAsia="宋体" w:cs="宋体"/>
          <w:color w:val="auto"/>
          <w:szCs w:val="21"/>
          <w:highlight w:val="none"/>
        </w:rPr>
      </w:pPr>
    </w:p>
    <w:p w14:paraId="4779DEC6">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附有关证明文件（复印件加盖公章）</w:t>
      </w:r>
    </w:p>
    <w:p w14:paraId="56847CBA">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14:paraId="187B169B">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207DA2E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C60EE6D">
      <w:pPr>
        <w:pStyle w:val="44"/>
        <w:numPr>
          <w:ilvl w:val="0"/>
          <w:numId w:val="13"/>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投标人可按项目的实际需要提供本表格。</w:t>
      </w:r>
    </w:p>
    <w:p w14:paraId="5F2CAC92">
      <w:pPr>
        <w:pStyle w:val="44"/>
        <w:numPr>
          <w:ilvl w:val="0"/>
          <w:numId w:val="13"/>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14:paraId="439D842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3、投标人若未提供或未填写完整则视为完全响应采购文件的人员要求，因此对投标人投标产生负面影响的，投标人自行承担后果。</w:t>
      </w:r>
    </w:p>
    <w:p w14:paraId="471A28C4">
      <w:pPr>
        <w:pStyle w:val="44"/>
        <w:numPr>
          <w:ilvl w:val="0"/>
          <w:numId w:val="13"/>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56C2D5C">
      <w:pPr>
        <w:pStyle w:val="5"/>
        <w:widowControl w:val="0"/>
        <w:overflowPunct w:val="0"/>
        <w:spacing w:line="240" w:lineRule="auto"/>
        <w:rPr>
          <w:rFonts w:hint="eastAsia" w:ascii="宋体" w:hAnsi="宋体" w:eastAsia="宋体" w:cs="宋体"/>
          <w:color w:val="auto"/>
          <w:highlight w:val="none"/>
        </w:rPr>
      </w:pPr>
      <w:bookmarkStart w:id="216" w:name="_Toc15806"/>
      <w:bookmarkStart w:id="217" w:name="_Toc8055"/>
      <w:r>
        <w:rPr>
          <w:rFonts w:hint="eastAsia" w:ascii="宋体" w:hAnsi="宋体" w:eastAsia="宋体" w:cs="宋体"/>
          <w:color w:val="auto"/>
          <w:sz w:val="21"/>
          <w:szCs w:val="21"/>
          <w:highlight w:val="none"/>
        </w:rPr>
        <w:t>附件1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.投标保证金汇入情况说明格式</w:t>
      </w:r>
      <w:bookmarkEnd w:id="216"/>
      <w:bookmarkEnd w:id="217"/>
    </w:p>
    <w:p w14:paraId="425B0990">
      <w:pPr>
        <w:rPr>
          <w:rFonts w:hint="eastAsia" w:ascii="宋体" w:hAnsi="宋体" w:eastAsia="宋体" w:cs="宋体"/>
          <w:color w:val="auto"/>
          <w:highlight w:val="none"/>
        </w:rPr>
      </w:pPr>
    </w:p>
    <w:p w14:paraId="43C2816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投标保证金汇入情况说明</w:t>
      </w:r>
    </w:p>
    <w:p w14:paraId="7381C1EF">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lang w:eastAsia="zh-CN"/>
        </w:rPr>
        <w:t>广州宏达工程顾问集团有限公司</w:t>
      </w:r>
      <w:r>
        <w:rPr>
          <w:rFonts w:hint="eastAsia" w:ascii="宋体" w:hAnsi="宋体" w:eastAsia="宋体" w:cs="宋体"/>
          <w:color w:val="auto"/>
          <w:szCs w:val="21"/>
          <w:highlight w:val="none"/>
        </w:rPr>
        <w:t>：</w:t>
      </w:r>
    </w:p>
    <w:p w14:paraId="0E84E2A7">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项目（采购项目编号：）的采购文件要求，于年月日前以</w:t>
      </w:r>
      <w:r>
        <w:rPr>
          <w:rFonts w:hint="eastAsia" w:ascii="宋体" w:hAnsi="宋体" w:eastAsia="宋体" w:cs="宋体"/>
          <w:color w:val="auto"/>
          <w:szCs w:val="21"/>
          <w:highlight w:val="none"/>
          <w:u w:val="single"/>
        </w:rPr>
        <w:t xml:space="preserve">           （付款形式）</w:t>
      </w:r>
      <w:r>
        <w:rPr>
          <w:rFonts w:hint="eastAsia" w:ascii="宋体" w:hAnsi="宋体" w:eastAsia="宋体" w:cs="宋体"/>
          <w:color w:val="auto"/>
          <w:szCs w:val="21"/>
          <w:highlight w:val="none"/>
        </w:rPr>
        <w:t>方式汇入指定帐户（帐户名称：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21CF1F2">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本单位投标保证金的汇款情况：（详见附件－投标保证金进帐单）</w:t>
      </w:r>
    </w:p>
    <w:p w14:paraId="55F4FA4C">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8280134">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7C2FCF10">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汇款帐户名称：</w:t>
      </w:r>
      <w:r>
        <w:rPr>
          <w:rFonts w:hint="eastAsia" w:ascii="宋体" w:hAnsi="宋体" w:eastAsia="宋体" w:cs="宋体"/>
          <w:color w:val="auto"/>
          <w:szCs w:val="21"/>
          <w:highlight w:val="none"/>
          <w:u w:val="single"/>
        </w:rPr>
        <w:t xml:space="preserve">  （必须是投标时使用的帐户名）   </w:t>
      </w:r>
    </w:p>
    <w:p w14:paraId="66375235">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u w:val="single"/>
        </w:rPr>
        <w:t xml:space="preserve">  （必须是投标时使用的帐号）        </w:t>
      </w:r>
    </w:p>
    <w:p w14:paraId="7A7CFE03">
      <w:pPr>
        <w:spacing w:line="48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 户  银 行：</w:t>
      </w:r>
      <w:r>
        <w:rPr>
          <w:rFonts w:hint="eastAsia" w:ascii="宋体" w:hAnsi="宋体" w:eastAsia="宋体" w:cs="宋体"/>
          <w:color w:val="auto"/>
          <w:szCs w:val="21"/>
          <w:highlight w:val="none"/>
          <w:u w:val="single"/>
        </w:rPr>
        <w:t xml:space="preserve">  （  XX 银行 XX 分行 XX 支行   ）</w:t>
      </w:r>
    </w:p>
    <w:p w14:paraId="45B88FA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64327528">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69E72BE7">
      <w:pPr>
        <w:spacing w:line="480" w:lineRule="auto"/>
        <w:ind w:right="844" w:rightChars="402"/>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（单位公章）</w:t>
      </w:r>
    </w:p>
    <w:p w14:paraId="34AE0646">
      <w:pPr>
        <w:spacing w:line="480" w:lineRule="auto"/>
        <w:ind w:right="628" w:rightChars="2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38BBD228">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09597D03">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p w14:paraId="3BE8F692">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p w14:paraId="46544FDA">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单位电话： </w:t>
      </w:r>
    </w:p>
    <w:p w14:paraId="151343BF">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联系人手机：</w:t>
      </w:r>
    </w:p>
    <w:p w14:paraId="0067F9B7">
      <w:pPr>
        <w:rPr>
          <w:rFonts w:hint="eastAsia" w:ascii="宋体" w:hAnsi="宋体" w:eastAsia="宋体" w:cs="宋体"/>
          <w:color w:val="auto"/>
          <w:szCs w:val="21"/>
          <w:highlight w:val="none"/>
        </w:rPr>
      </w:pPr>
    </w:p>
    <w:p w14:paraId="7EBFD259">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9B1706B">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附：我方投标保证金汇款凭证</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954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522" w:type="dxa"/>
            <w:vAlign w:val="center"/>
          </w:tcPr>
          <w:p w14:paraId="37065876">
            <w:pPr>
              <w:tabs>
                <w:tab w:val="left" w:pos="3885"/>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（粘贴汇款单或转账凭证复印件，并在骑缝上加盖投标人公章，或是直接把转账凭证复印到此张纸上）</w:t>
            </w:r>
          </w:p>
        </w:tc>
      </w:tr>
    </w:tbl>
    <w:p w14:paraId="6E96F833">
      <w:pPr>
        <w:rPr>
          <w:rFonts w:hint="eastAsia" w:ascii="宋体" w:hAnsi="宋体" w:eastAsia="宋体" w:cs="宋体"/>
          <w:color w:val="auto"/>
          <w:szCs w:val="21"/>
          <w:highlight w:val="none"/>
        </w:rPr>
      </w:pPr>
    </w:p>
    <w:p w14:paraId="67593FC8">
      <w:pPr>
        <w:rPr>
          <w:rFonts w:hint="eastAsia" w:ascii="宋体" w:hAnsi="宋体" w:eastAsia="宋体" w:cs="宋体"/>
          <w:color w:val="auto"/>
          <w:szCs w:val="21"/>
          <w:highlight w:val="none"/>
        </w:rPr>
      </w:pPr>
    </w:p>
    <w:p w14:paraId="5FD7D8D3">
      <w:pPr>
        <w:rPr>
          <w:rFonts w:hint="eastAsia" w:ascii="宋体" w:hAnsi="宋体" w:eastAsia="宋体" w:cs="宋体"/>
          <w:color w:val="auto"/>
          <w:szCs w:val="21"/>
          <w:highlight w:val="none"/>
        </w:rPr>
      </w:pPr>
    </w:p>
    <w:p w14:paraId="45890A47">
      <w:pPr>
        <w:rPr>
          <w:rFonts w:hint="eastAsia" w:ascii="宋体" w:hAnsi="宋体" w:eastAsia="宋体" w:cs="宋体"/>
          <w:color w:val="auto"/>
          <w:szCs w:val="21"/>
          <w:highlight w:val="none"/>
        </w:rPr>
      </w:pPr>
    </w:p>
    <w:p w14:paraId="7B31B886">
      <w:pPr>
        <w:rPr>
          <w:rFonts w:hint="eastAsia" w:ascii="宋体" w:hAnsi="宋体" w:eastAsia="宋体" w:cs="宋体"/>
          <w:color w:val="auto"/>
          <w:szCs w:val="21"/>
          <w:highlight w:val="none"/>
        </w:rPr>
      </w:pPr>
    </w:p>
    <w:p w14:paraId="00E61701">
      <w:pPr>
        <w:rPr>
          <w:rFonts w:hint="eastAsia" w:ascii="宋体" w:hAnsi="宋体" w:eastAsia="宋体" w:cs="宋体"/>
          <w:color w:val="auto"/>
          <w:szCs w:val="21"/>
          <w:highlight w:val="none"/>
        </w:rPr>
      </w:pPr>
    </w:p>
    <w:p w14:paraId="7FFEEBBA">
      <w:pPr>
        <w:rPr>
          <w:rFonts w:hint="eastAsia" w:ascii="宋体" w:hAnsi="宋体" w:eastAsia="宋体" w:cs="宋体"/>
          <w:color w:val="auto"/>
          <w:szCs w:val="21"/>
          <w:highlight w:val="none"/>
        </w:rPr>
      </w:pPr>
    </w:p>
    <w:p w14:paraId="47FBCE6C">
      <w:pPr>
        <w:rPr>
          <w:rFonts w:hint="eastAsia" w:ascii="宋体" w:hAnsi="宋体" w:eastAsia="宋体" w:cs="宋体"/>
          <w:color w:val="auto"/>
          <w:szCs w:val="21"/>
          <w:highlight w:val="none"/>
        </w:rPr>
      </w:pPr>
    </w:p>
    <w:p w14:paraId="0A764B1D">
      <w:pPr>
        <w:rPr>
          <w:rFonts w:hint="eastAsia" w:ascii="宋体" w:hAnsi="宋体" w:eastAsia="宋体" w:cs="宋体"/>
          <w:color w:val="auto"/>
          <w:szCs w:val="21"/>
          <w:highlight w:val="none"/>
        </w:rPr>
      </w:pPr>
    </w:p>
    <w:p w14:paraId="538C6C51">
      <w:pPr>
        <w:rPr>
          <w:rFonts w:hint="eastAsia" w:ascii="宋体" w:hAnsi="宋体" w:eastAsia="宋体" w:cs="宋体"/>
          <w:color w:val="auto"/>
          <w:szCs w:val="21"/>
          <w:highlight w:val="none"/>
        </w:rPr>
      </w:pPr>
    </w:p>
    <w:p w14:paraId="57C068A3">
      <w:pPr>
        <w:rPr>
          <w:rFonts w:hint="eastAsia" w:ascii="宋体" w:hAnsi="宋体" w:eastAsia="宋体" w:cs="宋体"/>
          <w:color w:val="auto"/>
          <w:szCs w:val="21"/>
          <w:highlight w:val="none"/>
        </w:rPr>
      </w:pPr>
    </w:p>
    <w:p w14:paraId="079FD455">
      <w:pPr>
        <w:rPr>
          <w:rFonts w:hint="eastAsia" w:ascii="宋体" w:hAnsi="宋体" w:eastAsia="宋体" w:cs="宋体"/>
          <w:color w:val="auto"/>
          <w:szCs w:val="21"/>
          <w:highlight w:val="none"/>
        </w:rPr>
      </w:pPr>
    </w:p>
    <w:p w14:paraId="78771602">
      <w:pPr>
        <w:rPr>
          <w:rFonts w:hint="eastAsia" w:ascii="宋体" w:hAnsi="宋体" w:eastAsia="宋体" w:cs="宋体"/>
          <w:color w:val="auto"/>
          <w:szCs w:val="21"/>
          <w:highlight w:val="none"/>
        </w:rPr>
      </w:pPr>
    </w:p>
    <w:p w14:paraId="4D56DDD1">
      <w:pPr>
        <w:rPr>
          <w:rFonts w:hint="eastAsia" w:ascii="宋体" w:hAnsi="宋体" w:eastAsia="宋体" w:cs="宋体"/>
          <w:color w:val="auto"/>
          <w:szCs w:val="21"/>
          <w:highlight w:val="none"/>
        </w:rPr>
      </w:pPr>
    </w:p>
    <w:p w14:paraId="1DA1C150">
      <w:pPr>
        <w:rPr>
          <w:rFonts w:hint="eastAsia" w:ascii="宋体" w:hAnsi="宋体" w:eastAsia="宋体" w:cs="宋体"/>
          <w:color w:val="auto"/>
          <w:szCs w:val="21"/>
          <w:highlight w:val="none"/>
        </w:rPr>
      </w:pPr>
    </w:p>
    <w:p w14:paraId="62A9AE9F">
      <w:pPr>
        <w:pStyle w:val="14"/>
        <w:ind w:left="0" w:firstLine="0" w:firstLineChars="0"/>
        <w:rPr>
          <w:rFonts w:hint="eastAsia" w:ascii="宋体" w:hAnsi="宋体" w:eastAsia="宋体" w:cs="宋体"/>
          <w:color w:val="auto"/>
          <w:highlight w:val="none"/>
        </w:rPr>
      </w:pPr>
    </w:p>
    <w:p w14:paraId="10A703ED">
      <w:pPr>
        <w:rPr>
          <w:rFonts w:hint="eastAsia" w:ascii="宋体" w:hAnsi="宋体" w:eastAsia="宋体" w:cs="宋体"/>
          <w:color w:val="auto"/>
          <w:szCs w:val="21"/>
          <w:highlight w:val="none"/>
        </w:rPr>
      </w:pPr>
    </w:p>
    <w:p w14:paraId="27FD0F3A">
      <w:pPr>
        <w:rPr>
          <w:rFonts w:hint="eastAsia" w:ascii="宋体" w:hAnsi="宋体" w:eastAsia="宋体" w:cs="宋体"/>
          <w:color w:val="auto"/>
          <w:szCs w:val="21"/>
          <w:highlight w:val="none"/>
        </w:rPr>
      </w:pPr>
    </w:p>
    <w:p w14:paraId="3DBDCBEB">
      <w:pPr>
        <w:rPr>
          <w:rFonts w:hint="eastAsia" w:ascii="宋体" w:hAnsi="宋体" w:eastAsia="宋体" w:cs="宋体"/>
          <w:color w:val="auto"/>
          <w:szCs w:val="21"/>
          <w:highlight w:val="none"/>
        </w:rPr>
      </w:pPr>
    </w:p>
    <w:p w14:paraId="514A7DAB">
      <w:pPr>
        <w:rPr>
          <w:rFonts w:hint="eastAsia" w:ascii="宋体" w:hAnsi="宋体" w:eastAsia="宋体" w:cs="宋体"/>
          <w:color w:val="auto"/>
          <w:szCs w:val="21"/>
          <w:highlight w:val="none"/>
        </w:rPr>
      </w:pPr>
    </w:p>
    <w:p w14:paraId="186788F1">
      <w:pPr>
        <w:rPr>
          <w:rFonts w:hint="eastAsia" w:ascii="宋体" w:hAnsi="宋体" w:eastAsia="宋体" w:cs="宋体"/>
          <w:color w:val="auto"/>
          <w:szCs w:val="21"/>
          <w:highlight w:val="none"/>
        </w:rPr>
      </w:pPr>
    </w:p>
    <w:p w14:paraId="2C6FC038">
      <w:pPr>
        <w:rPr>
          <w:rFonts w:hint="eastAsia" w:ascii="宋体" w:hAnsi="宋体" w:eastAsia="宋体" w:cs="宋体"/>
          <w:color w:val="auto"/>
          <w:szCs w:val="21"/>
          <w:highlight w:val="none"/>
        </w:rPr>
      </w:pPr>
    </w:p>
    <w:p w14:paraId="6D75F867">
      <w:pPr>
        <w:pStyle w:val="5"/>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218" w:name="_Toc19947"/>
      <w:bookmarkStart w:id="219" w:name="_Toc14605"/>
      <w:bookmarkStart w:id="220" w:name="_Toc25861"/>
      <w:bookmarkStart w:id="221" w:name="_Toc23066"/>
      <w:bookmarkStart w:id="222" w:name="_Toc1562"/>
      <w:bookmarkStart w:id="223" w:name="_Toc1379"/>
      <w:bookmarkStart w:id="224" w:name="_Toc28623"/>
      <w:bookmarkStart w:id="225" w:name="_Toc18296"/>
      <w:bookmarkStart w:id="226" w:name="_Toc4866"/>
      <w:bookmarkStart w:id="227" w:name="_Toc17028"/>
      <w:bookmarkStart w:id="228" w:name="_Toc2144"/>
      <w:bookmarkStart w:id="229" w:name="_Toc29855"/>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.不可撤销履约保函</w:t>
      </w:r>
      <w:bookmarkEnd w:id="218"/>
      <w:bookmarkEnd w:id="219"/>
      <w:bookmarkEnd w:id="220"/>
      <w:bookmarkEnd w:id="221"/>
      <w:bookmarkEnd w:id="222"/>
      <w:bookmarkEnd w:id="223"/>
      <w:bookmarkEnd w:id="224"/>
      <w:bookmarkEnd w:id="225"/>
      <w:bookmarkEnd w:id="226"/>
      <w:bookmarkEnd w:id="227"/>
      <w:bookmarkEnd w:id="228"/>
      <w:bookmarkEnd w:id="229"/>
    </w:p>
    <w:p w14:paraId="277B1B78">
      <w:pPr>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14:paraId="5B4F706B">
      <w:pP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14:paraId="3D10E16D">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承包合同书（合同编号：    ）</w:t>
      </w:r>
      <w:r>
        <w:rPr>
          <w:rFonts w:hint="eastAsia" w:ascii="宋体" w:hAnsi="宋体" w:eastAsia="宋体" w:cs="宋体"/>
          <w:color w:val="auto"/>
          <w:highlight w:val="none"/>
        </w:rPr>
        <w:t>中规定的义务履行合同。</w:t>
      </w:r>
    </w:p>
    <w:p w14:paraId="17E2BF34">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14:paraId="11947F86">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14:paraId="7BF61A53">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14:paraId="1B5570AC">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本保函从上述合同签订之日起至项目服务期结束验收合格并完成结算后，双方签字之日起7天内保持有效。</w:t>
      </w:r>
    </w:p>
    <w:p w14:paraId="48E6E837">
      <w:pPr>
        <w:ind w:firstLine="2824" w:firstLineChars="1345"/>
        <w:rPr>
          <w:rFonts w:hint="eastAsia" w:ascii="宋体" w:hAnsi="宋体" w:eastAsia="宋体" w:cs="宋体"/>
          <w:color w:val="auto"/>
          <w:highlight w:val="none"/>
        </w:rPr>
      </w:pPr>
    </w:p>
    <w:p w14:paraId="3C5A60F4">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14:paraId="5AFDF504">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14:paraId="0917E5D8">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1AD78FC">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17BCF8C5">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14:paraId="593E8415">
      <w:pPr>
        <w:pStyle w:val="15"/>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说明：投标人在投标时不需提交正式保函，在投标文件中盖投标人公章确认保函格式即可，乙方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14:paraId="5B750245">
      <w:pPr>
        <w:rPr>
          <w:rFonts w:hint="eastAsia" w:ascii="宋体" w:hAnsi="宋体" w:eastAsia="宋体" w:cs="宋体"/>
          <w:color w:val="auto"/>
          <w:szCs w:val="21"/>
          <w:highlight w:val="none"/>
        </w:rPr>
      </w:pPr>
    </w:p>
    <w:p w14:paraId="40C0C6EF">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p w14:paraId="517723D7">
      <w:pPr>
        <w:pStyle w:val="5"/>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230" w:name="_Toc1313"/>
      <w:bookmarkStart w:id="231" w:name="_Toc5594"/>
      <w:bookmarkStart w:id="232" w:name="_Toc5047"/>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.预付款保函</w:t>
      </w:r>
      <w:bookmarkEnd w:id="230"/>
      <w:r>
        <w:rPr>
          <w:rFonts w:hint="eastAsia" w:ascii="宋体" w:hAnsi="宋体" w:eastAsia="宋体" w:cs="宋体"/>
          <w:color w:val="auto"/>
          <w:sz w:val="21"/>
          <w:szCs w:val="21"/>
          <w:highlight w:val="none"/>
        </w:rPr>
        <w:t>（适用于预付款支付）</w:t>
      </w:r>
      <w:bookmarkEnd w:id="231"/>
      <w:bookmarkEnd w:id="232"/>
    </w:p>
    <w:p w14:paraId="7F3CA248">
      <w:pPr>
        <w:pStyle w:val="15"/>
        <w:rPr>
          <w:rFonts w:hint="eastAsia" w:ascii="宋体" w:hAnsi="宋体" w:eastAsia="宋体" w:cs="宋体"/>
          <w:color w:val="auto"/>
          <w:szCs w:val="24"/>
          <w:highlight w:val="none"/>
        </w:rPr>
      </w:pPr>
    </w:p>
    <w:p w14:paraId="0C8DAFC5">
      <w:pPr>
        <w:jc w:val="center"/>
        <w:rPr>
          <w:rFonts w:hint="eastAsia" w:ascii="宋体" w:hAnsi="宋体" w:eastAsia="宋体" w:cs="宋体"/>
          <w:color w:val="auto"/>
          <w:sz w:val="28"/>
          <w:szCs w:val="28"/>
          <w:highlight w:val="none"/>
        </w:rPr>
      </w:pPr>
      <w:bookmarkStart w:id="233" w:name="_Toc7374"/>
      <w:bookmarkStart w:id="234" w:name="_Toc6877"/>
      <w:bookmarkStart w:id="235" w:name="_Toc20669"/>
      <w:bookmarkStart w:id="236" w:name="_Toc27545"/>
      <w:bookmarkStart w:id="237" w:name="_Toc25494"/>
      <w:bookmarkStart w:id="238" w:name="_Toc29728"/>
      <w:bookmarkStart w:id="239" w:name="_Toc3295"/>
      <w:bookmarkStart w:id="240" w:name="_Toc31418"/>
      <w:bookmarkStart w:id="241" w:name="_Toc29054"/>
      <w:bookmarkStart w:id="242" w:name="_Toc10719"/>
      <w:bookmarkStart w:id="243" w:name="_Toc1039"/>
      <w:bookmarkStart w:id="244" w:name="_Toc10315"/>
      <w:r>
        <w:rPr>
          <w:rFonts w:hint="eastAsia" w:ascii="宋体" w:hAnsi="宋体" w:eastAsia="宋体" w:cs="宋体"/>
          <w:color w:val="auto"/>
          <w:sz w:val="28"/>
          <w:szCs w:val="28"/>
          <w:highlight w:val="none"/>
        </w:rPr>
        <w:t>不可撤销预付款保函</w:t>
      </w:r>
      <w:bookmarkEnd w:id="233"/>
      <w:bookmarkEnd w:id="234"/>
      <w:bookmarkEnd w:id="235"/>
      <w:bookmarkEnd w:id="236"/>
      <w:bookmarkEnd w:id="237"/>
      <w:bookmarkEnd w:id="238"/>
      <w:bookmarkEnd w:id="239"/>
      <w:bookmarkEnd w:id="240"/>
      <w:bookmarkEnd w:id="241"/>
      <w:bookmarkEnd w:id="242"/>
      <w:bookmarkEnd w:id="243"/>
      <w:bookmarkEnd w:id="244"/>
    </w:p>
    <w:p w14:paraId="2A9F6649">
      <w:pP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14:paraId="33A7BE35">
      <w:pPr>
        <w:ind w:firstLine="6300"/>
        <w:rPr>
          <w:rFonts w:hint="eastAsia" w:ascii="宋体" w:hAnsi="宋体" w:eastAsia="宋体" w:cs="宋体"/>
          <w:color w:val="auto"/>
          <w:szCs w:val="21"/>
          <w:highlight w:val="none"/>
        </w:rPr>
      </w:pPr>
    </w:p>
    <w:p w14:paraId="4325093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（下称“采购人”）</w:t>
      </w:r>
    </w:p>
    <w:p w14:paraId="4071DFF9">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4"/>
          <w:highlight w:val="none"/>
          <w:u w:val="single"/>
        </w:rPr>
        <w:t>（地址：          ，下称 “中标人” ）</w:t>
      </w:r>
      <w:r>
        <w:rPr>
          <w:rFonts w:hint="eastAsia" w:ascii="宋体" w:hAnsi="宋体" w:eastAsia="宋体" w:cs="宋体"/>
          <w:color w:val="auto"/>
          <w:szCs w:val="21"/>
          <w:highlight w:val="none"/>
        </w:rPr>
        <w:t>，已保证按</w:t>
      </w:r>
      <w:r>
        <w:rPr>
          <w:rFonts w:hint="eastAsia" w:ascii="宋体" w:hAnsi="宋体" w:eastAsia="宋体" w:cs="宋体"/>
          <w:color w:val="auto"/>
          <w:szCs w:val="21"/>
          <w:highlight w:val="none"/>
          <w:u w:val="single"/>
        </w:rPr>
        <w:t xml:space="preserve">          承包合同书（合同编号：    ）</w:t>
      </w:r>
      <w:r>
        <w:rPr>
          <w:rFonts w:hint="eastAsia" w:ascii="宋体" w:hAnsi="宋体" w:eastAsia="宋体" w:cs="宋体"/>
          <w:color w:val="auto"/>
          <w:szCs w:val="21"/>
          <w:highlight w:val="none"/>
        </w:rPr>
        <w:t>中规定的义务履行合同。</w:t>
      </w:r>
    </w:p>
    <w:p w14:paraId="51ACB208">
      <w:pPr>
        <w:ind w:firstLine="437"/>
        <w:rPr>
          <w:rFonts w:hint="eastAsia" w:ascii="宋体" w:hAnsi="宋体" w:eastAsia="宋体" w:cs="宋体"/>
          <w:color w:val="auto"/>
          <w:szCs w:val="21"/>
          <w:highlight w:val="none"/>
        </w:rPr>
      </w:pPr>
      <w:r>
        <w:rPr>
          <w:rFonts w:hint="eastAsia" w:ascii="宋体" w:hAnsi="宋体" w:eastAsia="宋体" w:cs="宋体"/>
          <w:color w:val="auto"/>
          <w:szCs w:val="24"/>
          <w:highlight w:val="none"/>
        </w:rPr>
        <w:t>根据上述合同（招标文件）规定，中标人应向采购人提供一份金额为人民币</w:t>
      </w:r>
      <w:r>
        <w:rPr>
          <w:rFonts w:hint="eastAsia" w:ascii="宋体" w:hAnsi="宋体" w:eastAsia="宋体" w:cs="宋体"/>
          <w:color w:val="auto"/>
          <w:szCs w:val="21"/>
          <w:highlight w:val="none"/>
          <w:u w:val="single"/>
        </w:rPr>
        <w:t xml:space="preserve">      （RMB      元）</w:t>
      </w:r>
      <w:r>
        <w:rPr>
          <w:rFonts w:hint="eastAsia" w:ascii="宋体" w:hAnsi="宋体" w:eastAsia="宋体" w:cs="宋体"/>
          <w:color w:val="auto"/>
          <w:szCs w:val="21"/>
          <w:highlight w:val="none"/>
        </w:rPr>
        <w:t>的不可撤销银行预付款保函，以保证中标人履行合同的相关条款。</w:t>
      </w:r>
    </w:p>
    <w:p w14:paraId="74496966">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  </w:t>
      </w:r>
      <w:r>
        <w:rPr>
          <w:rFonts w:hint="eastAsia" w:ascii="宋体" w:hAnsi="宋体" w:eastAsia="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49905251">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766FB930">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本保函有效期从保函开立之日起至采购人向中标人抵扣完所有预付款之日止。</w:t>
      </w:r>
    </w:p>
    <w:p w14:paraId="693ECC35">
      <w:pPr>
        <w:rPr>
          <w:rFonts w:hint="eastAsia" w:ascii="宋体" w:hAnsi="宋体" w:eastAsia="宋体" w:cs="宋体"/>
          <w:color w:val="auto"/>
          <w:szCs w:val="21"/>
          <w:highlight w:val="none"/>
        </w:rPr>
      </w:pPr>
    </w:p>
    <w:p w14:paraId="45C80478">
      <w:pPr>
        <w:ind w:firstLine="437"/>
        <w:rPr>
          <w:rFonts w:hint="eastAsia" w:ascii="宋体" w:hAnsi="宋体" w:eastAsia="宋体" w:cs="宋体"/>
          <w:color w:val="auto"/>
          <w:szCs w:val="21"/>
          <w:highlight w:val="none"/>
        </w:rPr>
      </w:pPr>
    </w:p>
    <w:p w14:paraId="5D5CE65B">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r>
        <w:rPr>
          <w:rFonts w:hint="eastAsia" w:ascii="宋体" w:hAnsi="宋体" w:eastAsia="宋体" w:cs="宋体"/>
          <w:color w:val="auto"/>
          <w:szCs w:val="21"/>
          <w:highlight w:val="none"/>
          <w:u w:val="single"/>
        </w:rPr>
        <w:t xml:space="preserve">                     </w:t>
      </w:r>
    </w:p>
    <w:p w14:paraId="0C8A1164">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负责人：（签字）</w:t>
      </w:r>
      <w:r>
        <w:rPr>
          <w:rFonts w:hint="eastAsia" w:ascii="宋体" w:hAnsi="宋体" w:eastAsia="宋体" w:cs="宋体"/>
          <w:color w:val="auto"/>
          <w:szCs w:val="21"/>
          <w:highlight w:val="none"/>
          <w:u w:val="single"/>
        </w:rPr>
        <w:t xml:space="preserve">                     </w:t>
      </w:r>
    </w:p>
    <w:p w14:paraId="582F4422">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14:paraId="768085FA">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25C0D1C2">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5B2E785B">
      <w:pPr>
        <w:pStyle w:val="15"/>
        <w:rPr>
          <w:rFonts w:hint="eastAsia" w:ascii="宋体" w:hAnsi="宋体" w:eastAsia="宋体" w:cs="宋体"/>
          <w:color w:val="auto"/>
          <w:szCs w:val="21"/>
          <w:highlight w:val="none"/>
        </w:rPr>
      </w:pPr>
    </w:p>
    <w:p w14:paraId="163441A9">
      <w:pPr>
        <w:pStyle w:val="15"/>
        <w:rPr>
          <w:rFonts w:hint="eastAsia" w:ascii="宋体" w:hAnsi="宋体" w:eastAsia="宋体" w:cs="宋体"/>
          <w:color w:val="auto"/>
          <w:szCs w:val="21"/>
          <w:highlight w:val="none"/>
        </w:rPr>
      </w:pPr>
    </w:p>
    <w:p w14:paraId="67BB98CF">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说明：投标人在投标文件中盖投标人公章确认保函内容即可，如中标再由银行出具保函。</w:t>
      </w:r>
    </w:p>
    <w:p w14:paraId="281EB22F">
      <w:pPr>
        <w:rPr>
          <w:rFonts w:hint="eastAsia" w:ascii="宋体" w:hAnsi="宋体" w:eastAsia="宋体" w:cs="宋体"/>
          <w:color w:val="auto"/>
          <w:sz w:val="72"/>
          <w:szCs w:val="72"/>
          <w:highlight w:val="none"/>
        </w:rPr>
      </w:pPr>
      <w:r>
        <w:rPr>
          <w:rFonts w:hint="eastAsia" w:ascii="宋体" w:hAnsi="宋体" w:eastAsia="宋体" w:cs="宋体"/>
          <w:color w:val="auto"/>
          <w:highlight w:val="none"/>
        </w:rPr>
        <w:br w:type="page"/>
      </w:r>
      <w:bookmarkStart w:id="245" w:name="_Toc19226"/>
    </w:p>
    <w:p w14:paraId="5FE0F58E">
      <w:pPr>
        <w:pStyle w:val="3"/>
        <w:spacing w:before="0" w:after="0" w:line="360" w:lineRule="auto"/>
        <w:jc w:val="center"/>
        <w:rPr>
          <w:rFonts w:hint="eastAsia" w:ascii="宋体" w:hAnsi="宋体" w:eastAsia="宋体" w:cs="宋体"/>
          <w:color w:val="auto"/>
          <w:sz w:val="72"/>
          <w:szCs w:val="72"/>
          <w:highlight w:val="none"/>
        </w:rPr>
      </w:pPr>
      <w:bookmarkStart w:id="246" w:name="_Toc24673"/>
      <w:bookmarkStart w:id="247" w:name="_Toc20304"/>
      <w:r>
        <w:rPr>
          <w:rFonts w:hint="eastAsia" w:ascii="宋体" w:hAnsi="宋体" w:eastAsia="宋体" w:cs="宋体"/>
          <w:color w:val="auto"/>
          <w:sz w:val="72"/>
          <w:szCs w:val="72"/>
          <w:highlight w:val="none"/>
        </w:rPr>
        <w:t>唱标信封</w:t>
      </w:r>
      <w:bookmarkEnd w:id="245"/>
      <w:bookmarkEnd w:id="246"/>
      <w:bookmarkEnd w:id="247"/>
    </w:p>
    <w:p w14:paraId="55B2636C">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（单独装订成册，单独封装）</w:t>
      </w:r>
    </w:p>
    <w:p w14:paraId="6B69A018">
      <w:pPr>
        <w:rPr>
          <w:rFonts w:hint="eastAsia" w:ascii="宋体" w:hAnsi="宋体" w:eastAsia="宋体" w:cs="宋体"/>
          <w:color w:val="auto"/>
          <w:highlight w:val="none"/>
        </w:rPr>
      </w:pPr>
    </w:p>
    <w:p w14:paraId="55AE7945">
      <w:pPr>
        <w:pStyle w:val="13"/>
        <w:ind w:left="0" w:leftChars="0" w:firstLine="0" w:firstLineChars="0"/>
        <w:rPr>
          <w:rFonts w:hint="eastAsia" w:ascii="宋体" w:hAnsi="宋体" w:eastAsia="宋体" w:cs="宋体"/>
          <w:color w:val="auto"/>
          <w:highlight w:val="none"/>
        </w:rPr>
      </w:pPr>
    </w:p>
    <w:p w14:paraId="25709ECE">
      <w:pPr>
        <w:pStyle w:val="14"/>
        <w:ind w:left="0" w:leftChars="0" w:firstLine="0" w:firstLineChars="0"/>
        <w:rPr>
          <w:rFonts w:hint="eastAsia" w:ascii="宋体" w:hAnsi="宋体" w:eastAsia="宋体" w:cs="宋体"/>
          <w:color w:val="auto"/>
          <w:highlight w:val="none"/>
        </w:rPr>
      </w:pPr>
    </w:p>
    <w:p w14:paraId="097A93E3">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106"/>
          <w:kern w:val="0"/>
          <w:sz w:val="32"/>
          <w:szCs w:val="32"/>
          <w:highlight w:val="none"/>
          <w:fitText w:val="1600" w:id="1940288168"/>
        </w:rPr>
        <w:t>项目名</w:t>
      </w:r>
      <w:r>
        <w:rPr>
          <w:rFonts w:hint="eastAsia" w:ascii="宋体" w:hAnsi="宋体" w:eastAsia="宋体" w:cs="宋体"/>
          <w:b/>
          <w:bCs/>
          <w:color w:val="auto"/>
          <w:spacing w:val="2"/>
          <w:kern w:val="0"/>
          <w:sz w:val="32"/>
          <w:szCs w:val="32"/>
          <w:highlight w:val="none"/>
          <w:fitText w:val="1600" w:id="1940288168"/>
        </w:rPr>
        <w:t>称</w:t>
      </w:r>
      <w:r>
        <w:rPr>
          <w:rFonts w:hint="eastAsia" w:ascii="宋体" w:hAnsi="宋体" w:eastAsia="宋体" w:cs="宋体"/>
          <w:b/>
          <w:bCs/>
          <w:color w:val="auto"/>
          <w:spacing w:val="-6"/>
          <w:sz w:val="32"/>
          <w:szCs w:val="32"/>
          <w:highlight w:val="none"/>
        </w:rPr>
        <w:t>：</w:t>
      </w:r>
    </w:p>
    <w:p w14:paraId="0301A710">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106"/>
          <w:kern w:val="0"/>
          <w:sz w:val="32"/>
          <w:szCs w:val="32"/>
          <w:highlight w:val="none"/>
          <w:fitText w:val="1600" w:id="869236062"/>
        </w:rPr>
        <w:t>项目编</w:t>
      </w:r>
      <w:r>
        <w:rPr>
          <w:rFonts w:hint="eastAsia" w:ascii="宋体" w:hAnsi="宋体" w:eastAsia="宋体" w:cs="宋体"/>
          <w:b/>
          <w:bCs/>
          <w:color w:val="auto"/>
          <w:spacing w:val="2"/>
          <w:kern w:val="0"/>
          <w:sz w:val="32"/>
          <w:szCs w:val="32"/>
          <w:highlight w:val="none"/>
          <w:fitText w:val="1600" w:id="869236062"/>
        </w:rPr>
        <w:t>号</w:t>
      </w:r>
      <w:r>
        <w:rPr>
          <w:rFonts w:hint="eastAsia" w:ascii="宋体" w:hAnsi="宋体" w:eastAsia="宋体" w:cs="宋体"/>
          <w:b/>
          <w:bCs/>
          <w:color w:val="auto"/>
          <w:sz w:val="32"/>
          <w:szCs w:val="32"/>
          <w:highlight w:val="none"/>
        </w:rPr>
        <w:t>：</w:t>
      </w:r>
    </w:p>
    <w:p w14:paraId="4D2C311B">
      <w:pPr>
        <w:pStyle w:val="13"/>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14:paraId="0B1FC071">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148662436"/>
        </w:rPr>
        <w:t>投标人名称</w:t>
      </w:r>
      <w:r>
        <w:rPr>
          <w:rFonts w:hint="eastAsia" w:ascii="宋体" w:hAnsi="宋体" w:eastAsia="宋体" w:cs="宋体"/>
          <w:b/>
          <w:color w:val="auto"/>
          <w:sz w:val="32"/>
          <w:szCs w:val="32"/>
          <w:highlight w:val="none"/>
        </w:rPr>
        <w:t>：</w:t>
      </w:r>
    </w:p>
    <w:p w14:paraId="74E283B7">
      <w:pPr>
        <w:rPr>
          <w:rFonts w:hint="eastAsia" w:ascii="宋体" w:hAnsi="宋体" w:eastAsia="宋体" w:cs="宋体"/>
          <w:b/>
          <w:color w:val="auto"/>
          <w:sz w:val="32"/>
          <w:szCs w:val="32"/>
          <w:highlight w:val="none"/>
        </w:rPr>
      </w:pPr>
      <w:r>
        <w:rPr>
          <w:rFonts w:hint="eastAsia" w:ascii="宋体" w:hAnsi="宋体" w:eastAsia="宋体" w:cs="宋体"/>
          <w:b/>
          <w:color w:val="auto"/>
          <w:spacing w:val="64"/>
          <w:kern w:val="0"/>
          <w:sz w:val="32"/>
          <w:szCs w:val="32"/>
          <w:highlight w:val="none"/>
          <w:fitText w:val="1600" w:id="1668503164"/>
        </w:rPr>
        <w:t xml:space="preserve">日    </w:t>
      </w:r>
      <w:r>
        <w:rPr>
          <w:rFonts w:hint="eastAsia" w:ascii="宋体" w:hAnsi="宋体" w:eastAsia="宋体" w:cs="宋体"/>
          <w:b/>
          <w:color w:val="auto"/>
          <w:spacing w:val="0"/>
          <w:kern w:val="0"/>
          <w:sz w:val="32"/>
          <w:szCs w:val="32"/>
          <w:highlight w:val="none"/>
          <w:fitText w:val="1600" w:id="1668503164"/>
        </w:rPr>
        <w:t>期</w:t>
      </w:r>
      <w:r>
        <w:rPr>
          <w:rFonts w:hint="eastAsia" w:ascii="宋体" w:hAnsi="宋体" w:eastAsia="宋体" w:cs="宋体"/>
          <w:b/>
          <w:color w:val="auto"/>
          <w:sz w:val="32"/>
          <w:szCs w:val="32"/>
          <w:highlight w:val="none"/>
        </w:rPr>
        <w:t>：</w:t>
      </w:r>
    </w:p>
    <w:p w14:paraId="3A0E1729">
      <w:pPr>
        <w:pStyle w:val="39"/>
        <w:ind w:left="0" w:leftChars="0" w:firstLine="0" w:firstLineChars="0"/>
        <w:rPr>
          <w:rFonts w:hint="eastAsia"/>
          <w:color w:val="auto"/>
          <w:highlight w:val="none"/>
        </w:rPr>
      </w:pPr>
    </w:p>
    <w:p w14:paraId="0BBE01A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687106F">
      <w:pPr>
        <w:pStyle w:val="5"/>
        <w:numPr>
          <w:ilvl w:val="0"/>
          <w:numId w:val="0"/>
        </w:numPr>
        <w:tabs>
          <w:tab w:val="left" w:pos="720"/>
          <w:tab w:val="left" w:pos="3840"/>
        </w:tabs>
        <w:ind w:left="283"/>
        <w:jc w:val="both"/>
        <w:rPr>
          <w:rFonts w:hint="eastAsia" w:ascii="宋体" w:hAnsi="宋体" w:eastAsia="宋体" w:cs="宋体"/>
          <w:color w:val="auto"/>
          <w:sz w:val="21"/>
          <w:szCs w:val="21"/>
          <w:highlight w:val="none"/>
        </w:rPr>
      </w:pPr>
      <w:bookmarkStart w:id="248" w:name="_Toc23841"/>
      <w:bookmarkStart w:id="249" w:name="_Toc16891"/>
      <w:bookmarkStart w:id="250" w:name="_Toc351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.唱标信封内装（内容务必与投标文件正本一致）</w:t>
      </w:r>
      <w:bookmarkEnd w:id="248"/>
      <w:bookmarkEnd w:id="249"/>
      <w:bookmarkEnd w:id="250"/>
    </w:p>
    <w:p w14:paraId="02BCBF2C">
      <w:pPr>
        <w:numPr>
          <w:ilvl w:val="0"/>
          <w:numId w:val="0"/>
        </w:numPr>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一、</w:t>
      </w:r>
      <w:r>
        <w:rPr>
          <w:rFonts w:hint="eastAsia" w:ascii="宋体" w:hAnsi="宋体" w:cs="宋体"/>
          <w:color w:val="auto"/>
          <w:sz w:val="21"/>
          <w:szCs w:val="21"/>
          <w:highlight w:val="none"/>
          <w:lang w:val="en-US" w:eastAsia="zh-CN" w:bidi="ar-SA"/>
        </w:rPr>
        <w:t>附件1：</w:t>
      </w:r>
      <w:r>
        <w:rPr>
          <w:rFonts w:hint="eastAsia" w:ascii="宋体" w:hAnsi="宋体" w:eastAsia="宋体" w:cs="宋体"/>
          <w:color w:val="auto"/>
          <w:szCs w:val="21"/>
          <w:highlight w:val="none"/>
        </w:rPr>
        <w:t>开标一览表</w:t>
      </w:r>
      <w:r>
        <w:rPr>
          <w:rFonts w:hint="eastAsia" w:ascii="宋体" w:hAnsi="宋体" w:cs="宋体"/>
          <w:color w:val="auto"/>
          <w:szCs w:val="21"/>
          <w:highlight w:val="none"/>
          <w:lang w:val="en-US" w:eastAsia="zh-CN"/>
        </w:rPr>
        <w:t>及报价明细表</w:t>
      </w:r>
      <w:r>
        <w:rPr>
          <w:rFonts w:hint="eastAsia" w:ascii="宋体" w:hAnsi="宋体" w:eastAsia="宋体" w:cs="宋体"/>
          <w:color w:val="auto"/>
          <w:szCs w:val="21"/>
          <w:highlight w:val="none"/>
        </w:rPr>
        <w:t>加盖公章；</w:t>
      </w:r>
    </w:p>
    <w:p w14:paraId="0E970FAD">
      <w:pPr>
        <w:numPr>
          <w:ilvl w:val="0"/>
          <w:numId w:val="0"/>
        </w:numPr>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二、</w:t>
      </w:r>
      <w:r>
        <w:rPr>
          <w:rFonts w:hint="eastAsia" w:ascii="宋体" w:hAnsi="宋体" w:eastAsia="宋体" w:cs="宋体"/>
          <w:color w:val="auto"/>
          <w:szCs w:val="21"/>
          <w:highlight w:val="none"/>
        </w:rPr>
        <w:t>法定代表人证明书加盖公章；</w:t>
      </w:r>
    </w:p>
    <w:p w14:paraId="586AA50E">
      <w:pPr>
        <w:numPr>
          <w:ilvl w:val="0"/>
          <w:numId w:val="0"/>
        </w:numPr>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三、</w:t>
      </w:r>
      <w:r>
        <w:rPr>
          <w:rFonts w:hint="eastAsia" w:ascii="宋体" w:hAnsi="宋体" w:eastAsia="宋体" w:cs="宋体"/>
          <w:color w:val="auto"/>
          <w:szCs w:val="21"/>
          <w:highlight w:val="none"/>
        </w:rPr>
        <w:t>法定代表人授权委托书加盖公章（法定代表人投标的除外）；</w:t>
      </w:r>
    </w:p>
    <w:p w14:paraId="0F6734FD">
      <w:pPr>
        <w:numPr>
          <w:ilvl w:val="0"/>
          <w:numId w:val="0"/>
        </w:numPr>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四、</w:t>
      </w:r>
      <w:r>
        <w:rPr>
          <w:rFonts w:hint="eastAsia" w:ascii="宋体" w:hAnsi="宋体" w:eastAsia="宋体" w:cs="宋体"/>
          <w:color w:val="auto"/>
          <w:szCs w:val="21"/>
          <w:highlight w:val="none"/>
        </w:rPr>
        <w:t>投标保证金汇入情况说明（含银行汇款凭证）或投标保函加盖公章；</w:t>
      </w:r>
    </w:p>
    <w:p w14:paraId="2B882479">
      <w:pPr>
        <w:numPr>
          <w:ilvl w:val="0"/>
          <w:numId w:val="0"/>
        </w:numPr>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bidi="ar-SA"/>
        </w:rPr>
        <w:t>五、</w:t>
      </w:r>
      <w:r>
        <w:rPr>
          <w:rFonts w:hint="eastAsia" w:ascii="宋体" w:hAnsi="宋体" w:eastAsia="宋体" w:cs="宋体"/>
          <w:color w:val="auto"/>
          <w:szCs w:val="21"/>
          <w:highlight w:val="none"/>
        </w:rPr>
        <w:t>投标文件电子文件（U盘，须含盖章版PDF投标文件和WORD版投标文件各一版，文字采用WORD文档，计算表格采用 EXCEL文档。）</w:t>
      </w: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9D84">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20392F">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F20392F">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42EC8">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4A9A5">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F76434">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4F76434">
                    <w:pPr>
                      <w:pStyle w:val="2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B0E3">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a:effectLst/>
                    </wps:spPr>
                    <wps:txbx>
                      <w:txbxContent>
                        <w:p w14:paraId="066F3AD6">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vert="horz" lIns="0" tIns="0" rIns="0" bIns="0" anchor="t" anchorCtr="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sfqk0wAAAAUBAAAP&#10;AAAAAAAAAAEAIAAAACIAAABkcnMvZG93bnJldi54bWxQSwECFAAUAAAACACHTuJAh9HN/eQBAADD&#10;AwAADgAAAAAAAAABACAAAAAiAQAAZHJzL2Uyb0RvYy54bWxQSwUGAAAAAAYABgBZAQAAeAUAAAAA&#10;">
              <v:fill on="f" focussize="0,0"/>
              <v:stroke on="f"/>
              <v:imagedata o:title=""/>
              <o:lock v:ext="edit" aspectratio="f"/>
              <v:textbox inset="0mm,0mm,0mm,0mm" style="mso-fit-shape-to-text:t;">
                <w:txbxContent>
                  <w:p w14:paraId="066F3AD6">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7CD9">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a:effectLst/>
                    </wps:spPr>
                    <wps:txbx>
                      <w:txbxContent>
                        <w:p w14:paraId="2E898A06">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vert="horz" lIns="0" tIns="0" rIns="0" bIns="0" anchor="t" anchorCtr="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YIEizSAAAABQEAAA8A&#10;AAAAAAAAAQAgAAAAIgAAAGRycy9kb3ducmV2LnhtbFBLAQIUABQAAAAIAIdO4kDF84I75AEAAMMD&#10;AAAOAAAAAAAAAAEAIAAAACEBAABkcnMvZTJvRG9jLnhtbFBLBQYAAAAABgAGAFkBAAB3BQAAAAA=&#10;">
              <v:fill on="f" focussize="0,0"/>
              <v:stroke on="f"/>
              <v:imagedata o:title=""/>
              <o:lock v:ext="edit" aspectratio="f"/>
              <v:textbox inset="0mm,0mm,0mm,0mm" style="mso-fit-shape-to-text:t;">
                <w:txbxContent>
                  <w:p w14:paraId="2E898A06">
                    <w:pPr>
                      <w:pStyle w:val="2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6E0E">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595E">
    <w:pPr>
      <w:pStyle w:val="22"/>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A966">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E2805EA1"/>
    <w:multiLevelType w:val="singleLevel"/>
    <w:tmpl w:val="E2805EA1"/>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E9B9933"/>
    <w:multiLevelType w:val="singleLevel"/>
    <w:tmpl w:val="1E9B9933"/>
    <w:lvl w:ilvl="0" w:tentative="0">
      <w:start w:val="2"/>
      <w:numFmt w:val="chineseCounting"/>
      <w:suff w:val="nothing"/>
      <w:lvlText w:val="%1、"/>
      <w:lvlJc w:val="left"/>
      <w:rPr>
        <w:rFonts w:hint="eastAsia"/>
      </w:rPr>
    </w:lvl>
  </w:abstractNum>
  <w:abstractNum w:abstractNumId="6">
    <w:nsid w:val="20D2348B"/>
    <w:multiLevelType w:val="singleLevel"/>
    <w:tmpl w:val="20D2348B"/>
    <w:lvl w:ilvl="0" w:tentative="0">
      <w:start w:val="1"/>
      <w:numFmt w:val="chineseCounting"/>
      <w:suff w:val="nothing"/>
      <w:lvlText w:val="（%1）"/>
      <w:lvlJc w:val="left"/>
      <w:rPr>
        <w:rFonts w:hint="eastAsia"/>
      </w:rPr>
    </w:lvl>
  </w:abstractNum>
  <w:abstractNum w:abstractNumId="7">
    <w:nsid w:val="3EDA68BD"/>
    <w:multiLevelType w:val="multilevel"/>
    <w:tmpl w:val="3EDA68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F88662E"/>
    <w:multiLevelType w:val="singleLevel"/>
    <w:tmpl w:val="3F88662E"/>
    <w:lvl w:ilvl="0" w:tentative="0">
      <w:start w:val="1"/>
      <w:numFmt w:val="decimal"/>
      <w:suff w:val="space"/>
      <w:lvlText w:val="%1)"/>
      <w:lvlJc w:val="left"/>
    </w:lvl>
  </w:abstractNum>
  <w:abstractNum w:abstractNumId="9">
    <w:nsid w:val="5303FDBF"/>
    <w:multiLevelType w:val="singleLevel"/>
    <w:tmpl w:val="5303FDBF"/>
    <w:lvl w:ilvl="0" w:tentative="0">
      <w:start w:val="3"/>
      <w:numFmt w:val="decimal"/>
      <w:suff w:val="nothing"/>
      <w:lvlText w:val="%1、"/>
      <w:lvlJc w:val="left"/>
    </w:lvl>
  </w:abstractNum>
  <w:abstractNum w:abstractNumId="10">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9"/>
  </w:num>
  <w:num w:numId="2">
    <w:abstractNumId w:val="5"/>
  </w:num>
  <w:num w:numId="3">
    <w:abstractNumId w:val="10"/>
  </w:num>
  <w:num w:numId="4">
    <w:abstractNumId w:val="12"/>
  </w:num>
  <w:num w:numId="5">
    <w:abstractNumId w:val="8"/>
  </w:num>
  <w:num w:numId="6">
    <w:abstractNumId w:val="0"/>
  </w:num>
  <w:num w:numId="7">
    <w:abstractNumId w:val="3"/>
  </w:num>
  <w:num w:numId="8">
    <w:abstractNumId w:val="1"/>
  </w:num>
  <w:num w:numId="9">
    <w:abstractNumId w:val="4"/>
  </w:num>
  <w:num w:numId="10">
    <w:abstractNumId w:val="6"/>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ODkxMDFkY2QxZjNlODA2MzAzMzZhMGRjYTU1OTcifQ=="/>
    <w:docVar w:name="KSO_WPS_MARK_KEY" w:val="24c44d71-7ba4-4dfe-b58d-a8257b449441"/>
  </w:docVars>
  <w:rsids>
    <w:rsidRoot w:val="00172A27"/>
    <w:rsid w:val="00005A66"/>
    <w:rsid w:val="00006462"/>
    <w:rsid w:val="000300E4"/>
    <w:rsid w:val="0003307E"/>
    <w:rsid w:val="000336BA"/>
    <w:rsid w:val="000359A1"/>
    <w:rsid w:val="0005185D"/>
    <w:rsid w:val="00067748"/>
    <w:rsid w:val="0007500F"/>
    <w:rsid w:val="0008282E"/>
    <w:rsid w:val="00084F6D"/>
    <w:rsid w:val="00093A13"/>
    <w:rsid w:val="000A363F"/>
    <w:rsid w:val="000A42A8"/>
    <w:rsid w:val="000A5063"/>
    <w:rsid w:val="000A5DBD"/>
    <w:rsid w:val="000C4524"/>
    <w:rsid w:val="000D44A6"/>
    <w:rsid w:val="000E2CB7"/>
    <w:rsid w:val="000F0E98"/>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15D6"/>
    <w:rsid w:val="001934B1"/>
    <w:rsid w:val="00193CF2"/>
    <w:rsid w:val="001A06D8"/>
    <w:rsid w:val="001A2968"/>
    <w:rsid w:val="001A2D42"/>
    <w:rsid w:val="001A2EF7"/>
    <w:rsid w:val="001A64C4"/>
    <w:rsid w:val="001B1833"/>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6375D"/>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704E"/>
    <w:rsid w:val="008907DA"/>
    <w:rsid w:val="008A0587"/>
    <w:rsid w:val="008A7273"/>
    <w:rsid w:val="008B55B9"/>
    <w:rsid w:val="008B7726"/>
    <w:rsid w:val="008C05BA"/>
    <w:rsid w:val="008C3E75"/>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996"/>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61230"/>
    <w:rsid w:val="00A668C8"/>
    <w:rsid w:val="00A74ED3"/>
    <w:rsid w:val="00A75C51"/>
    <w:rsid w:val="00A813C5"/>
    <w:rsid w:val="00A824E6"/>
    <w:rsid w:val="00A858DC"/>
    <w:rsid w:val="00A94D14"/>
    <w:rsid w:val="00A96ED2"/>
    <w:rsid w:val="00AA0EAD"/>
    <w:rsid w:val="00AB19CE"/>
    <w:rsid w:val="00AB3969"/>
    <w:rsid w:val="00AC0E7A"/>
    <w:rsid w:val="00AC187B"/>
    <w:rsid w:val="00AD7825"/>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16734"/>
    <w:rsid w:val="00C17B47"/>
    <w:rsid w:val="00C2046D"/>
    <w:rsid w:val="00C25C77"/>
    <w:rsid w:val="00C303E7"/>
    <w:rsid w:val="00C319C2"/>
    <w:rsid w:val="00C454D6"/>
    <w:rsid w:val="00C53CE5"/>
    <w:rsid w:val="00C612F8"/>
    <w:rsid w:val="00C62E44"/>
    <w:rsid w:val="00C63BD8"/>
    <w:rsid w:val="00C63F1C"/>
    <w:rsid w:val="00C65954"/>
    <w:rsid w:val="00C7126B"/>
    <w:rsid w:val="00C72C24"/>
    <w:rsid w:val="00C73468"/>
    <w:rsid w:val="00C74986"/>
    <w:rsid w:val="00C80EC4"/>
    <w:rsid w:val="00C8568E"/>
    <w:rsid w:val="00CA2D67"/>
    <w:rsid w:val="00CA32B5"/>
    <w:rsid w:val="00CB57AD"/>
    <w:rsid w:val="00CC009D"/>
    <w:rsid w:val="00CC584A"/>
    <w:rsid w:val="00CC5E4E"/>
    <w:rsid w:val="00CD090F"/>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43212D"/>
    <w:rsid w:val="01525581"/>
    <w:rsid w:val="016412A2"/>
    <w:rsid w:val="01651C23"/>
    <w:rsid w:val="0168325F"/>
    <w:rsid w:val="018023CE"/>
    <w:rsid w:val="01881AD6"/>
    <w:rsid w:val="019127B6"/>
    <w:rsid w:val="01A16C45"/>
    <w:rsid w:val="01B71A01"/>
    <w:rsid w:val="01CF1530"/>
    <w:rsid w:val="01DC03CE"/>
    <w:rsid w:val="01E36F4E"/>
    <w:rsid w:val="02082356"/>
    <w:rsid w:val="020C3478"/>
    <w:rsid w:val="023C5F15"/>
    <w:rsid w:val="023F3FA2"/>
    <w:rsid w:val="0243087A"/>
    <w:rsid w:val="024F04E7"/>
    <w:rsid w:val="02690FF5"/>
    <w:rsid w:val="028043E0"/>
    <w:rsid w:val="028B6D36"/>
    <w:rsid w:val="02985CD5"/>
    <w:rsid w:val="029F0F02"/>
    <w:rsid w:val="02A36C44"/>
    <w:rsid w:val="02A741FD"/>
    <w:rsid w:val="02A86FB1"/>
    <w:rsid w:val="02B77F75"/>
    <w:rsid w:val="02BE09EF"/>
    <w:rsid w:val="02C16E5D"/>
    <w:rsid w:val="02CC74D7"/>
    <w:rsid w:val="02D33B6B"/>
    <w:rsid w:val="02D964CF"/>
    <w:rsid w:val="02DE5ECF"/>
    <w:rsid w:val="02E334E5"/>
    <w:rsid w:val="02E74073"/>
    <w:rsid w:val="02F713C2"/>
    <w:rsid w:val="03080482"/>
    <w:rsid w:val="03246D7A"/>
    <w:rsid w:val="032653DC"/>
    <w:rsid w:val="032B6C3A"/>
    <w:rsid w:val="03443138"/>
    <w:rsid w:val="0360372F"/>
    <w:rsid w:val="0361733B"/>
    <w:rsid w:val="0367744E"/>
    <w:rsid w:val="03707410"/>
    <w:rsid w:val="03824AAC"/>
    <w:rsid w:val="03912240"/>
    <w:rsid w:val="039240A3"/>
    <w:rsid w:val="03A0770F"/>
    <w:rsid w:val="03A448B8"/>
    <w:rsid w:val="03BB7A6D"/>
    <w:rsid w:val="03C01631"/>
    <w:rsid w:val="03C656A9"/>
    <w:rsid w:val="03DC4628"/>
    <w:rsid w:val="03F33148"/>
    <w:rsid w:val="04096FAB"/>
    <w:rsid w:val="042F3419"/>
    <w:rsid w:val="044566F3"/>
    <w:rsid w:val="044841D6"/>
    <w:rsid w:val="0449381C"/>
    <w:rsid w:val="047B4012"/>
    <w:rsid w:val="047F2DDF"/>
    <w:rsid w:val="04815FBF"/>
    <w:rsid w:val="04822497"/>
    <w:rsid w:val="04974587"/>
    <w:rsid w:val="04C66C1A"/>
    <w:rsid w:val="04CF70C9"/>
    <w:rsid w:val="04DF1036"/>
    <w:rsid w:val="04F51A34"/>
    <w:rsid w:val="05016E6E"/>
    <w:rsid w:val="050634BB"/>
    <w:rsid w:val="052D2642"/>
    <w:rsid w:val="052D4EEB"/>
    <w:rsid w:val="05377368"/>
    <w:rsid w:val="055E6E53"/>
    <w:rsid w:val="05856B2D"/>
    <w:rsid w:val="058A7C48"/>
    <w:rsid w:val="0599183C"/>
    <w:rsid w:val="05A97DEC"/>
    <w:rsid w:val="05AD7DDA"/>
    <w:rsid w:val="05B23978"/>
    <w:rsid w:val="05C375FE"/>
    <w:rsid w:val="05C81981"/>
    <w:rsid w:val="05D47115"/>
    <w:rsid w:val="05EF3F4F"/>
    <w:rsid w:val="05F8358C"/>
    <w:rsid w:val="06005A13"/>
    <w:rsid w:val="060C3203"/>
    <w:rsid w:val="06534161"/>
    <w:rsid w:val="065A6D82"/>
    <w:rsid w:val="06675F32"/>
    <w:rsid w:val="06685FD6"/>
    <w:rsid w:val="068C3E93"/>
    <w:rsid w:val="069B4E4A"/>
    <w:rsid w:val="06A540EE"/>
    <w:rsid w:val="06BC41F2"/>
    <w:rsid w:val="06CA68F3"/>
    <w:rsid w:val="06EB5583"/>
    <w:rsid w:val="06F415CC"/>
    <w:rsid w:val="06FD08ED"/>
    <w:rsid w:val="070E26CD"/>
    <w:rsid w:val="07197D08"/>
    <w:rsid w:val="071E5C55"/>
    <w:rsid w:val="071E73B0"/>
    <w:rsid w:val="071F0864"/>
    <w:rsid w:val="07204668"/>
    <w:rsid w:val="0722390D"/>
    <w:rsid w:val="07261BF2"/>
    <w:rsid w:val="07342561"/>
    <w:rsid w:val="075C1FE5"/>
    <w:rsid w:val="076B4CB0"/>
    <w:rsid w:val="077005AB"/>
    <w:rsid w:val="078F4581"/>
    <w:rsid w:val="079529C6"/>
    <w:rsid w:val="07BA7D28"/>
    <w:rsid w:val="07BF027F"/>
    <w:rsid w:val="07F43530"/>
    <w:rsid w:val="08031A31"/>
    <w:rsid w:val="081C4DA3"/>
    <w:rsid w:val="08307C7E"/>
    <w:rsid w:val="08420CAE"/>
    <w:rsid w:val="08574B3D"/>
    <w:rsid w:val="08681853"/>
    <w:rsid w:val="0877281B"/>
    <w:rsid w:val="089534E2"/>
    <w:rsid w:val="08A07782"/>
    <w:rsid w:val="08A669DF"/>
    <w:rsid w:val="08E0126D"/>
    <w:rsid w:val="08E352B9"/>
    <w:rsid w:val="09061A75"/>
    <w:rsid w:val="09173EE8"/>
    <w:rsid w:val="09182241"/>
    <w:rsid w:val="095F1030"/>
    <w:rsid w:val="09855177"/>
    <w:rsid w:val="09C120A6"/>
    <w:rsid w:val="09EE5125"/>
    <w:rsid w:val="0A001890"/>
    <w:rsid w:val="0A1C01FE"/>
    <w:rsid w:val="0A2522FD"/>
    <w:rsid w:val="0A327478"/>
    <w:rsid w:val="0A462748"/>
    <w:rsid w:val="0A4D0C81"/>
    <w:rsid w:val="0A522CFE"/>
    <w:rsid w:val="0A570314"/>
    <w:rsid w:val="0A6C4415"/>
    <w:rsid w:val="0A723E95"/>
    <w:rsid w:val="0A733243"/>
    <w:rsid w:val="0A765036"/>
    <w:rsid w:val="0A846743"/>
    <w:rsid w:val="0A873F23"/>
    <w:rsid w:val="0A875329"/>
    <w:rsid w:val="0A892BC4"/>
    <w:rsid w:val="0AA534D5"/>
    <w:rsid w:val="0AA650EB"/>
    <w:rsid w:val="0AA7129C"/>
    <w:rsid w:val="0AA91CD5"/>
    <w:rsid w:val="0ABF347F"/>
    <w:rsid w:val="0AE26205"/>
    <w:rsid w:val="0AF12517"/>
    <w:rsid w:val="0AF47339"/>
    <w:rsid w:val="0B0E2633"/>
    <w:rsid w:val="0B22594B"/>
    <w:rsid w:val="0B27506F"/>
    <w:rsid w:val="0B341A54"/>
    <w:rsid w:val="0B491841"/>
    <w:rsid w:val="0B7C0EF6"/>
    <w:rsid w:val="0B8E0909"/>
    <w:rsid w:val="0B9610F4"/>
    <w:rsid w:val="0B99757D"/>
    <w:rsid w:val="0BBF77A4"/>
    <w:rsid w:val="0BCC77EB"/>
    <w:rsid w:val="0BD16C8D"/>
    <w:rsid w:val="0BDF26F7"/>
    <w:rsid w:val="0C027DB2"/>
    <w:rsid w:val="0C186E82"/>
    <w:rsid w:val="0C2B4952"/>
    <w:rsid w:val="0C321F45"/>
    <w:rsid w:val="0C322F8A"/>
    <w:rsid w:val="0C364685"/>
    <w:rsid w:val="0C4607E5"/>
    <w:rsid w:val="0C516C55"/>
    <w:rsid w:val="0C6F50D1"/>
    <w:rsid w:val="0C7B2220"/>
    <w:rsid w:val="0CA36AB5"/>
    <w:rsid w:val="0CB67D83"/>
    <w:rsid w:val="0CBE5558"/>
    <w:rsid w:val="0CC47243"/>
    <w:rsid w:val="0CD20599"/>
    <w:rsid w:val="0CE53018"/>
    <w:rsid w:val="0D0B5B12"/>
    <w:rsid w:val="0D133046"/>
    <w:rsid w:val="0D153F28"/>
    <w:rsid w:val="0D1C792E"/>
    <w:rsid w:val="0D3A0F98"/>
    <w:rsid w:val="0D6A4502"/>
    <w:rsid w:val="0D7415CA"/>
    <w:rsid w:val="0D7A0267"/>
    <w:rsid w:val="0D890E47"/>
    <w:rsid w:val="0D892538"/>
    <w:rsid w:val="0D9378B6"/>
    <w:rsid w:val="0DBF06AB"/>
    <w:rsid w:val="0DC64A00"/>
    <w:rsid w:val="0DEB5FFA"/>
    <w:rsid w:val="0DF67134"/>
    <w:rsid w:val="0DF75C46"/>
    <w:rsid w:val="0DFC60BA"/>
    <w:rsid w:val="0E1C06B2"/>
    <w:rsid w:val="0E21397E"/>
    <w:rsid w:val="0E2A1FC8"/>
    <w:rsid w:val="0E4447A8"/>
    <w:rsid w:val="0E69691B"/>
    <w:rsid w:val="0E8A515C"/>
    <w:rsid w:val="0EBB5484"/>
    <w:rsid w:val="0EBD5AA3"/>
    <w:rsid w:val="0EBF6927"/>
    <w:rsid w:val="0ECA1EFF"/>
    <w:rsid w:val="0EDD12A5"/>
    <w:rsid w:val="0F086221"/>
    <w:rsid w:val="0F2769C1"/>
    <w:rsid w:val="0F407E8F"/>
    <w:rsid w:val="0F44530B"/>
    <w:rsid w:val="0F5723EF"/>
    <w:rsid w:val="0F585694"/>
    <w:rsid w:val="0F593AAA"/>
    <w:rsid w:val="0F5F5360"/>
    <w:rsid w:val="0F622E1A"/>
    <w:rsid w:val="0F7C5FF6"/>
    <w:rsid w:val="0F7D04FC"/>
    <w:rsid w:val="0F88499C"/>
    <w:rsid w:val="0F9E0359"/>
    <w:rsid w:val="0FC63FBD"/>
    <w:rsid w:val="0FD72F57"/>
    <w:rsid w:val="0FDD003F"/>
    <w:rsid w:val="0FF87EA4"/>
    <w:rsid w:val="0FFF7484"/>
    <w:rsid w:val="10066939"/>
    <w:rsid w:val="100B77ED"/>
    <w:rsid w:val="101D47AD"/>
    <w:rsid w:val="10305890"/>
    <w:rsid w:val="103D5A1A"/>
    <w:rsid w:val="105847E5"/>
    <w:rsid w:val="10661858"/>
    <w:rsid w:val="106C564D"/>
    <w:rsid w:val="106E0AED"/>
    <w:rsid w:val="107B7B8F"/>
    <w:rsid w:val="107C67CE"/>
    <w:rsid w:val="108B0D18"/>
    <w:rsid w:val="10912D03"/>
    <w:rsid w:val="109D68CB"/>
    <w:rsid w:val="10A949B8"/>
    <w:rsid w:val="10AA3894"/>
    <w:rsid w:val="10AB5D61"/>
    <w:rsid w:val="10B5242F"/>
    <w:rsid w:val="11144AFE"/>
    <w:rsid w:val="11182935"/>
    <w:rsid w:val="11200D07"/>
    <w:rsid w:val="11357F45"/>
    <w:rsid w:val="113760E4"/>
    <w:rsid w:val="115A651E"/>
    <w:rsid w:val="115E03E3"/>
    <w:rsid w:val="11786AB5"/>
    <w:rsid w:val="118049D4"/>
    <w:rsid w:val="118561F8"/>
    <w:rsid w:val="11942D84"/>
    <w:rsid w:val="11946F2B"/>
    <w:rsid w:val="11B21219"/>
    <w:rsid w:val="11CC3348"/>
    <w:rsid w:val="11CE5360"/>
    <w:rsid w:val="11DA73AF"/>
    <w:rsid w:val="11F72B09"/>
    <w:rsid w:val="11FC1ECD"/>
    <w:rsid w:val="11FE758A"/>
    <w:rsid w:val="122F6580"/>
    <w:rsid w:val="124D097B"/>
    <w:rsid w:val="12511265"/>
    <w:rsid w:val="12563740"/>
    <w:rsid w:val="126D4818"/>
    <w:rsid w:val="1283614B"/>
    <w:rsid w:val="12856FF3"/>
    <w:rsid w:val="128661C5"/>
    <w:rsid w:val="128C14EB"/>
    <w:rsid w:val="129671FB"/>
    <w:rsid w:val="12A576FF"/>
    <w:rsid w:val="12C60D80"/>
    <w:rsid w:val="12E226EB"/>
    <w:rsid w:val="12F369CC"/>
    <w:rsid w:val="130523B3"/>
    <w:rsid w:val="13120CCC"/>
    <w:rsid w:val="131F7A3A"/>
    <w:rsid w:val="132645D0"/>
    <w:rsid w:val="133D4061"/>
    <w:rsid w:val="13455ABC"/>
    <w:rsid w:val="13541895"/>
    <w:rsid w:val="13696881"/>
    <w:rsid w:val="136B0CD9"/>
    <w:rsid w:val="1370322B"/>
    <w:rsid w:val="137B5074"/>
    <w:rsid w:val="13BA0460"/>
    <w:rsid w:val="13BB41AE"/>
    <w:rsid w:val="13BF77B1"/>
    <w:rsid w:val="13C24F9B"/>
    <w:rsid w:val="13C45A18"/>
    <w:rsid w:val="13C92283"/>
    <w:rsid w:val="13C9247B"/>
    <w:rsid w:val="13D6515C"/>
    <w:rsid w:val="13F13CC6"/>
    <w:rsid w:val="140D3020"/>
    <w:rsid w:val="143B2E0B"/>
    <w:rsid w:val="144D6397"/>
    <w:rsid w:val="14725FF6"/>
    <w:rsid w:val="147C1943"/>
    <w:rsid w:val="148054E9"/>
    <w:rsid w:val="14892735"/>
    <w:rsid w:val="149068D0"/>
    <w:rsid w:val="14983A03"/>
    <w:rsid w:val="14CC769D"/>
    <w:rsid w:val="14D764D5"/>
    <w:rsid w:val="14DC1B42"/>
    <w:rsid w:val="14EF61BF"/>
    <w:rsid w:val="14EF68EA"/>
    <w:rsid w:val="14F43330"/>
    <w:rsid w:val="14FA29CF"/>
    <w:rsid w:val="150F7FEC"/>
    <w:rsid w:val="151C55B2"/>
    <w:rsid w:val="153E117F"/>
    <w:rsid w:val="154331BF"/>
    <w:rsid w:val="15436F05"/>
    <w:rsid w:val="155B2498"/>
    <w:rsid w:val="155E1D4C"/>
    <w:rsid w:val="15673936"/>
    <w:rsid w:val="15691FE3"/>
    <w:rsid w:val="15790D76"/>
    <w:rsid w:val="158B5DDD"/>
    <w:rsid w:val="158C3F10"/>
    <w:rsid w:val="158E72E0"/>
    <w:rsid w:val="15A15982"/>
    <w:rsid w:val="15B11221"/>
    <w:rsid w:val="15C16EB3"/>
    <w:rsid w:val="15CB76C9"/>
    <w:rsid w:val="15CF6644"/>
    <w:rsid w:val="15D359D7"/>
    <w:rsid w:val="15D942D4"/>
    <w:rsid w:val="16082323"/>
    <w:rsid w:val="160E7A2C"/>
    <w:rsid w:val="16317A1A"/>
    <w:rsid w:val="163C77BE"/>
    <w:rsid w:val="164A3F23"/>
    <w:rsid w:val="164E435E"/>
    <w:rsid w:val="164F6055"/>
    <w:rsid w:val="16535E31"/>
    <w:rsid w:val="16573587"/>
    <w:rsid w:val="165C5C7C"/>
    <w:rsid w:val="1679588C"/>
    <w:rsid w:val="168C2855"/>
    <w:rsid w:val="16994962"/>
    <w:rsid w:val="16A233CF"/>
    <w:rsid w:val="16A71041"/>
    <w:rsid w:val="16AA24BF"/>
    <w:rsid w:val="16EF48E3"/>
    <w:rsid w:val="16F871DC"/>
    <w:rsid w:val="16F94C2D"/>
    <w:rsid w:val="17110A80"/>
    <w:rsid w:val="171D3FE1"/>
    <w:rsid w:val="1743009C"/>
    <w:rsid w:val="17457E73"/>
    <w:rsid w:val="17680CAB"/>
    <w:rsid w:val="176E4128"/>
    <w:rsid w:val="17725CE9"/>
    <w:rsid w:val="1783371F"/>
    <w:rsid w:val="178E48DA"/>
    <w:rsid w:val="17C93012"/>
    <w:rsid w:val="17E62B67"/>
    <w:rsid w:val="180F4499"/>
    <w:rsid w:val="182201B4"/>
    <w:rsid w:val="18221ECE"/>
    <w:rsid w:val="18290F10"/>
    <w:rsid w:val="18391D7A"/>
    <w:rsid w:val="183C3D90"/>
    <w:rsid w:val="18437B82"/>
    <w:rsid w:val="1844012A"/>
    <w:rsid w:val="1859036F"/>
    <w:rsid w:val="1864257A"/>
    <w:rsid w:val="18681814"/>
    <w:rsid w:val="18681864"/>
    <w:rsid w:val="18B0649B"/>
    <w:rsid w:val="18B52DD6"/>
    <w:rsid w:val="18D418FC"/>
    <w:rsid w:val="18E5143F"/>
    <w:rsid w:val="18E83469"/>
    <w:rsid w:val="18E92209"/>
    <w:rsid w:val="18FC7745"/>
    <w:rsid w:val="18FF21A2"/>
    <w:rsid w:val="19083415"/>
    <w:rsid w:val="19117D89"/>
    <w:rsid w:val="192F3B7C"/>
    <w:rsid w:val="19326F59"/>
    <w:rsid w:val="19353F17"/>
    <w:rsid w:val="193D5CDC"/>
    <w:rsid w:val="19864975"/>
    <w:rsid w:val="19864EEB"/>
    <w:rsid w:val="19944CD7"/>
    <w:rsid w:val="199944A6"/>
    <w:rsid w:val="19A66A53"/>
    <w:rsid w:val="19AA0461"/>
    <w:rsid w:val="19BC1F42"/>
    <w:rsid w:val="19C74F9C"/>
    <w:rsid w:val="19D1065C"/>
    <w:rsid w:val="19DD405E"/>
    <w:rsid w:val="19E56F3B"/>
    <w:rsid w:val="1A121864"/>
    <w:rsid w:val="1A460CF5"/>
    <w:rsid w:val="1A780BC1"/>
    <w:rsid w:val="1A7F297D"/>
    <w:rsid w:val="1A8B0292"/>
    <w:rsid w:val="1A9073C0"/>
    <w:rsid w:val="1A9C6DBB"/>
    <w:rsid w:val="1A9D6244"/>
    <w:rsid w:val="1AB16AC1"/>
    <w:rsid w:val="1ABF1CEA"/>
    <w:rsid w:val="1AC079A8"/>
    <w:rsid w:val="1ADF413A"/>
    <w:rsid w:val="1AF2646B"/>
    <w:rsid w:val="1B014DDE"/>
    <w:rsid w:val="1B0320FB"/>
    <w:rsid w:val="1B034A52"/>
    <w:rsid w:val="1B1B5DC0"/>
    <w:rsid w:val="1B2640F6"/>
    <w:rsid w:val="1B45344E"/>
    <w:rsid w:val="1B5D76FB"/>
    <w:rsid w:val="1B6559EB"/>
    <w:rsid w:val="1B683578"/>
    <w:rsid w:val="1B8C0040"/>
    <w:rsid w:val="1B8D2BF8"/>
    <w:rsid w:val="1B9E3FF5"/>
    <w:rsid w:val="1BB630ED"/>
    <w:rsid w:val="1BBA1477"/>
    <w:rsid w:val="1BDE2F66"/>
    <w:rsid w:val="1BE13EE2"/>
    <w:rsid w:val="1C096249"/>
    <w:rsid w:val="1C2564C4"/>
    <w:rsid w:val="1C5A3CC0"/>
    <w:rsid w:val="1C627F58"/>
    <w:rsid w:val="1C6B4097"/>
    <w:rsid w:val="1C750ECE"/>
    <w:rsid w:val="1C8B5958"/>
    <w:rsid w:val="1CA23671"/>
    <w:rsid w:val="1CA56AF4"/>
    <w:rsid w:val="1CB6092E"/>
    <w:rsid w:val="1CD13DE6"/>
    <w:rsid w:val="1CD667CB"/>
    <w:rsid w:val="1CDF3A25"/>
    <w:rsid w:val="1CE41EDC"/>
    <w:rsid w:val="1CF96B44"/>
    <w:rsid w:val="1D063C00"/>
    <w:rsid w:val="1D182C48"/>
    <w:rsid w:val="1D196139"/>
    <w:rsid w:val="1D1A6BE7"/>
    <w:rsid w:val="1D226003"/>
    <w:rsid w:val="1D372585"/>
    <w:rsid w:val="1D5E02D1"/>
    <w:rsid w:val="1D7B4345"/>
    <w:rsid w:val="1D7F0ED0"/>
    <w:rsid w:val="1D921938"/>
    <w:rsid w:val="1DBB6100"/>
    <w:rsid w:val="1DBE6816"/>
    <w:rsid w:val="1DCB4FF1"/>
    <w:rsid w:val="1DD4071C"/>
    <w:rsid w:val="1DD60AC3"/>
    <w:rsid w:val="1DF20D7E"/>
    <w:rsid w:val="1E010AF7"/>
    <w:rsid w:val="1E054B7D"/>
    <w:rsid w:val="1E127BE4"/>
    <w:rsid w:val="1E1C405A"/>
    <w:rsid w:val="1E283EDA"/>
    <w:rsid w:val="1E2E29E0"/>
    <w:rsid w:val="1E301173"/>
    <w:rsid w:val="1E5F37D9"/>
    <w:rsid w:val="1E65704C"/>
    <w:rsid w:val="1E884D18"/>
    <w:rsid w:val="1E965DBA"/>
    <w:rsid w:val="1EA43A5A"/>
    <w:rsid w:val="1EB678A8"/>
    <w:rsid w:val="1ED8781E"/>
    <w:rsid w:val="1EDD3235"/>
    <w:rsid w:val="1F1102B0"/>
    <w:rsid w:val="1F2A36D3"/>
    <w:rsid w:val="1F2F1047"/>
    <w:rsid w:val="1F2F2B69"/>
    <w:rsid w:val="1F3C1B23"/>
    <w:rsid w:val="1F43381C"/>
    <w:rsid w:val="1F781224"/>
    <w:rsid w:val="1F9D51D8"/>
    <w:rsid w:val="1FA4148D"/>
    <w:rsid w:val="1FAC4822"/>
    <w:rsid w:val="1FBB4C72"/>
    <w:rsid w:val="1FC10FAB"/>
    <w:rsid w:val="1FC366E3"/>
    <w:rsid w:val="1FC65577"/>
    <w:rsid w:val="1FD82385"/>
    <w:rsid w:val="1FEB22DC"/>
    <w:rsid w:val="1FF274ED"/>
    <w:rsid w:val="1FFE0E7D"/>
    <w:rsid w:val="20121621"/>
    <w:rsid w:val="20147D79"/>
    <w:rsid w:val="201636E2"/>
    <w:rsid w:val="202E3F6D"/>
    <w:rsid w:val="20325F7E"/>
    <w:rsid w:val="204E554F"/>
    <w:rsid w:val="20590035"/>
    <w:rsid w:val="209033C5"/>
    <w:rsid w:val="20A40AA5"/>
    <w:rsid w:val="20CE1175"/>
    <w:rsid w:val="20D364EF"/>
    <w:rsid w:val="20E5011E"/>
    <w:rsid w:val="20FC799E"/>
    <w:rsid w:val="21061FEE"/>
    <w:rsid w:val="21101BAA"/>
    <w:rsid w:val="21286DA7"/>
    <w:rsid w:val="2134683B"/>
    <w:rsid w:val="21413308"/>
    <w:rsid w:val="21545CAE"/>
    <w:rsid w:val="215F7D83"/>
    <w:rsid w:val="21797EC3"/>
    <w:rsid w:val="21894E00"/>
    <w:rsid w:val="219068BB"/>
    <w:rsid w:val="21B43961"/>
    <w:rsid w:val="21BB001E"/>
    <w:rsid w:val="21C67934"/>
    <w:rsid w:val="21C82E72"/>
    <w:rsid w:val="21DE0801"/>
    <w:rsid w:val="21DE339D"/>
    <w:rsid w:val="21FC7CC7"/>
    <w:rsid w:val="2203115E"/>
    <w:rsid w:val="22154DDD"/>
    <w:rsid w:val="22156E32"/>
    <w:rsid w:val="22230DB0"/>
    <w:rsid w:val="22336873"/>
    <w:rsid w:val="22396826"/>
    <w:rsid w:val="22412CD8"/>
    <w:rsid w:val="22462A8A"/>
    <w:rsid w:val="225471A3"/>
    <w:rsid w:val="225E34DC"/>
    <w:rsid w:val="22676FE0"/>
    <w:rsid w:val="226C09A9"/>
    <w:rsid w:val="227D1295"/>
    <w:rsid w:val="228E674D"/>
    <w:rsid w:val="228F28EA"/>
    <w:rsid w:val="229F67F1"/>
    <w:rsid w:val="22AB3B7D"/>
    <w:rsid w:val="22AE557B"/>
    <w:rsid w:val="22AF3A08"/>
    <w:rsid w:val="22B25A77"/>
    <w:rsid w:val="22B608FE"/>
    <w:rsid w:val="22C75BE0"/>
    <w:rsid w:val="22CD6F6E"/>
    <w:rsid w:val="22F92F75"/>
    <w:rsid w:val="230010F2"/>
    <w:rsid w:val="230C7A96"/>
    <w:rsid w:val="23172FFC"/>
    <w:rsid w:val="23476D20"/>
    <w:rsid w:val="2351194D"/>
    <w:rsid w:val="23554EB8"/>
    <w:rsid w:val="235F406A"/>
    <w:rsid w:val="2369313B"/>
    <w:rsid w:val="238C4D53"/>
    <w:rsid w:val="23A125E6"/>
    <w:rsid w:val="23B5249B"/>
    <w:rsid w:val="23BB4E7D"/>
    <w:rsid w:val="23C037F6"/>
    <w:rsid w:val="23C172D6"/>
    <w:rsid w:val="23D77537"/>
    <w:rsid w:val="23E6195D"/>
    <w:rsid w:val="23E822B1"/>
    <w:rsid w:val="23F04F64"/>
    <w:rsid w:val="24303C58"/>
    <w:rsid w:val="244E359D"/>
    <w:rsid w:val="245A0B65"/>
    <w:rsid w:val="24814CBE"/>
    <w:rsid w:val="24AC168B"/>
    <w:rsid w:val="24BB6664"/>
    <w:rsid w:val="24BD406A"/>
    <w:rsid w:val="24D23A61"/>
    <w:rsid w:val="24D64B5D"/>
    <w:rsid w:val="24FE1FFB"/>
    <w:rsid w:val="250E1318"/>
    <w:rsid w:val="25467247"/>
    <w:rsid w:val="254D0389"/>
    <w:rsid w:val="25884C5D"/>
    <w:rsid w:val="258B6243"/>
    <w:rsid w:val="258C3BEC"/>
    <w:rsid w:val="25A03144"/>
    <w:rsid w:val="25B2479F"/>
    <w:rsid w:val="25C15C5D"/>
    <w:rsid w:val="25D329B9"/>
    <w:rsid w:val="25E5427A"/>
    <w:rsid w:val="25FA62CC"/>
    <w:rsid w:val="26123616"/>
    <w:rsid w:val="26243349"/>
    <w:rsid w:val="26276A31"/>
    <w:rsid w:val="26366F9D"/>
    <w:rsid w:val="26370A45"/>
    <w:rsid w:val="263B1230"/>
    <w:rsid w:val="2642752B"/>
    <w:rsid w:val="26485508"/>
    <w:rsid w:val="26554808"/>
    <w:rsid w:val="26607D95"/>
    <w:rsid w:val="266E3D3D"/>
    <w:rsid w:val="26700955"/>
    <w:rsid w:val="26812549"/>
    <w:rsid w:val="268166B9"/>
    <w:rsid w:val="26A16AE9"/>
    <w:rsid w:val="26A605D9"/>
    <w:rsid w:val="26AD0500"/>
    <w:rsid w:val="26AF70B6"/>
    <w:rsid w:val="26B121A3"/>
    <w:rsid w:val="26B50755"/>
    <w:rsid w:val="26BE68B3"/>
    <w:rsid w:val="26C07516"/>
    <w:rsid w:val="26F34269"/>
    <w:rsid w:val="271156AB"/>
    <w:rsid w:val="272E3097"/>
    <w:rsid w:val="272E6F74"/>
    <w:rsid w:val="274D3CC9"/>
    <w:rsid w:val="275842E0"/>
    <w:rsid w:val="27706DA7"/>
    <w:rsid w:val="277E6655"/>
    <w:rsid w:val="27933DEA"/>
    <w:rsid w:val="27A209C9"/>
    <w:rsid w:val="27A66590"/>
    <w:rsid w:val="27AF30E6"/>
    <w:rsid w:val="27B36A67"/>
    <w:rsid w:val="27BE6794"/>
    <w:rsid w:val="27BF5A1F"/>
    <w:rsid w:val="27CB43C4"/>
    <w:rsid w:val="27E537EB"/>
    <w:rsid w:val="27E965F8"/>
    <w:rsid w:val="280653FC"/>
    <w:rsid w:val="281E404F"/>
    <w:rsid w:val="282C6032"/>
    <w:rsid w:val="28302479"/>
    <w:rsid w:val="2846581F"/>
    <w:rsid w:val="284A5CA4"/>
    <w:rsid w:val="28510569"/>
    <w:rsid w:val="286602C8"/>
    <w:rsid w:val="28665C95"/>
    <w:rsid w:val="28716D1C"/>
    <w:rsid w:val="28736F5F"/>
    <w:rsid w:val="28833BE9"/>
    <w:rsid w:val="28851EB4"/>
    <w:rsid w:val="28B01D1E"/>
    <w:rsid w:val="28C2628C"/>
    <w:rsid w:val="28CC3373"/>
    <w:rsid w:val="28D449BB"/>
    <w:rsid w:val="28F05922"/>
    <w:rsid w:val="28F579BA"/>
    <w:rsid w:val="2901579D"/>
    <w:rsid w:val="290B3EB9"/>
    <w:rsid w:val="291050EE"/>
    <w:rsid w:val="292728C1"/>
    <w:rsid w:val="292C7FA1"/>
    <w:rsid w:val="2940493E"/>
    <w:rsid w:val="2950768C"/>
    <w:rsid w:val="297A5FC4"/>
    <w:rsid w:val="2984266B"/>
    <w:rsid w:val="299307BA"/>
    <w:rsid w:val="299B2660"/>
    <w:rsid w:val="299F794E"/>
    <w:rsid w:val="29B41DA5"/>
    <w:rsid w:val="29BF5862"/>
    <w:rsid w:val="29DE76A0"/>
    <w:rsid w:val="29E14657"/>
    <w:rsid w:val="29E474B8"/>
    <w:rsid w:val="29E47A75"/>
    <w:rsid w:val="29ED574B"/>
    <w:rsid w:val="29FA0234"/>
    <w:rsid w:val="29FA2D3E"/>
    <w:rsid w:val="29FE5CE6"/>
    <w:rsid w:val="2A270203"/>
    <w:rsid w:val="2A600C13"/>
    <w:rsid w:val="2A633B90"/>
    <w:rsid w:val="2A68500A"/>
    <w:rsid w:val="2A743AE8"/>
    <w:rsid w:val="2A8D4F8F"/>
    <w:rsid w:val="2A901BEE"/>
    <w:rsid w:val="2A917B34"/>
    <w:rsid w:val="2A9308A8"/>
    <w:rsid w:val="2A9475FF"/>
    <w:rsid w:val="2A9F5AB8"/>
    <w:rsid w:val="2AAA0AA2"/>
    <w:rsid w:val="2ABE5819"/>
    <w:rsid w:val="2AC11691"/>
    <w:rsid w:val="2AD74E8C"/>
    <w:rsid w:val="2AE3766F"/>
    <w:rsid w:val="2AEC612E"/>
    <w:rsid w:val="2B0A162A"/>
    <w:rsid w:val="2B0E56AB"/>
    <w:rsid w:val="2B276305"/>
    <w:rsid w:val="2B391645"/>
    <w:rsid w:val="2B4C1E86"/>
    <w:rsid w:val="2B54704F"/>
    <w:rsid w:val="2B590601"/>
    <w:rsid w:val="2B6D4EEB"/>
    <w:rsid w:val="2B7A2C09"/>
    <w:rsid w:val="2B7E4054"/>
    <w:rsid w:val="2B9E69F6"/>
    <w:rsid w:val="2BA45A85"/>
    <w:rsid w:val="2BA7634B"/>
    <w:rsid w:val="2BB12905"/>
    <w:rsid w:val="2BBA6A76"/>
    <w:rsid w:val="2BCC03D1"/>
    <w:rsid w:val="2BE912BD"/>
    <w:rsid w:val="2C0C6D59"/>
    <w:rsid w:val="2C1125C1"/>
    <w:rsid w:val="2C186460"/>
    <w:rsid w:val="2C1D6D9A"/>
    <w:rsid w:val="2C223F2A"/>
    <w:rsid w:val="2C300C99"/>
    <w:rsid w:val="2C33078A"/>
    <w:rsid w:val="2C3D2009"/>
    <w:rsid w:val="2C6531D7"/>
    <w:rsid w:val="2C787BAC"/>
    <w:rsid w:val="2C7A06EF"/>
    <w:rsid w:val="2C8903AA"/>
    <w:rsid w:val="2C8E776E"/>
    <w:rsid w:val="2C8E7BB8"/>
    <w:rsid w:val="2C987C56"/>
    <w:rsid w:val="2CA156F3"/>
    <w:rsid w:val="2CBB2C83"/>
    <w:rsid w:val="2CC11460"/>
    <w:rsid w:val="2CC15BAA"/>
    <w:rsid w:val="2CCB54FD"/>
    <w:rsid w:val="2CDC3153"/>
    <w:rsid w:val="2CDF621C"/>
    <w:rsid w:val="2CE136D7"/>
    <w:rsid w:val="2CE25B9C"/>
    <w:rsid w:val="2CFE7A11"/>
    <w:rsid w:val="2CFF149A"/>
    <w:rsid w:val="2D201865"/>
    <w:rsid w:val="2D2F67DA"/>
    <w:rsid w:val="2D4B5CEA"/>
    <w:rsid w:val="2D4C5B4C"/>
    <w:rsid w:val="2D4C6B07"/>
    <w:rsid w:val="2D514661"/>
    <w:rsid w:val="2D652658"/>
    <w:rsid w:val="2D964A56"/>
    <w:rsid w:val="2DC16E0A"/>
    <w:rsid w:val="2DC80C49"/>
    <w:rsid w:val="2DCA6355"/>
    <w:rsid w:val="2DD34E44"/>
    <w:rsid w:val="2DD815E9"/>
    <w:rsid w:val="2DD85F0E"/>
    <w:rsid w:val="2E166748"/>
    <w:rsid w:val="2E1B14D5"/>
    <w:rsid w:val="2E2054A0"/>
    <w:rsid w:val="2E482374"/>
    <w:rsid w:val="2E556F01"/>
    <w:rsid w:val="2E8345A7"/>
    <w:rsid w:val="2E8E20B4"/>
    <w:rsid w:val="2E8F6179"/>
    <w:rsid w:val="2EAA7BAE"/>
    <w:rsid w:val="2EB77450"/>
    <w:rsid w:val="2EBC3759"/>
    <w:rsid w:val="2EC0235F"/>
    <w:rsid w:val="2EC1207D"/>
    <w:rsid w:val="2ECA0B34"/>
    <w:rsid w:val="2ED06066"/>
    <w:rsid w:val="2ED1223D"/>
    <w:rsid w:val="2EDD3B3D"/>
    <w:rsid w:val="2EEE0998"/>
    <w:rsid w:val="2EFD74E2"/>
    <w:rsid w:val="2F000139"/>
    <w:rsid w:val="2F1B303D"/>
    <w:rsid w:val="2F2944A2"/>
    <w:rsid w:val="2F320345"/>
    <w:rsid w:val="2F3925CB"/>
    <w:rsid w:val="2F65799D"/>
    <w:rsid w:val="2F7736F3"/>
    <w:rsid w:val="2F8F3F29"/>
    <w:rsid w:val="2F9F42DC"/>
    <w:rsid w:val="2FAC3772"/>
    <w:rsid w:val="2FBC2844"/>
    <w:rsid w:val="2FC32F68"/>
    <w:rsid w:val="2FCD4A51"/>
    <w:rsid w:val="2FD951A4"/>
    <w:rsid w:val="2FF37AB3"/>
    <w:rsid w:val="30210B8A"/>
    <w:rsid w:val="30224DC7"/>
    <w:rsid w:val="302B70C1"/>
    <w:rsid w:val="303265F2"/>
    <w:rsid w:val="303B4C3F"/>
    <w:rsid w:val="30445EA7"/>
    <w:rsid w:val="30476D7A"/>
    <w:rsid w:val="3073310C"/>
    <w:rsid w:val="309335A5"/>
    <w:rsid w:val="309D6BE6"/>
    <w:rsid w:val="30AA1790"/>
    <w:rsid w:val="30E3452C"/>
    <w:rsid w:val="30EE385E"/>
    <w:rsid w:val="30F85AFE"/>
    <w:rsid w:val="30FB7E2B"/>
    <w:rsid w:val="30FC2B0A"/>
    <w:rsid w:val="31170995"/>
    <w:rsid w:val="311C2969"/>
    <w:rsid w:val="31264A30"/>
    <w:rsid w:val="312651F8"/>
    <w:rsid w:val="31572824"/>
    <w:rsid w:val="316361AF"/>
    <w:rsid w:val="316A684D"/>
    <w:rsid w:val="31884E67"/>
    <w:rsid w:val="31A0275E"/>
    <w:rsid w:val="31A67308"/>
    <w:rsid w:val="31B91526"/>
    <w:rsid w:val="31EF0041"/>
    <w:rsid w:val="320107F5"/>
    <w:rsid w:val="32116E77"/>
    <w:rsid w:val="323200F3"/>
    <w:rsid w:val="32484DF9"/>
    <w:rsid w:val="32486254"/>
    <w:rsid w:val="32676FDB"/>
    <w:rsid w:val="326A0524"/>
    <w:rsid w:val="327D6536"/>
    <w:rsid w:val="32986C45"/>
    <w:rsid w:val="32AB70C5"/>
    <w:rsid w:val="32B37F2E"/>
    <w:rsid w:val="32D60303"/>
    <w:rsid w:val="32F50547"/>
    <w:rsid w:val="32FE41A8"/>
    <w:rsid w:val="331B5816"/>
    <w:rsid w:val="33247607"/>
    <w:rsid w:val="33434493"/>
    <w:rsid w:val="33487C23"/>
    <w:rsid w:val="334B22D9"/>
    <w:rsid w:val="335837E0"/>
    <w:rsid w:val="335D0AF5"/>
    <w:rsid w:val="3370088C"/>
    <w:rsid w:val="33735C77"/>
    <w:rsid w:val="337C6572"/>
    <w:rsid w:val="338418CB"/>
    <w:rsid w:val="339A687B"/>
    <w:rsid w:val="33A664B1"/>
    <w:rsid w:val="33BA18CC"/>
    <w:rsid w:val="33C14594"/>
    <w:rsid w:val="33DC2F78"/>
    <w:rsid w:val="33F42936"/>
    <w:rsid w:val="34086058"/>
    <w:rsid w:val="3428227C"/>
    <w:rsid w:val="342B67BB"/>
    <w:rsid w:val="343230D5"/>
    <w:rsid w:val="3439428E"/>
    <w:rsid w:val="343A779C"/>
    <w:rsid w:val="343C4704"/>
    <w:rsid w:val="34602548"/>
    <w:rsid w:val="347918A5"/>
    <w:rsid w:val="34940DB6"/>
    <w:rsid w:val="349D37D5"/>
    <w:rsid w:val="34A61BDE"/>
    <w:rsid w:val="34B61F58"/>
    <w:rsid w:val="34B82602"/>
    <w:rsid w:val="34BF211C"/>
    <w:rsid w:val="34C16E35"/>
    <w:rsid w:val="34E26D79"/>
    <w:rsid w:val="34E30703"/>
    <w:rsid w:val="34FF38FF"/>
    <w:rsid w:val="3522586C"/>
    <w:rsid w:val="35230549"/>
    <w:rsid w:val="35572473"/>
    <w:rsid w:val="35602226"/>
    <w:rsid w:val="356B72E7"/>
    <w:rsid w:val="356D2AC8"/>
    <w:rsid w:val="3572424F"/>
    <w:rsid w:val="35866014"/>
    <w:rsid w:val="359E5CE0"/>
    <w:rsid w:val="35B20971"/>
    <w:rsid w:val="35E277FA"/>
    <w:rsid w:val="360001E3"/>
    <w:rsid w:val="36107446"/>
    <w:rsid w:val="36156CDE"/>
    <w:rsid w:val="361C4F91"/>
    <w:rsid w:val="36257395"/>
    <w:rsid w:val="362B215D"/>
    <w:rsid w:val="3633102D"/>
    <w:rsid w:val="363E0D05"/>
    <w:rsid w:val="364B6560"/>
    <w:rsid w:val="367801A9"/>
    <w:rsid w:val="36A51EEB"/>
    <w:rsid w:val="36AD519D"/>
    <w:rsid w:val="36B57705"/>
    <w:rsid w:val="36C73FA8"/>
    <w:rsid w:val="36CB08C5"/>
    <w:rsid w:val="36D57969"/>
    <w:rsid w:val="36DC1DD3"/>
    <w:rsid w:val="36EC28A4"/>
    <w:rsid w:val="37090CD6"/>
    <w:rsid w:val="37122320"/>
    <w:rsid w:val="372F6E95"/>
    <w:rsid w:val="373E6129"/>
    <w:rsid w:val="37491E19"/>
    <w:rsid w:val="3754697A"/>
    <w:rsid w:val="37607F59"/>
    <w:rsid w:val="37636A21"/>
    <w:rsid w:val="378249A5"/>
    <w:rsid w:val="37883E50"/>
    <w:rsid w:val="37886D61"/>
    <w:rsid w:val="378A04C6"/>
    <w:rsid w:val="37A103ED"/>
    <w:rsid w:val="37A367C3"/>
    <w:rsid w:val="37BD33EE"/>
    <w:rsid w:val="37C24FF3"/>
    <w:rsid w:val="37E02B23"/>
    <w:rsid w:val="37E24032"/>
    <w:rsid w:val="37E345A6"/>
    <w:rsid w:val="37EA5E6E"/>
    <w:rsid w:val="37FF016F"/>
    <w:rsid w:val="38163439"/>
    <w:rsid w:val="382A6E2D"/>
    <w:rsid w:val="38534B1D"/>
    <w:rsid w:val="386657AE"/>
    <w:rsid w:val="386E4145"/>
    <w:rsid w:val="387C5ABE"/>
    <w:rsid w:val="38A07DCE"/>
    <w:rsid w:val="38A961D1"/>
    <w:rsid w:val="38AF46DD"/>
    <w:rsid w:val="38B66D0C"/>
    <w:rsid w:val="38CA7E13"/>
    <w:rsid w:val="38EB6119"/>
    <w:rsid w:val="38ED3021"/>
    <w:rsid w:val="392D500E"/>
    <w:rsid w:val="392D6842"/>
    <w:rsid w:val="393652A5"/>
    <w:rsid w:val="3949339B"/>
    <w:rsid w:val="395D0BF4"/>
    <w:rsid w:val="396678D9"/>
    <w:rsid w:val="39736669"/>
    <w:rsid w:val="39736E5A"/>
    <w:rsid w:val="397A0ADB"/>
    <w:rsid w:val="39954B2B"/>
    <w:rsid w:val="39DA2245"/>
    <w:rsid w:val="39E1776A"/>
    <w:rsid w:val="39E66E3B"/>
    <w:rsid w:val="39FD4CC2"/>
    <w:rsid w:val="3A362AA8"/>
    <w:rsid w:val="3A3A7721"/>
    <w:rsid w:val="3A51228C"/>
    <w:rsid w:val="3A545E48"/>
    <w:rsid w:val="3A552E60"/>
    <w:rsid w:val="3A5D642F"/>
    <w:rsid w:val="3A622510"/>
    <w:rsid w:val="3A646CDA"/>
    <w:rsid w:val="3A744447"/>
    <w:rsid w:val="3A78219D"/>
    <w:rsid w:val="3A7E11AC"/>
    <w:rsid w:val="3A995C5C"/>
    <w:rsid w:val="3AB210FC"/>
    <w:rsid w:val="3ADC3D9A"/>
    <w:rsid w:val="3B043A1D"/>
    <w:rsid w:val="3B12309C"/>
    <w:rsid w:val="3B212C76"/>
    <w:rsid w:val="3B793A48"/>
    <w:rsid w:val="3B844B5E"/>
    <w:rsid w:val="3B85393E"/>
    <w:rsid w:val="3B9E10D0"/>
    <w:rsid w:val="3BCA4B8A"/>
    <w:rsid w:val="3BCD72F7"/>
    <w:rsid w:val="3BD333EF"/>
    <w:rsid w:val="3BED5A28"/>
    <w:rsid w:val="3BF4153E"/>
    <w:rsid w:val="3C027831"/>
    <w:rsid w:val="3C2D1B8E"/>
    <w:rsid w:val="3C37146A"/>
    <w:rsid w:val="3C3D3625"/>
    <w:rsid w:val="3C414142"/>
    <w:rsid w:val="3C5B725E"/>
    <w:rsid w:val="3C7C3A87"/>
    <w:rsid w:val="3C88055A"/>
    <w:rsid w:val="3C8F5568"/>
    <w:rsid w:val="3CAF79B9"/>
    <w:rsid w:val="3CB04C94"/>
    <w:rsid w:val="3CB35097"/>
    <w:rsid w:val="3CDE029E"/>
    <w:rsid w:val="3CDE204C"/>
    <w:rsid w:val="3CE967E7"/>
    <w:rsid w:val="3CF737A2"/>
    <w:rsid w:val="3D10295A"/>
    <w:rsid w:val="3D184041"/>
    <w:rsid w:val="3D370C2A"/>
    <w:rsid w:val="3D37657E"/>
    <w:rsid w:val="3D414FC0"/>
    <w:rsid w:val="3D595A06"/>
    <w:rsid w:val="3D7D049C"/>
    <w:rsid w:val="3D9B1CEB"/>
    <w:rsid w:val="3DBD1485"/>
    <w:rsid w:val="3DC4250E"/>
    <w:rsid w:val="3DDE362C"/>
    <w:rsid w:val="3DE03D73"/>
    <w:rsid w:val="3DE20EAE"/>
    <w:rsid w:val="3DEA5B44"/>
    <w:rsid w:val="3DEC2E9F"/>
    <w:rsid w:val="3DEF3701"/>
    <w:rsid w:val="3E0572FD"/>
    <w:rsid w:val="3E0720FE"/>
    <w:rsid w:val="3E2819F6"/>
    <w:rsid w:val="3E287A22"/>
    <w:rsid w:val="3E3D2DA2"/>
    <w:rsid w:val="3E44002D"/>
    <w:rsid w:val="3E52684D"/>
    <w:rsid w:val="3E5A7FE7"/>
    <w:rsid w:val="3E603CCE"/>
    <w:rsid w:val="3E676550"/>
    <w:rsid w:val="3E955A6A"/>
    <w:rsid w:val="3E964D81"/>
    <w:rsid w:val="3E9A69AB"/>
    <w:rsid w:val="3EBA1F32"/>
    <w:rsid w:val="3EC40240"/>
    <w:rsid w:val="3EEF6FFF"/>
    <w:rsid w:val="3EF66B2E"/>
    <w:rsid w:val="3EF908D7"/>
    <w:rsid w:val="3EF95A17"/>
    <w:rsid w:val="3F081602"/>
    <w:rsid w:val="3F217914"/>
    <w:rsid w:val="3F4F7231"/>
    <w:rsid w:val="3F5D44A8"/>
    <w:rsid w:val="3FB32D83"/>
    <w:rsid w:val="3FC21B3A"/>
    <w:rsid w:val="3FD70BB0"/>
    <w:rsid w:val="3FF1740C"/>
    <w:rsid w:val="3FF3732F"/>
    <w:rsid w:val="3FF542A0"/>
    <w:rsid w:val="3FFB55AC"/>
    <w:rsid w:val="40017152"/>
    <w:rsid w:val="400A057C"/>
    <w:rsid w:val="401C5F9D"/>
    <w:rsid w:val="401C690C"/>
    <w:rsid w:val="401D7195"/>
    <w:rsid w:val="402D6138"/>
    <w:rsid w:val="405C1C05"/>
    <w:rsid w:val="407A652F"/>
    <w:rsid w:val="40825D97"/>
    <w:rsid w:val="408E3D89"/>
    <w:rsid w:val="40900347"/>
    <w:rsid w:val="409928E7"/>
    <w:rsid w:val="40997CFE"/>
    <w:rsid w:val="409C35A8"/>
    <w:rsid w:val="40A06CB8"/>
    <w:rsid w:val="40C23AE7"/>
    <w:rsid w:val="40C45B55"/>
    <w:rsid w:val="40CE3DC0"/>
    <w:rsid w:val="40D7455A"/>
    <w:rsid w:val="40E163CF"/>
    <w:rsid w:val="40E743E5"/>
    <w:rsid w:val="40EB4012"/>
    <w:rsid w:val="40F74B72"/>
    <w:rsid w:val="41033465"/>
    <w:rsid w:val="410A1661"/>
    <w:rsid w:val="41246142"/>
    <w:rsid w:val="412D5EA0"/>
    <w:rsid w:val="41634680"/>
    <w:rsid w:val="416D78C7"/>
    <w:rsid w:val="41734CBA"/>
    <w:rsid w:val="417A3F0A"/>
    <w:rsid w:val="417B281A"/>
    <w:rsid w:val="417F4E1A"/>
    <w:rsid w:val="41A82190"/>
    <w:rsid w:val="41B9340A"/>
    <w:rsid w:val="41C50671"/>
    <w:rsid w:val="41DE5999"/>
    <w:rsid w:val="41E1181A"/>
    <w:rsid w:val="41E32A20"/>
    <w:rsid w:val="41E73751"/>
    <w:rsid w:val="41FA3241"/>
    <w:rsid w:val="41FB71FC"/>
    <w:rsid w:val="41FC3205"/>
    <w:rsid w:val="420D7862"/>
    <w:rsid w:val="420F7A65"/>
    <w:rsid w:val="4216611A"/>
    <w:rsid w:val="421C41A0"/>
    <w:rsid w:val="421D53C4"/>
    <w:rsid w:val="423E300F"/>
    <w:rsid w:val="423F6323"/>
    <w:rsid w:val="425656C8"/>
    <w:rsid w:val="4257273C"/>
    <w:rsid w:val="42687ACE"/>
    <w:rsid w:val="42734B51"/>
    <w:rsid w:val="427A1829"/>
    <w:rsid w:val="4285733F"/>
    <w:rsid w:val="429E6041"/>
    <w:rsid w:val="42BF4B02"/>
    <w:rsid w:val="42C84B75"/>
    <w:rsid w:val="42E576CC"/>
    <w:rsid w:val="42FD694D"/>
    <w:rsid w:val="42FF1A8C"/>
    <w:rsid w:val="43120CA1"/>
    <w:rsid w:val="4317351F"/>
    <w:rsid w:val="432D5ADB"/>
    <w:rsid w:val="433F136A"/>
    <w:rsid w:val="43483E86"/>
    <w:rsid w:val="43485D41"/>
    <w:rsid w:val="43525542"/>
    <w:rsid w:val="435B638F"/>
    <w:rsid w:val="437D6687"/>
    <w:rsid w:val="43825906"/>
    <w:rsid w:val="438351F5"/>
    <w:rsid w:val="438D35EA"/>
    <w:rsid w:val="43951DA7"/>
    <w:rsid w:val="43B6787E"/>
    <w:rsid w:val="43BC1E57"/>
    <w:rsid w:val="43D23F8D"/>
    <w:rsid w:val="43D43F1D"/>
    <w:rsid w:val="43EA6DB9"/>
    <w:rsid w:val="43EC6837"/>
    <w:rsid w:val="43FA5777"/>
    <w:rsid w:val="44023422"/>
    <w:rsid w:val="44184A2D"/>
    <w:rsid w:val="441C1611"/>
    <w:rsid w:val="443C440B"/>
    <w:rsid w:val="44506DE3"/>
    <w:rsid w:val="44514F52"/>
    <w:rsid w:val="44761C8F"/>
    <w:rsid w:val="449722E3"/>
    <w:rsid w:val="449D7B09"/>
    <w:rsid w:val="44AE3FD4"/>
    <w:rsid w:val="44D0586F"/>
    <w:rsid w:val="44FA2D53"/>
    <w:rsid w:val="4504751B"/>
    <w:rsid w:val="452627E2"/>
    <w:rsid w:val="453C4912"/>
    <w:rsid w:val="45627191"/>
    <w:rsid w:val="45687813"/>
    <w:rsid w:val="456E7B7D"/>
    <w:rsid w:val="4571374F"/>
    <w:rsid w:val="457A2A6F"/>
    <w:rsid w:val="457B3BCD"/>
    <w:rsid w:val="458B1BB0"/>
    <w:rsid w:val="45A80A0C"/>
    <w:rsid w:val="45AD31D6"/>
    <w:rsid w:val="45B93426"/>
    <w:rsid w:val="45BE0AFC"/>
    <w:rsid w:val="45E41A8C"/>
    <w:rsid w:val="46023D54"/>
    <w:rsid w:val="461B512D"/>
    <w:rsid w:val="464C6420"/>
    <w:rsid w:val="46552F9B"/>
    <w:rsid w:val="467A0297"/>
    <w:rsid w:val="467F0D0C"/>
    <w:rsid w:val="46875502"/>
    <w:rsid w:val="468A6DA0"/>
    <w:rsid w:val="468B7125"/>
    <w:rsid w:val="46B506EF"/>
    <w:rsid w:val="46BC1F6E"/>
    <w:rsid w:val="46C4691F"/>
    <w:rsid w:val="46C67DD9"/>
    <w:rsid w:val="46CB53EF"/>
    <w:rsid w:val="46CE645F"/>
    <w:rsid w:val="46D83FB0"/>
    <w:rsid w:val="46FD4835"/>
    <w:rsid w:val="470B5B7B"/>
    <w:rsid w:val="470D1EAB"/>
    <w:rsid w:val="470F5A71"/>
    <w:rsid w:val="471E7C15"/>
    <w:rsid w:val="473C62ED"/>
    <w:rsid w:val="47635F0C"/>
    <w:rsid w:val="47685427"/>
    <w:rsid w:val="477470EC"/>
    <w:rsid w:val="47773895"/>
    <w:rsid w:val="4779499C"/>
    <w:rsid w:val="479C6284"/>
    <w:rsid w:val="479D1D34"/>
    <w:rsid w:val="47B32AF5"/>
    <w:rsid w:val="47B609C0"/>
    <w:rsid w:val="47CB333B"/>
    <w:rsid w:val="47EC3B04"/>
    <w:rsid w:val="47EC6277"/>
    <w:rsid w:val="481A219B"/>
    <w:rsid w:val="482D31EA"/>
    <w:rsid w:val="48594C7C"/>
    <w:rsid w:val="485970A0"/>
    <w:rsid w:val="48667F79"/>
    <w:rsid w:val="486A6E89"/>
    <w:rsid w:val="48702E73"/>
    <w:rsid w:val="48823516"/>
    <w:rsid w:val="48877686"/>
    <w:rsid w:val="48A331EF"/>
    <w:rsid w:val="48B176C2"/>
    <w:rsid w:val="48B65C71"/>
    <w:rsid w:val="48CC755A"/>
    <w:rsid w:val="48D847E1"/>
    <w:rsid w:val="48EB5038"/>
    <w:rsid w:val="48FB1909"/>
    <w:rsid w:val="491574F4"/>
    <w:rsid w:val="491F266E"/>
    <w:rsid w:val="492E6A57"/>
    <w:rsid w:val="495839AA"/>
    <w:rsid w:val="496A18A2"/>
    <w:rsid w:val="49771AFE"/>
    <w:rsid w:val="49802948"/>
    <w:rsid w:val="4986089F"/>
    <w:rsid w:val="498B5309"/>
    <w:rsid w:val="499E6DEB"/>
    <w:rsid w:val="499F0AAB"/>
    <w:rsid w:val="49A60395"/>
    <w:rsid w:val="49C33FF5"/>
    <w:rsid w:val="49C63D13"/>
    <w:rsid w:val="49DB11EC"/>
    <w:rsid w:val="49E22068"/>
    <w:rsid w:val="49E31DD1"/>
    <w:rsid w:val="49E64E2B"/>
    <w:rsid w:val="49E82ED4"/>
    <w:rsid w:val="49FC1D63"/>
    <w:rsid w:val="4A0030EE"/>
    <w:rsid w:val="4A0568D6"/>
    <w:rsid w:val="4A0C4F3C"/>
    <w:rsid w:val="4A0D5D1E"/>
    <w:rsid w:val="4A1B1AE8"/>
    <w:rsid w:val="4A340F0B"/>
    <w:rsid w:val="4A484D41"/>
    <w:rsid w:val="4A4F4B24"/>
    <w:rsid w:val="4A581F8C"/>
    <w:rsid w:val="4A6036B4"/>
    <w:rsid w:val="4A6D15F8"/>
    <w:rsid w:val="4A8C4FB8"/>
    <w:rsid w:val="4A9A25BD"/>
    <w:rsid w:val="4A9E0551"/>
    <w:rsid w:val="4AA03D78"/>
    <w:rsid w:val="4AAB17DF"/>
    <w:rsid w:val="4AB542AE"/>
    <w:rsid w:val="4ABA7AB3"/>
    <w:rsid w:val="4AD76851"/>
    <w:rsid w:val="4AF43242"/>
    <w:rsid w:val="4AF72FEA"/>
    <w:rsid w:val="4B0C1FE8"/>
    <w:rsid w:val="4B243D9D"/>
    <w:rsid w:val="4B5B54F0"/>
    <w:rsid w:val="4B645524"/>
    <w:rsid w:val="4B7047B7"/>
    <w:rsid w:val="4B771FE9"/>
    <w:rsid w:val="4B8C2DEB"/>
    <w:rsid w:val="4BA21BE1"/>
    <w:rsid w:val="4BC423D3"/>
    <w:rsid w:val="4BCB40E3"/>
    <w:rsid w:val="4BFA3C9F"/>
    <w:rsid w:val="4C042674"/>
    <w:rsid w:val="4C0469AA"/>
    <w:rsid w:val="4C107F48"/>
    <w:rsid w:val="4C123AC0"/>
    <w:rsid w:val="4C1635B0"/>
    <w:rsid w:val="4C2A2BB8"/>
    <w:rsid w:val="4C3277BC"/>
    <w:rsid w:val="4C3723A2"/>
    <w:rsid w:val="4C410AF6"/>
    <w:rsid w:val="4C5C442D"/>
    <w:rsid w:val="4C5D36CE"/>
    <w:rsid w:val="4C6C31D0"/>
    <w:rsid w:val="4C6D42A9"/>
    <w:rsid w:val="4C716A38"/>
    <w:rsid w:val="4C9D22BE"/>
    <w:rsid w:val="4CC0351C"/>
    <w:rsid w:val="4CC353EB"/>
    <w:rsid w:val="4CD55219"/>
    <w:rsid w:val="4CE64E14"/>
    <w:rsid w:val="4CF36F3C"/>
    <w:rsid w:val="4CFD720C"/>
    <w:rsid w:val="4CFD7657"/>
    <w:rsid w:val="4D00189F"/>
    <w:rsid w:val="4D007BC8"/>
    <w:rsid w:val="4D0704D3"/>
    <w:rsid w:val="4D11746B"/>
    <w:rsid w:val="4D1470BD"/>
    <w:rsid w:val="4D154882"/>
    <w:rsid w:val="4D1C3C50"/>
    <w:rsid w:val="4D304587"/>
    <w:rsid w:val="4D5A3970"/>
    <w:rsid w:val="4D603399"/>
    <w:rsid w:val="4D664F64"/>
    <w:rsid w:val="4D6A7284"/>
    <w:rsid w:val="4D7E765F"/>
    <w:rsid w:val="4D867EE1"/>
    <w:rsid w:val="4DA066F2"/>
    <w:rsid w:val="4DB07591"/>
    <w:rsid w:val="4DB84DB7"/>
    <w:rsid w:val="4DBC4C65"/>
    <w:rsid w:val="4DC309A8"/>
    <w:rsid w:val="4DE2009B"/>
    <w:rsid w:val="4DED263B"/>
    <w:rsid w:val="4E0F235E"/>
    <w:rsid w:val="4E157689"/>
    <w:rsid w:val="4E17716C"/>
    <w:rsid w:val="4E533FA5"/>
    <w:rsid w:val="4E550010"/>
    <w:rsid w:val="4E5964E9"/>
    <w:rsid w:val="4E5F14CB"/>
    <w:rsid w:val="4E6808B0"/>
    <w:rsid w:val="4E832A53"/>
    <w:rsid w:val="4E96157D"/>
    <w:rsid w:val="4EC00DDD"/>
    <w:rsid w:val="4EE334F2"/>
    <w:rsid w:val="4EF265BE"/>
    <w:rsid w:val="4EFB083B"/>
    <w:rsid w:val="4EFB1C45"/>
    <w:rsid w:val="4F075432"/>
    <w:rsid w:val="4F0C2A48"/>
    <w:rsid w:val="4F0C6474"/>
    <w:rsid w:val="4F1B02BF"/>
    <w:rsid w:val="4F1F43F7"/>
    <w:rsid w:val="4F26273B"/>
    <w:rsid w:val="4F2D3A8A"/>
    <w:rsid w:val="4F32478A"/>
    <w:rsid w:val="4F3705F8"/>
    <w:rsid w:val="4F512B51"/>
    <w:rsid w:val="4F5F2912"/>
    <w:rsid w:val="4F785B69"/>
    <w:rsid w:val="4F820F5D"/>
    <w:rsid w:val="4F9714A0"/>
    <w:rsid w:val="4FAC3540"/>
    <w:rsid w:val="4FC56ABD"/>
    <w:rsid w:val="4FC97CE0"/>
    <w:rsid w:val="4FCF1583"/>
    <w:rsid w:val="4FD23E66"/>
    <w:rsid w:val="4FD44D1B"/>
    <w:rsid w:val="4FDC066D"/>
    <w:rsid w:val="4FFA7625"/>
    <w:rsid w:val="500C3517"/>
    <w:rsid w:val="502008E3"/>
    <w:rsid w:val="50453E7E"/>
    <w:rsid w:val="50485BA4"/>
    <w:rsid w:val="504F7091"/>
    <w:rsid w:val="50615016"/>
    <w:rsid w:val="50641645"/>
    <w:rsid w:val="507255DE"/>
    <w:rsid w:val="507D2599"/>
    <w:rsid w:val="50891AD6"/>
    <w:rsid w:val="508C78BD"/>
    <w:rsid w:val="508F08E7"/>
    <w:rsid w:val="5096229D"/>
    <w:rsid w:val="509E157D"/>
    <w:rsid w:val="50C51884"/>
    <w:rsid w:val="50C86E43"/>
    <w:rsid w:val="50CD4459"/>
    <w:rsid w:val="50DA3350"/>
    <w:rsid w:val="50DC4184"/>
    <w:rsid w:val="50E57FA7"/>
    <w:rsid w:val="50ED0658"/>
    <w:rsid w:val="50F60038"/>
    <w:rsid w:val="50FB6146"/>
    <w:rsid w:val="51224A65"/>
    <w:rsid w:val="512F4CA0"/>
    <w:rsid w:val="51323DB9"/>
    <w:rsid w:val="51361FFF"/>
    <w:rsid w:val="513723D1"/>
    <w:rsid w:val="514C3EA7"/>
    <w:rsid w:val="514F4E6E"/>
    <w:rsid w:val="51551AFE"/>
    <w:rsid w:val="516C3C72"/>
    <w:rsid w:val="51856DA6"/>
    <w:rsid w:val="51E65435"/>
    <w:rsid w:val="51F223CA"/>
    <w:rsid w:val="51FF3C99"/>
    <w:rsid w:val="5211569F"/>
    <w:rsid w:val="521265C8"/>
    <w:rsid w:val="52363D4D"/>
    <w:rsid w:val="524E5109"/>
    <w:rsid w:val="52521A20"/>
    <w:rsid w:val="526401BC"/>
    <w:rsid w:val="526D1A50"/>
    <w:rsid w:val="526D724D"/>
    <w:rsid w:val="527807E3"/>
    <w:rsid w:val="52AC4ABC"/>
    <w:rsid w:val="52C201B9"/>
    <w:rsid w:val="52E57A12"/>
    <w:rsid w:val="52F20B62"/>
    <w:rsid w:val="53230361"/>
    <w:rsid w:val="53285977"/>
    <w:rsid w:val="533E33EC"/>
    <w:rsid w:val="535F15B8"/>
    <w:rsid w:val="538152F3"/>
    <w:rsid w:val="53827E49"/>
    <w:rsid w:val="53884475"/>
    <w:rsid w:val="538A6BB9"/>
    <w:rsid w:val="538F1F7B"/>
    <w:rsid w:val="5393657C"/>
    <w:rsid w:val="539964FD"/>
    <w:rsid w:val="539C1B81"/>
    <w:rsid w:val="53A447B1"/>
    <w:rsid w:val="53A96AB8"/>
    <w:rsid w:val="53AE750F"/>
    <w:rsid w:val="53BA6F17"/>
    <w:rsid w:val="53BB2A61"/>
    <w:rsid w:val="53D00C67"/>
    <w:rsid w:val="53D224B3"/>
    <w:rsid w:val="53DF06D8"/>
    <w:rsid w:val="53F512CC"/>
    <w:rsid w:val="53F81D96"/>
    <w:rsid w:val="544B5214"/>
    <w:rsid w:val="546724CF"/>
    <w:rsid w:val="546927C6"/>
    <w:rsid w:val="546B0405"/>
    <w:rsid w:val="5471419D"/>
    <w:rsid w:val="54931516"/>
    <w:rsid w:val="549A6BFA"/>
    <w:rsid w:val="549C5698"/>
    <w:rsid w:val="54A94D8C"/>
    <w:rsid w:val="54B27BEE"/>
    <w:rsid w:val="54B36A7C"/>
    <w:rsid w:val="54D2272C"/>
    <w:rsid w:val="54D933CD"/>
    <w:rsid w:val="54E35FFA"/>
    <w:rsid w:val="54F92663"/>
    <w:rsid w:val="55012924"/>
    <w:rsid w:val="550A7A2A"/>
    <w:rsid w:val="55185D9B"/>
    <w:rsid w:val="551F76C9"/>
    <w:rsid w:val="55230513"/>
    <w:rsid w:val="55244D7F"/>
    <w:rsid w:val="552F56E3"/>
    <w:rsid w:val="55362287"/>
    <w:rsid w:val="554230F4"/>
    <w:rsid w:val="55432F3C"/>
    <w:rsid w:val="555016D2"/>
    <w:rsid w:val="55564A1D"/>
    <w:rsid w:val="556D2820"/>
    <w:rsid w:val="55795DF3"/>
    <w:rsid w:val="557D01FC"/>
    <w:rsid w:val="55867D27"/>
    <w:rsid w:val="55C3227E"/>
    <w:rsid w:val="55CB524E"/>
    <w:rsid w:val="55CC29FF"/>
    <w:rsid w:val="55F85965"/>
    <w:rsid w:val="55FA2961"/>
    <w:rsid w:val="55FB2A4A"/>
    <w:rsid w:val="55FC31B3"/>
    <w:rsid w:val="55FC3817"/>
    <w:rsid w:val="5602250F"/>
    <w:rsid w:val="561D19DF"/>
    <w:rsid w:val="564220BA"/>
    <w:rsid w:val="565E7F4F"/>
    <w:rsid w:val="565F3DA6"/>
    <w:rsid w:val="567A0BDF"/>
    <w:rsid w:val="56847368"/>
    <w:rsid w:val="568D446F"/>
    <w:rsid w:val="56914056"/>
    <w:rsid w:val="56934BEA"/>
    <w:rsid w:val="56B46980"/>
    <w:rsid w:val="56C36589"/>
    <w:rsid w:val="56D86A07"/>
    <w:rsid w:val="56DF0A43"/>
    <w:rsid w:val="570D1A54"/>
    <w:rsid w:val="570D55B0"/>
    <w:rsid w:val="57293C95"/>
    <w:rsid w:val="572A6381"/>
    <w:rsid w:val="572B41B4"/>
    <w:rsid w:val="572E079D"/>
    <w:rsid w:val="57362746"/>
    <w:rsid w:val="57365868"/>
    <w:rsid w:val="573C1959"/>
    <w:rsid w:val="57464C52"/>
    <w:rsid w:val="574865E8"/>
    <w:rsid w:val="576176AA"/>
    <w:rsid w:val="579F170B"/>
    <w:rsid w:val="57A557E8"/>
    <w:rsid w:val="57B011CC"/>
    <w:rsid w:val="57B633D4"/>
    <w:rsid w:val="57C02F1B"/>
    <w:rsid w:val="57CD25D7"/>
    <w:rsid w:val="57F12ED6"/>
    <w:rsid w:val="57F65317"/>
    <w:rsid w:val="57F65532"/>
    <w:rsid w:val="57FC2169"/>
    <w:rsid w:val="58024015"/>
    <w:rsid w:val="580848FB"/>
    <w:rsid w:val="58096275"/>
    <w:rsid w:val="5819544F"/>
    <w:rsid w:val="582E6EF7"/>
    <w:rsid w:val="5830465A"/>
    <w:rsid w:val="583D0117"/>
    <w:rsid w:val="584E30E6"/>
    <w:rsid w:val="58527C61"/>
    <w:rsid w:val="58546EFD"/>
    <w:rsid w:val="588E2720"/>
    <w:rsid w:val="58A20D92"/>
    <w:rsid w:val="58C16652"/>
    <w:rsid w:val="58C166F7"/>
    <w:rsid w:val="58DC348C"/>
    <w:rsid w:val="58E26731"/>
    <w:rsid w:val="58F46A27"/>
    <w:rsid w:val="590E4A97"/>
    <w:rsid w:val="591250FF"/>
    <w:rsid w:val="59155D83"/>
    <w:rsid w:val="591C7D2C"/>
    <w:rsid w:val="5920012C"/>
    <w:rsid w:val="592B1244"/>
    <w:rsid w:val="594714AD"/>
    <w:rsid w:val="595578DE"/>
    <w:rsid w:val="597B384D"/>
    <w:rsid w:val="59975605"/>
    <w:rsid w:val="59996DA8"/>
    <w:rsid w:val="599C05DE"/>
    <w:rsid w:val="59C30F1B"/>
    <w:rsid w:val="59CF1242"/>
    <w:rsid w:val="59D86349"/>
    <w:rsid w:val="59FB3DE5"/>
    <w:rsid w:val="5A146C55"/>
    <w:rsid w:val="5A2055FA"/>
    <w:rsid w:val="5A2D3DF8"/>
    <w:rsid w:val="5A6F3361"/>
    <w:rsid w:val="5A8C20D0"/>
    <w:rsid w:val="5A9A35FE"/>
    <w:rsid w:val="5AA3453A"/>
    <w:rsid w:val="5AC7121C"/>
    <w:rsid w:val="5AD83806"/>
    <w:rsid w:val="5AD90B8D"/>
    <w:rsid w:val="5AE021FD"/>
    <w:rsid w:val="5AE12927"/>
    <w:rsid w:val="5AE35472"/>
    <w:rsid w:val="5AF41CF3"/>
    <w:rsid w:val="5AF87CC9"/>
    <w:rsid w:val="5B19477F"/>
    <w:rsid w:val="5B261EB6"/>
    <w:rsid w:val="5B4E1A44"/>
    <w:rsid w:val="5B774ED6"/>
    <w:rsid w:val="5B8704BD"/>
    <w:rsid w:val="5B871DD5"/>
    <w:rsid w:val="5B873201"/>
    <w:rsid w:val="5B967767"/>
    <w:rsid w:val="5B9D1624"/>
    <w:rsid w:val="5BB719F9"/>
    <w:rsid w:val="5BEA5303"/>
    <w:rsid w:val="5BF41F55"/>
    <w:rsid w:val="5C0C2FF6"/>
    <w:rsid w:val="5C0F5926"/>
    <w:rsid w:val="5C1241CC"/>
    <w:rsid w:val="5C286807"/>
    <w:rsid w:val="5C370E72"/>
    <w:rsid w:val="5C446BC8"/>
    <w:rsid w:val="5C4529E1"/>
    <w:rsid w:val="5C4B56E1"/>
    <w:rsid w:val="5C5D6508"/>
    <w:rsid w:val="5C7146B1"/>
    <w:rsid w:val="5C7C2768"/>
    <w:rsid w:val="5C8574B6"/>
    <w:rsid w:val="5C955CC7"/>
    <w:rsid w:val="5CB23AE6"/>
    <w:rsid w:val="5CDC0A42"/>
    <w:rsid w:val="5CED5863"/>
    <w:rsid w:val="5D0D6DF5"/>
    <w:rsid w:val="5D2B6790"/>
    <w:rsid w:val="5D3C099D"/>
    <w:rsid w:val="5D4D2BAA"/>
    <w:rsid w:val="5D580A8A"/>
    <w:rsid w:val="5D893B14"/>
    <w:rsid w:val="5D98721B"/>
    <w:rsid w:val="5DB42C29"/>
    <w:rsid w:val="5DDB5188"/>
    <w:rsid w:val="5DE66B5A"/>
    <w:rsid w:val="5DE80B25"/>
    <w:rsid w:val="5DF33001"/>
    <w:rsid w:val="5DF9671E"/>
    <w:rsid w:val="5E0E5112"/>
    <w:rsid w:val="5E173683"/>
    <w:rsid w:val="5E291636"/>
    <w:rsid w:val="5E2E53C6"/>
    <w:rsid w:val="5E4B45B4"/>
    <w:rsid w:val="5E6F64A1"/>
    <w:rsid w:val="5E7A18A5"/>
    <w:rsid w:val="5E7E7421"/>
    <w:rsid w:val="5E8B0770"/>
    <w:rsid w:val="5EA06921"/>
    <w:rsid w:val="5EA902B4"/>
    <w:rsid w:val="5EB822A5"/>
    <w:rsid w:val="5EBA259F"/>
    <w:rsid w:val="5EC86B2F"/>
    <w:rsid w:val="5ED115B9"/>
    <w:rsid w:val="5EDB401A"/>
    <w:rsid w:val="5EE342C1"/>
    <w:rsid w:val="5EE97BB4"/>
    <w:rsid w:val="5F085DDA"/>
    <w:rsid w:val="5F0D1CB9"/>
    <w:rsid w:val="5F2E2D52"/>
    <w:rsid w:val="5F30508F"/>
    <w:rsid w:val="5F54198B"/>
    <w:rsid w:val="5F546D2C"/>
    <w:rsid w:val="5F9D1350"/>
    <w:rsid w:val="5FA97E40"/>
    <w:rsid w:val="5FB57288"/>
    <w:rsid w:val="5FB9722F"/>
    <w:rsid w:val="5FBE370A"/>
    <w:rsid w:val="5FC83407"/>
    <w:rsid w:val="5FCA6734"/>
    <w:rsid w:val="5FD56E87"/>
    <w:rsid w:val="5FF0558C"/>
    <w:rsid w:val="600A10CB"/>
    <w:rsid w:val="601A27F4"/>
    <w:rsid w:val="60292845"/>
    <w:rsid w:val="602F09BF"/>
    <w:rsid w:val="60336139"/>
    <w:rsid w:val="60386A9A"/>
    <w:rsid w:val="604D2644"/>
    <w:rsid w:val="605238CF"/>
    <w:rsid w:val="6053694F"/>
    <w:rsid w:val="60591866"/>
    <w:rsid w:val="607921FE"/>
    <w:rsid w:val="6082372D"/>
    <w:rsid w:val="608F62AE"/>
    <w:rsid w:val="60A56859"/>
    <w:rsid w:val="60B92304"/>
    <w:rsid w:val="60B9251B"/>
    <w:rsid w:val="60BE31CB"/>
    <w:rsid w:val="60C666E0"/>
    <w:rsid w:val="60E236C1"/>
    <w:rsid w:val="60EF54A6"/>
    <w:rsid w:val="611911B1"/>
    <w:rsid w:val="611C1497"/>
    <w:rsid w:val="61260B6B"/>
    <w:rsid w:val="61263A34"/>
    <w:rsid w:val="612B3ABB"/>
    <w:rsid w:val="612E1A5D"/>
    <w:rsid w:val="61354081"/>
    <w:rsid w:val="614E5D7E"/>
    <w:rsid w:val="61560892"/>
    <w:rsid w:val="61770BF8"/>
    <w:rsid w:val="617A5F16"/>
    <w:rsid w:val="617B569C"/>
    <w:rsid w:val="61816046"/>
    <w:rsid w:val="61C81AB1"/>
    <w:rsid w:val="61C947AD"/>
    <w:rsid w:val="61D417B9"/>
    <w:rsid w:val="620B0059"/>
    <w:rsid w:val="62391564"/>
    <w:rsid w:val="623F0B7F"/>
    <w:rsid w:val="62417B15"/>
    <w:rsid w:val="624A22BE"/>
    <w:rsid w:val="624A76B8"/>
    <w:rsid w:val="62550780"/>
    <w:rsid w:val="62557B05"/>
    <w:rsid w:val="62571DD5"/>
    <w:rsid w:val="625965FC"/>
    <w:rsid w:val="626E235A"/>
    <w:rsid w:val="626F60D5"/>
    <w:rsid w:val="627C183B"/>
    <w:rsid w:val="62816669"/>
    <w:rsid w:val="6282086D"/>
    <w:rsid w:val="62AC2121"/>
    <w:rsid w:val="62B36CD7"/>
    <w:rsid w:val="62BA0953"/>
    <w:rsid w:val="62C05BCC"/>
    <w:rsid w:val="62D03A7C"/>
    <w:rsid w:val="62D8790F"/>
    <w:rsid w:val="62EF64B1"/>
    <w:rsid w:val="62F11996"/>
    <w:rsid w:val="62F42FAE"/>
    <w:rsid w:val="62F648FE"/>
    <w:rsid w:val="63167A4F"/>
    <w:rsid w:val="631D2BD6"/>
    <w:rsid w:val="635356F3"/>
    <w:rsid w:val="635D6064"/>
    <w:rsid w:val="63620A31"/>
    <w:rsid w:val="637A5D7B"/>
    <w:rsid w:val="637D5B70"/>
    <w:rsid w:val="63825E77"/>
    <w:rsid w:val="63A10995"/>
    <w:rsid w:val="63C23EFA"/>
    <w:rsid w:val="63D255DA"/>
    <w:rsid w:val="63EC3C2E"/>
    <w:rsid w:val="63FA3466"/>
    <w:rsid w:val="63FF1670"/>
    <w:rsid w:val="64076B79"/>
    <w:rsid w:val="640B7654"/>
    <w:rsid w:val="64163F89"/>
    <w:rsid w:val="64177A6E"/>
    <w:rsid w:val="64300E74"/>
    <w:rsid w:val="643A070A"/>
    <w:rsid w:val="64402337"/>
    <w:rsid w:val="64410A96"/>
    <w:rsid w:val="644C573D"/>
    <w:rsid w:val="64507EFB"/>
    <w:rsid w:val="64B97A50"/>
    <w:rsid w:val="64D274E9"/>
    <w:rsid w:val="65032F85"/>
    <w:rsid w:val="650E5683"/>
    <w:rsid w:val="65123E81"/>
    <w:rsid w:val="651304A7"/>
    <w:rsid w:val="65136B50"/>
    <w:rsid w:val="652D5AF2"/>
    <w:rsid w:val="653B778C"/>
    <w:rsid w:val="655A5E64"/>
    <w:rsid w:val="657E2A35"/>
    <w:rsid w:val="658F35A6"/>
    <w:rsid w:val="65A94E9D"/>
    <w:rsid w:val="65B96B3F"/>
    <w:rsid w:val="65BE1071"/>
    <w:rsid w:val="65C60A92"/>
    <w:rsid w:val="65D35142"/>
    <w:rsid w:val="65EB11B2"/>
    <w:rsid w:val="660451CE"/>
    <w:rsid w:val="6605274B"/>
    <w:rsid w:val="66061B48"/>
    <w:rsid w:val="660B02F6"/>
    <w:rsid w:val="661C295C"/>
    <w:rsid w:val="662446C4"/>
    <w:rsid w:val="665346B7"/>
    <w:rsid w:val="6660394E"/>
    <w:rsid w:val="66705A4E"/>
    <w:rsid w:val="667C7CCE"/>
    <w:rsid w:val="668313EA"/>
    <w:rsid w:val="669C56BF"/>
    <w:rsid w:val="66A12460"/>
    <w:rsid w:val="66A20C1E"/>
    <w:rsid w:val="66BB7FDC"/>
    <w:rsid w:val="66BD7E5A"/>
    <w:rsid w:val="66BE2423"/>
    <w:rsid w:val="66DD6702"/>
    <w:rsid w:val="66E92A25"/>
    <w:rsid w:val="66F56045"/>
    <w:rsid w:val="671B1623"/>
    <w:rsid w:val="671E6EBA"/>
    <w:rsid w:val="672C0ACD"/>
    <w:rsid w:val="675352AA"/>
    <w:rsid w:val="6759400B"/>
    <w:rsid w:val="675E528D"/>
    <w:rsid w:val="676C598C"/>
    <w:rsid w:val="67962635"/>
    <w:rsid w:val="67966EFB"/>
    <w:rsid w:val="679E7FA1"/>
    <w:rsid w:val="67A32389"/>
    <w:rsid w:val="67B768D0"/>
    <w:rsid w:val="67C779FD"/>
    <w:rsid w:val="68193969"/>
    <w:rsid w:val="68201E74"/>
    <w:rsid w:val="682A2352"/>
    <w:rsid w:val="682E7AFD"/>
    <w:rsid w:val="683D319F"/>
    <w:rsid w:val="684D7FA8"/>
    <w:rsid w:val="68701098"/>
    <w:rsid w:val="68707071"/>
    <w:rsid w:val="687A4379"/>
    <w:rsid w:val="687B015C"/>
    <w:rsid w:val="687E3889"/>
    <w:rsid w:val="6884222C"/>
    <w:rsid w:val="688507FB"/>
    <w:rsid w:val="68923B67"/>
    <w:rsid w:val="689A420B"/>
    <w:rsid w:val="68AD17BB"/>
    <w:rsid w:val="68AF64C7"/>
    <w:rsid w:val="68D62FB1"/>
    <w:rsid w:val="68D66CE0"/>
    <w:rsid w:val="68D94D22"/>
    <w:rsid w:val="68F84084"/>
    <w:rsid w:val="692B2E4A"/>
    <w:rsid w:val="69511628"/>
    <w:rsid w:val="69685678"/>
    <w:rsid w:val="696A0B34"/>
    <w:rsid w:val="696C3AA2"/>
    <w:rsid w:val="69821807"/>
    <w:rsid w:val="698D6A17"/>
    <w:rsid w:val="69C952E9"/>
    <w:rsid w:val="69CB5582"/>
    <w:rsid w:val="69D37590"/>
    <w:rsid w:val="69F954C1"/>
    <w:rsid w:val="69FA2750"/>
    <w:rsid w:val="6A1D510F"/>
    <w:rsid w:val="6A1E1E73"/>
    <w:rsid w:val="6A2031B6"/>
    <w:rsid w:val="6A26299B"/>
    <w:rsid w:val="6A276275"/>
    <w:rsid w:val="6A2C5734"/>
    <w:rsid w:val="6A2F57D7"/>
    <w:rsid w:val="6A3C1D40"/>
    <w:rsid w:val="6A4204F8"/>
    <w:rsid w:val="6A5055AE"/>
    <w:rsid w:val="6A6432E1"/>
    <w:rsid w:val="6A6A5005"/>
    <w:rsid w:val="6A8D5833"/>
    <w:rsid w:val="6AA23DFF"/>
    <w:rsid w:val="6AC61F6F"/>
    <w:rsid w:val="6AD34E53"/>
    <w:rsid w:val="6AD83EA1"/>
    <w:rsid w:val="6ADE74F0"/>
    <w:rsid w:val="6AE4407A"/>
    <w:rsid w:val="6AE83F12"/>
    <w:rsid w:val="6B0A3E88"/>
    <w:rsid w:val="6B1D4F77"/>
    <w:rsid w:val="6B1D62E8"/>
    <w:rsid w:val="6B4C44A1"/>
    <w:rsid w:val="6B7176AF"/>
    <w:rsid w:val="6B723594"/>
    <w:rsid w:val="6B805156"/>
    <w:rsid w:val="6B945E48"/>
    <w:rsid w:val="6BC525EA"/>
    <w:rsid w:val="6BD50977"/>
    <w:rsid w:val="6BDE5EFE"/>
    <w:rsid w:val="6BE450D3"/>
    <w:rsid w:val="6BE60C84"/>
    <w:rsid w:val="6C0E1756"/>
    <w:rsid w:val="6C1B0546"/>
    <w:rsid w:val="6C1D5E3D"/>
    <w:rsid w:val="6C240254"/>
    <w:rsid w:val="6C292A34"/>
    <w:rsid w:val="6C2E3D4A"/>
    <w:rsid w:val="6C587C0E"/>
    <w:rsid w:val="6C6C32E1"/>
    <w:rsid w:val="6C6E3E15"/>
    <w:rsid w:val="6C8B1F5D"/>
    <w:rsid w:val="6C9E7E55"/>
    <w:rsid w:val="6CA76E4A"/>
    <w:rsid w:val="6CAA3931"/>
    <w:rsid w:val="6CB247D7"/>
    <w:rsid w:val="6CBC11B2"/>
    <w:rsid w:val="6CCF3BFB"/>
    <w:rsid w:val="6D162FB8"/>
    <w:rsid w:val="6D1E1E6D"/>
    <w:rsid w:val="6D2C0C21"/>
    <w:rsid w:val="6D325918"/>
    <w:rsid w:val="6D370B82"/>
    <w:rsid w:val="6D3933CA"/>
    <w:rsid w:val="6D57537F"/>
    <w:rsid w:val="6D6261FE"/>
    <w:rsid w:val="6D7B61EC"/>
    <w:rsid w:val="6D8E03AA"/>
    <w:rsid w:val="6DA908AD"/>
    <w:rsid w:val="6DB227D7"/>
    <w:rsid w:val="6DBB089F"/>
    <w:rsid w:val="6DC63038"/>
    <w:rsid w:val="6DE30DE0"/>
    <w:rsid w:val="6DE6130A"/>
    <w:rsid w:val="6DE839B9"/>
    <w:rsid w:val="6E09491E"/>
    <w:rsid w:val="6E0D3655"/>
    <w:rsid w:val="6E1868BC"/>
    <w:rsid w:val="6E1901B9"/>
    <w:rsid w:val="6E1A437E"/>
    <w:rsid w:val="6E1F73D4"/>
    <w:rsid w:val="6E241705"/>
    <w:rsid w:val="6E2B14A0"/>
    <w:rsid w:val="6E301EF3"/>
    <w:rsid w:val="6E393BFF"/>
    <w:rsid w:val="6E3A144E"/>
    <w:rsid w:val="6E5F4465"/>
    <w:rsid w:val="6E8B1663"/>
    <w:rsid w:val="6E8C54DA"/>
    <w:rsid w:val="6EAD16FA"/>
    <w:rsid w:val="6EF11E03"/>
    <w:rsid w:val="6EF1241D"/>
    <w:rsid w:val="6EF82916"/>
    <w:rsid w:val="6F0B2DE7"/>
    <w:rsid w:val="6F111C62"/>
    <w:rsid w:val="6F1D0701"/>
    <w:rsid w:val="6F2176E5"/>
    <w:rsid w:val="6F2D79CC"/>
    <w:rsid w:val="6F3A2A5F"/>
    <w:rsid w:val="6F4F7F03"/>
    <w:rsid w:val="6F592303"/>
    <w:rsid w:val="6F5D06EB"/>
    <w:rsid w:val="6F5E1E54"/>
    <w:rsid w:val="6F5F5B74"/>
    <w:rsid w:val="6F765824"/>
    <w:rsid w:val="6F7B23A6"/>
    <w:rsid w:val="6F8C635F"/>
    <w:rsid w:val="6F906926"/>
    <w:rsid w:val="6F925B3A"/>
    <w:rsid w:val="6F98032D"/>
    <w:rsid w:val="6F9B1C65"/>
    <w:rsid w:val="6FA44937"/>
    <w:rsid w:val="6FD4231A"/>
    <w:rsid w:val="6FE82C9C"/>
    <w:rsid w:val="6FEE4B2E"/>
    <w:rsid w:val="6FF869A5"/>
    <w:rsid w:val="6FFB146E"/>
    <w:rsid w:val="6FFC3AA6"/>
    <w:rsid w:val="70160742"/>
    <w:rsid w:val="701B08E6"/>
    <w:rsid w:val="701F2C0A"/>
    <w:rsid w:val="7030610F"/>
    <w:rsid w:val="70453BB5"/>
    <w:rsid w:val="70612DB4"/>
    <w:rsid w:val="706516C3"/>
    <w:rsid w:val="707D6EAA"/>
    <w:rsid w:val="708449FD"/>
    <w:rsid w:val="70896E68"/>
    <w:rsid w:val="708A4844"/>
    <w:rsid w:val="708E3C60"/>
    <w:rsid w:val="70E05E9D"/>
    <w:rsid w:val="70E4196A"/>
    <w:rsid w:val="70FD0A4B"/>
    <w:rsid w:val="71014D55"/>
    <w:rsid w:val="71073061"/>
    <w:rsid w:val="711041C2"/>
    <w:rsid w:val="711A201F"/>
    <w:rsid w:val="71396ACC"/>
    <w:rsid w:val="715B60E9"/>
    <w:rsid w:val="71624E28"/>
    <w:rsid w:val="716F0EE9"/>
    <w:rsid w:val="717464FF"/>
    <w:rsid w:val="71762CC6"/>
    <w:rsid w:val="717C70A0"/>
    <w:rsid w:val="718A44D3"/>
    <w:rsid w:val="7196674D"/>
    <w:rsid w:val="71BD3D7B"/>
    <w:rsid w:val="71C56D5B"/>
    <w:rsid w:val="71CD6D08"/>
    <w:rsid w:val="71EA1FED"/>
    <w:rsid w:val="720F6228"/>
    <w:rsid w:val="72165C6B"/>
    <w:rsid w:val="722021E3"/>
    <w:rsid w:val="722C6DDA"/>
    <w:rsid w:val="72345748"/>
    <w:rsid w:val="726F5C05"/>
    <w:rsid w:val="729B18D8"/>
    <w:rsid w:val="72C44AE5"/>
    <w:rsid w:val="72D47256"/>
    <w:rsid w:val="72E661B1"/>
    <w:rsid w:val="72F659F8"/>
    <w:rsid w:val="72F90C18"/>
    <w:rsid w:val="730313F6"/>
    <w:rsid w:val="730E4732"/>
    <w:rsid w:val="731B5539"/>
    <w:rsid w:val="7327134F"/>
    <w:rsid w:val="732A6AD8"/>
    <w:rsid w:val="73370D24"/>
    <w:rsid w:val="733D1339"/>
    <w:rsid w:val="73472C84"/>
    <w:rsid w:val="73487C44"/>
    <w:rsid w:val="73497518"/>
    <w:rsid w:val="734E5E3C"/>
    <w:rsid w:val="7359268C"/>
    <w:rsid w:val="7366631C"/>
    <w:rsid w:val="736C263C"/>
    <w:rsid w:val="73723640"/>
    <w:rsid w:val="737311F5"/>
    <w:rsid w:val="7375655F"/>
    <w:rsid w:val="73761585"/>
    <w:rsid w:val="7389511D"/>
    <w:rsid w:val="739503EB"/>
    <w:rsid w:val="73A05B28"/>
    <w:rsid w:val="73A330CC"/>
    <w:rsid w:val="73C07D69"/>
    <w:rsid w:val="73DC335B"/>
    <w:rsid w:val="740B60EC"/>
    <w:rsid w:val="744C4A5B"/>
    <w:rsid w:val="745D14CD"/>
    <w:rsid w:val="74615A0F"/>
    <w:rsid w:val="74717AE5"/>
    <w:rsid w:val="74940C67"/>
    <w:rsid w:val="749E16A8"/>
    <w:rsid w:val="74A06D95"/>
    <w:rsid w:val="74B42AE4"/>
    <w:rsid w:val="74B84955"/>
    <w:rsid w:val="74C22D18"/>
    <w:rsid w:val="74C54993"/>
    <w:rsid w:val="74D70944"/>
    <w:rsid w:val="74EC689B"/>
    <w:rsid w:val="75061B64"/>
    <w:rsid w:val="750A429D"/>
    <w:rsid w:val="75157FF9"/>
    <w:rsid w:val="751A00EF"/>
    <w:rsid w:val="75200A1A"/>
    <w:rsid w:val="753535B8"/>
    <w:rsid w:val="75474B47"/>
    <w:rsid w:val="75614792"/>
    <w:rsid w:val="7564688B"/>
    <w:rsid w:val="75761866"/>
    <w:rsid w:val="75784473"/>
    <w:rsid w:val="7582466D"/>
    <w:rsid w:val="75A82C1C"/>
    <w:rsid w:val="75B161B3"/>
    <w:rsid w:val="75C055BD"/>
    <w:rsid w:val="75C46B63"/>
    <w:rsid w:val="75DC6C44"/>
    <w:rsid w:val="76123786"/>
    <w:rsid w:val="762770AC"/>
    <w:rsid w:val="762F6A19"/>
    <w:rsid w:val="76341B33"/>
    <w:rsid w:val="763B3A90"/>
    <w:rsid w:val="764428C3"/>
    <w:rsid w:val="7645046A"/>
    <w:rsid w:val="76736B32"/>
    <w:rsid w:val="768811B6"/>
    <w:rsid w:val="76AF35EE"/>
    <w:rsid w:val="76C27A74"/>
    <w:rsid w:val="76E21819"/>
    <w:rsid w:val="76E3765E"/>
    <w:rsid w:val="76FC2AFA"/>
    <w:rsid w:val="76FE5107"/>
    <w:rsid w:val="7718225B"/>
    <w:rsid w:val="77234E05"/>
    <w:rsid w:val="773724A9"/>
    <w:rsid w:val="77527424"/>
    <w:rsid w:val="77653671"/>
    <w:rsid w:val="776808B4"/>
    <w:rsid w:val="778546CC"/>
    <w:rsid w:val="778B6B46"/>
    <w:rsid w:val="77A96931"/>
    <w:rsid w:val="77B105D5"/>
    <w:rsid w:val="77B152D7"/>
    <w:rsid w:val="77B551B3"/>
    <w:rsid w:val="77B56730"/>
    <w:rsid w:val="77B92EBE"/>
    <w:rsid w:val="77BF1E80"/>
    <w:rsid w:val="77C04A8B"/>
    <w:rsid w:val="77C20A0B"/>
    <w:rsid w:val="77D85DB3"/>
    <w:rsid w:val="77EB1B74"/>
    <w:rsid w:val="78091CEC"/>
    <w:rsid w:val="78202F3D"/>
    <w:rsid w:val="782A3EA3"/>
    <w:rsid w:val="784D6C03"/>
    <w:rsid w:val="78651452"/>
    <w:rsid w:val="78670B6C"/>
    <w:rsid w:val="789C7F47"/>
    <w:rsid w:val="78A50513"/>
    <w:rsid w:val="78BB41EB"/>
    <w:rsid w:val="78D37FAF"/>
    <w:rsid w:val="78EF7AB5"/>
    <w:rsid w:val="78F817C4"/>
    <w:rsid w:val="790A4A06"/>
    <w:rsid w:val="790D6849"/>
    <w:rsid w:val="791660EE"/>
    <w:rsid w:val="79252148"/>
    <w:rsid w:val="79271A30"/>
    <w:rsid w:val="792E51E6"/>
    <w:rsid w:val="795767E3"/>
    <w:rsid w:val="79586707"/>
    <w:rsid w:val="795959DD"/>
    <w:rsid w:val="79630F00"/>
    <w:rsid w:val="796518DD"/>
    <w:rsid w:val="79724BEF"/>
    <w:rsid w:val="797264AC"/>
    <w:rsid w:val="79780B57"/>
    <w:rsid w:val="799008E5"/>
    <w:rsid w:val="79AA0532"/>
    <w:rsid w:val="79AB2CDA"/>
    <w:rsid w:val="79C370A4"/>
    <w:rsid w:val="79C75959"/>
    <w:rsid w:val="79D23A3D"/>
    <w:rsid w:val="79D53684"/>
    <w:rsid w:val="79FE1DDD"/>
    <w:rsid w:val="7A075767"/>
    <w:rsid w:val="7A0C15B3"/>
    <w:rsid w:val="7A100B88"/>
    <w:rsid w:val="7A212062"/>
    <w:rsid w:val="7A2522C9"/>
    <w:rsid w:val="7A282A11"/>
    <w:rsid w:val="7A3A59B8"/>
    <w:rsid w:val="7A4F1CDA"/>
    <w:rsid w:val="7A5D0F75"/>
    <w:rsid w:val="7A672E3F"/>
    <w:rsid w:val="7A715CD2"/>
    <w:rsid w:val="7A856D16"/>
    <w:rsid w:val="7A921E9A"/>
    <w:rsid w:val="7AAA09A9"/>
    <w:rsid w:val="7ABF2475"/>
    <w:rsid w:val="7AC21562"/>
    <w:rsid w:val="7ACC676C"/>
    <w:rsid w:val="7AD474A4"/>
    <w:rsid w:val="7AF55544"/>
    <w:rsid w:val="7AFC38DE"/>
    <w:rsid w:val="7AFE45E6"/>
    <w:rsid w:val="7B165244"/>
    <w:rsid w:val="7B217A1E"/>
    <w:rsid w:val="7B2965AD"/>
    <w:rsid w:val="7B2D1E58"/>
    <w:rsid w:val="7B303E8C"/>
    <w:rsid w:val="7B39121D"/>
    <w:rsid w:val="7B670E83"/>
    <w:rsid w:val="7B70351A"/>
    <w:rsid w:val="7B865D50"/>
    <w:rsid w:val="7B87547C"/>
    <w:rsid w:val="7B8D34C3"/>
    <w:rsid w:val="7B971D84"/>
    <w:rsid w:val="7BAB0CB7"/>
    <w:rsid w:val="7BB4028F"/>
    <w:rsid w:val="7BE031FB"/>
    <w:rsid w:val="7BE85BAB"/>
    <w:rsid w:val="7BEC5EA9"/>
    <w:rsid w:val="7BF32F03"/>
    <w:rsid w:val="7BF50D2C"/>
    <w:rsid w:val="7BF70459"/>
    <w:rsid w:val="7BFE17E7"/>
    <w:rsid w:val="7C066F4E"/>
    <w:rsid w:val="7C1724A5"/>
    <w:rsid w:val="7C21394C"/>
    <w:rsid w:val="7C273CFF"/>
    <w:rsid w:val="7C315699"/>
    <w:rsid w:val="7C6929D9"/>
    <w:rsid w:val="7CA54112"/>
    <w:rsid w:val="7CA553D9"/>
    <w:rsid w:val="7CA73C2D"/>
    <w:rsid w:val="7CAB27F5"/>
    <w:rsid w:val="7CAF438A"/>
    <w:rsid w:val="7CAF4890"/>
    <w:rsid w:val="7CB61218"/>
    <w:rsid w:val="7CC876FF"/>
    <w:rsid w:val="7CCE726D"/>
    <w:rsid w:val="7CD71EA3"/>
    <w:rsid w:val="7CE50CE4"/>
    <w:rsid w:val="7CF41A27"/>
    <w:rsid w:val="7CF877E9"/>
    <w:rsid w:val="7D134762"/>
    <w:rsid w:val="7D2E5ABF"/>
    <w:rsid w:val="7D4A45B8"/>
    <w:rsid w:val="7D5B513B"/>
    <w:rsid w:val="7D906546"/>
    <w:rsid w:val="7D9817C8"/>
    <w:rsid w:val="7DC7514A"/>
    <w:rsid w:val="7E007625"/>
    <w:rsid w:val="7E0737C8"/>
    <w:rsid w:val="7E131C51"/>
    <w:rsid w:val="7E176B90"/>
    <w:rsid w:val="7E2142A2"/>
    <w:rsid w:val="7E240411"/>
    <w:rsid w:val="7E3A63DB"/>
    <w:rsid w:val="7E4E00D8"/>
    <w:rsid w:val="7E5148A6"/>
    <w:rsid w:val="7E5E7CC3"/>
    <w:rsid w:val="7E6A046F"/>
    <w:rsid w:val="7E797DE5"/>
    <w:rsid w:val="7E7B0BF2"/>
    <w:rsid w:val="7E8D75B6"/>
    <w:rsid w:val="7E8E672B"/>
    <w:rsid w:val="7E953F59"/>
    <w:rsid w:val="7E9A3A78"/>
    <w:rsid w:val="7EB16167"/>
    <w:rsid w:val="7ECB34D7"/>
    <w:rsid w:val="7EE65414"/>
    <w:rsid w:val="7EF40C80"/>
    <w:rsid w:val="7EF760EE"/>
    <w:rsid w:val="7F193E37"/>
    <w:rsid w:val="7F1E3F4E"/>
    <w:rsid w:val="7F220AF0"/>
    <w:rsid w:val="7F2536B5"/>
    <w:rsid w:val="7F271055"/>
    <w:rsid w:val="7F383117"/>
    <w:rsid w:val="7F433FA7"/>
    <w:rsid w:val="7F485E64"/>
    <w:rsid w:val="7F5956D0"/>
    <w:rsid w:val="7F5A01CA"/>
    <w:rsid w:val="7F5B481C"/>
    <w:rsid w:val="7F7F2C3F"/>
    <w:rsid w:val="7FA01732"/>
    <w:rsid w:val="7FB64187"/>
    <w:rsid w:val="7FEA5BDF"/>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imes New Roman"/>
      <w:sz w:val="21"/>
      <w:szCs w:val="22"/>
      <w:lang w:val="en-US" w:eastAsia="zh-CN" w:bidi="ar-SA"/>
    </w:rPr>
  </w:style>
  <w:style w:type="paragraph" w:styleId="2">
    <w:name w:val="heading 1"/>
    <w:basedOn w:val="1"/>
    <w:next w:val="1"/>
    <w:link w:val="41"/>
    <w:qFormat/>
    <w:uiPriority w:val="9"/>
    <w:pPr>
      <w:keepNext/>
      <w:keepLines/>
      <w:spacing w:before="340" w:after="330" w:line="576" w:lineRule="auto"/>
      <w:outlineLvl w:val="0"/>
    </w:pPr>
    <w:rPr>
      <w:b/>
      <w:kern w:val="44"/>
      <w:sz w:val="44"/>
    </w:rPr>
  </w:style>
  <w:style w:type="paragraph" w:styleId="3">
    <w:name w:val="heading 2"/>
    <w:basedOn w:val="1"/>
    <w:next w:val="1"/>
    <w:link w:val="42"/>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unhideWhenUsed/>
    <w:qFormat/>
    <w:uiPriority w:val="9"/>
    <w:pPr>
      <w:keepNext/>
      <w:keepLines/>
      <w:outlineLvl w:val="3"/>
    </w:pPr>
    <w:rPr>
      <w:rFonts w:ascii="Cambria" w:hAnsi="Cambria" w:cs="Times New Roman"/>
      <w:b/>
      <w:bCs/>
      <w:sz w:val="24"/>
      <w:szCs w:val="28"/>
    </w:rPr>
  </w:style>
  <w:style w:type="paragraph" w:styleId="6">
    <w:name w:val="heading 5"/>
    <w:basedOn w:val="1"/>
    <w:next w:val="1"/>
    <w:link w:val="75"/>
    <w:semiHidden/>
    <w:unhideWhenUsed/>
    <w:qFormat/>
    <w:uiPriority w:val="9"/>
    <w:pPr>
      <w:keepNext/>
      <w:keepLines/>
      <w:spacing w:before="280" w:after="290" w:line="372" w:lineRule="auto"/>
      <w:outlineLvl w:val="4"/>
    </w:pPr>
    <w:rPr>
      <w:b/>
      <w:sz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Calibri" w:hAnsi="Calibri" w:eastAsia="宋体"/>
      <w:kern w:val="2"/>
    </w:rPr>
  </w:style>
  <w:style w:type="paragraph" w:styleId="8">
    <w:name w:val="table of authorities"/>
    <w:basedOn w:val="1"/>
    <w:next w:val="1"/>
    <w:qFormat/>
    <w:uiPriority w:val="0"/>
    <w:pPr>
      <w:ind w:left="420" w:leftChars="200"/>
    </w:pPr>
  </w:style>
  <w:style w:type="paragraph" w:styleId="9">
    <w:name w:val="Normal Indent"/>
    <w:basedOn w:val="1"/>
    <w:qFormat/>
    <w:uiPriority w:val="99"/>
    <w:pPr>
      <w:ind w:firstLine="420"/>
    </w:pPr>
  </w:style>
  <w:style w:type="paragraph" w:styleId="10">
    <w:name w:val="toa heading"/>
    <w:basedOn w:val="1"/>
    <w:next w:val="1"/>
    <w:qFormat/>
    <w:uiPriority w:val="0"/>
    <w:pPr>
      <w:snapToGrid w:val="0"/>
      <w:spacing w:before="120" w:beforeLines="0" w:line="360" w:lineRule="auto"/>
      <w:jc w:val="both"/>
    </w:pPr>
    <w:rPr>
      <w:rFonts w:ascii="Arial" w:hAnsi="Arial"/>
      <w:snapToGrid w:val="0"/>
      <w:color w:val="000000"/>
      <w:sz w:val="21"/>
      <w:szCs w:val="20"/>
    </w:rPr>
  </w:style>
  <w:style w:type="paragraph" w:styleId="11">
    <w:name w:val="annotation text"/>
    <w:basedOn w:val="1"/>
    <w:link w:val="64"/>
    <w:unhideWhenUsed/>
    <w:qFormat/>
    <w:uiPriority w:val="99"/>
  </w:style>
  <w:style w:type="paragraph" w:styleId="12">
    <w:name w:val="Body Text 3"/>
    <w:basedOn w:val="1"/>
    <w:qFormat/>
    <w:uiPriority w:val="0"/>
    <w:pPr>
      <w:ind w:right="-26"/>
      <w:jc w:val="center"/>
    </w:pPr>
    <w:rPr>
      <w:b/>
      <w:bCs/>
      <w:color w:val="3366FF"/>
      <w:kern w:val="2"/>
      <w:sz w:val="52"/>
      <w:szCs w:val="52"/>
      <w:lang w:val="zh-CN"/>
    </w:rPr>
  </w:style>
  <w:style w:type="paragraph" w:styleId="13">
    <w:name w:val="Body Text"/>
    <w:basedOn w:val="1"/>
    <w:next w:val="14"/>
    <w:link w:val="67"/>
    <w:qFormat/>
    <w:uiPriority w:val="1"/>
    <w:pPr>
      <w:spacing w:before="161"/>
      <w:ind w:left="120"/>
    </w:pPr>
    <w:rPr>
      <w:rFonts w:ascii="宋体" w:hAnsi="宋体" w:cs="宋体"/>
      <w:sz w:val="24"/>
      <w:lang w:val="zh-CN" w:bidi="zh-CN"/>
    </w:rPr>
  </w:style>
  <w:style w:type="paragraph" w:styleId="14">
    <w:name w:val="Body Text First Indent"/>
    <w:basedOn w:val="13"/>
    <w:qFormat/>
    <w:uiPriority w:val="0"/>
    <w:pPr>
      <w:spacing w:after="120"/>
      <w:ind w:firstLine="420" w:firstLineChars="100"/>
    </w:pPr>
    <w:rPr>
      <w:bCs/>
      <w:szCs w:val="21"/>
    </w:rPr>
  </w:style>
  <w:style w:type="paragraph" w:styleId="15">
    <w:name w:val="Body Text Indent"/>
    <w:basedOn w:val="1"/>
    <w:qFormat/>
    <w:uiPriority w:val="0"/>
    <w:pPr>
      <w:ind w:left="359" w:leftChars="171" w:firstLine="179" w:firstLineChars="85"/>
    </w:pPr>
    <w:rPr>
      <w:rFonts w:ascii="宋体" w:hAnsi="宋体"/>
      <w:b/>
      <w:bCs/>
      <w:szCs w:val="26"/>
    </w:rPr>
  </w:style>
  <w:style w:type="paragraph" w:styleId="16">
    <w:name w:val="toc 5"/>
    <w:basedOn w:val="1"/>
    <w:next w:val="1"/>
    <w:unhideWhenUsed/>
    <w:qFormat/>
    <w:uiPriority w:val="39"/>
    <w:pPr>
      <w:widowControl w:val="0"/>
      <w:adjustRightInd/>
      <w:snapToGrid/>
      <w:spacing w:line="240" w:lineRule="auto"/>
      <w:ind w:left="1680" w:leftChars="800"/>
      <w:jc w:val="both"/>
    </w:pPr>
    <w:rPr>
      <w:rFonts w:ascii="Calibri" w:hAnsi="Calibri" w:eastAsia="宋体"/>
      <w:kern w:val="2"/>
    </w:rPr>
  </w:style>
  <w:style w:type="paragraph" w:styleId="17">
    <w:name w:val="toc 3"/>
    <w:basedOn w:val="1"/>
    <w:next w:val="1"/>
    <w:unhideWhenUsed/>
    <w:qFormat/>
    <w:uiPriority w:val="39"/>
    <w:pPr>
      <w:tabs>
        <w:tab w:val="right" w:leader="dot" w:pos="8296"/>
      </w:tabs>
      <w:ind w:left="838" w:leftChars="381"/>
    </w:pPr>
    <w:rPr>
      <w:szCs w:val="21"/>
    </w:rPr>
  </w:style>
  <w:style w:type="paragraph" w:styleId="18">
    <w:name w:val="Plain Text"/>
    <w:basedOn w:val="1"/>
    <w:link w:val="56"/>
    <w:qFormat/>
    <w:uiPriority w:val="0"/>
    <w:pPr>
      <w:widowControl w:val="0"/>
      <w:adjustRightInd/>
      <w:snapToGrid/>
      <w:jc w:val="both"/>
    </w:pPr>
    <w:rPr>
      <w:rFonts w:ascii="宋体" w:hAnsi="Courier New" w:cs="Times New Roman"/>
      <w:b/>
      <w:kern w:val="2"/>
      <w:szCs w:val="20"/>
    </w:rPr>
  </w:style>
  <w:style w:type="paragraph" w:styleId="19">
    <w:name w:val="toc 8"/>
    <w:basedOn w:val="1"/>
    <w:next w:val="1"/>
    <w:unhideWhenUsed/>
    <w:qFormat/>
    <w:uiPriority w:val="39"/>
    <w:pPr>
      <w:widowControl w:val="0"/>
      <w:adjustRightInd/>
      <w:snapToGrid/>
      <w:spacing w:line="240" w:lineRule="auto"/>
      <w:ind w:left="2940" w:leftChars="1400"/>
      <w:jc w:val="both"/>
    </w:pPr>
    <w:rPr>
      <w:rFonts w:ascii="Calibri" w:hAnsi="Calibri" w:eastAsia="宋体"/>
      <w:kern w:val="2"/>
    </w:rPr>
  </w:style>
  <w:style w:type="paragraph" w:styleId="20">
    <w:name w:val="Balloon Text"/>
    <w:basedOn w:val="1"/>
    <w:link w:val="59"/>
    <w:semiHidden/>
    <w:unhideWhenUsed/>
    <w:qFormat/>
    <w:uiPriority w:val="99"/>
    <w:rPr>
      <w:sz w:val="18"/>
      <w:szCs w:val="18"/>
    </w:rPr>
  </w:style>
  <w:style w:type="paragraph" w:styleId="21">
    <w:name w:val="footer"/>
    <w:basedOn w:val="1"/>
    <w:link w:val="58"/>
    <w:unhideWhenUsed/>
    <w:qFormat/>
    <w:uiPriority w:val="99"/>
    <w:pPr>
      <w:tabs>
        <w:tab w:val="center" w:pos="4153"/>
        <w:tab w:val="right" w:pos="8306"/>
      </w:tabs>
    </w:pPr>
    <w:rPr>
      <w:sz w:val="18"/>
      <w:szCs w:val="18"/>
    </w:rPr>
  </w:style>
  <w:style w:type="paragraph" w:styleId="22">
    <w:name w:val="header"/>
    <w:basedOn w:val="1"/>
    <w:link w:val="57"/>
    <w:unhideWhenUsed/>
    <w:qFormat/>
    <w:uiPriority w:val="99"/>
    <w:pPr>
      <w:pBdr>
        <w:bottom w:val="single" w:color="auto" w:sz="6" w:space="1"/>
      </w:pBdr>
      <w:tabs>
        <w:tab w:val="center" w:pos="4153"/>
        <w:tab w:val="right" w:pos="8306"/>
      </w:tabs>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tabs>
        <w:tab w:val="right" w:leader="dot" w:pos="8296"/>
      </w:tabs>
      <w:spacing w:after="120"/>
      <w:ind w:left="1320" w:leftChars="600"/>
    </w:pPr>
  </w:style>
  <w:style w:type="paragraph" w:styleId="25">
    <w:name w:val="footnote text"/>
    <w:basedOn w:val="1"/>
    <w:semiHidden/>
    <w:unhideWhenUsed/>
    <w:qFormat/>
    <w:uiPriority w:val="99"/>
    <w:rPr>
      <w:sz w:val="18"/>
    </w:rPr>
  </w:style>
  <w:style w:type="paragraph" w:styleId="26">
    <w:name w:val="toc 6"/>
    <w:basedOn w:val="1"/>
    <w:next w:val="1"/>
    <w:qFormat/>
    <w:uiPriority w:val="39"/>
    <w:pPr>
      <w:ind w:left="1200"/>
    </w:pPr>
    <w:rPr>
      <w:rFonts w:ascii="Calibri" w:cs="Calibri"/>
      <w:sz w:val="18"/>
      <w:szCs w:val="18"/>
    </w:rPr>
  </w:style>
  <w:style w:type="paragraph" w:styleId="27">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8">
    <w:name w:val="toc 9"/>
    <w:basedOn w:val="1"/>
    <w:next w:val="1"/>
    <w:unhideWhenUsed/>
    <w:qFormat/>
    <w:uiPriority w:val="39"/>
    <w:pPr>
      <w:widowControl w:val="0"/>
      <w:adjustRightInd/>
      <w:snapToGrid/>
      <w:spacing w:line="240" w:lineRule="auto"/>
      <w:ind w:left="3360" w:leftChars="1600"/>
      <w:jc w:val="both"/>
    </w:pPr>
    <w:rPr>
      <w:rFonts w:ascii="Calibri" w:hAnsi="Calibri" w:eastAsia="宋体"/>
      <w:kern w:val="2"/>
    </w:rPr>
  </w:style>
  <w:style w:type="paragraph" w:styleId="29">
    <w:name w:val="Normal (Web)"/>
    <w:basedOn w:val="1"/>
    <w:link w:val="61"/>
    <w:qFormat/>
    <w:uiPriority w:val="0"/>
    <w:pPr>
      <w:widowControl w:val="0"/>
      <w:adjustRightInd/>
      <w:snapToGrid/>
      <w:jc w:val="both"/>
    </w:pPr>
    <w:rPr>
      <w:rFonts w:ascii="Calibri" w:hAnsi="Calibri"/>
      <w:kern w:val="2"/>
      <w:sz w:val="24"/>
      <w:szCs w:val="24"/>
    </w:rPr>
  </w:style>
  <w:style w:type="paragraph" w:styleId="30">
    <w:name w:val="annotation subject"/>
    <w:basedOn w:val="11"/>
    <w:next w:val="11"/>
    <w:link w:val="65"/>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Emphasis"/>
    <w:basedOn w:val="33"/>
    <w:qFormat/>
    <w:uiPriority w:val="20"/>
    <w:rPr>
      <w:i/>
      <w:iCs/>
    </w:rPr>
  </w:style>
  <w:style w:type="character" w:styleId="36">
    <w:name w:val="Hyperlink"/>
    <w:qFormat/>
    <w:uiPriority w:val="99"/>
    <w:rPr>
      <w:rFonts w:hint="eastAsia" w:ascii="宋体" w:hAnsi="宋体" w:eastAsia="宋体" w:cs="宋体"/>
      <w:b/>
      <w:color w:val="0031C1"/>
      <w:kern w:val="0"/>
      <w:sz w:val="18"/>
      <w:szCs w:val="18"/>
      <w:u w:val="none"/>
      <w:lang w:eastAsia="en-US"/>
    </w:rPr>
  </w:style>
  <w:style w:type="character" w:styleId="37">
    <w:name w:val="annotation reference"/>
    <w:basedOn w:val="33"/>
    <w:semiHidden/>
    <w:unhideWhenUsed/>
    <w:qFormat/>
    <w:uiPriority w:val="99"/>
    <w:rPr>
      <w:sz w:val="21"/>
      <w:szCs w:val="21"/>
    </w:rPr>
  </w:style>
  <w:style w:type="character" w:styleId="38">
    <w:name w:val="footnote reference"/>
    <w:basedOn w:val="33"/>
    <w:semiHidden/>
    <w:unhideWhenUsed/>
    <w:qFormat/>
    <w:uiPriority w:val="99"/>
    <w:rPr>
      <w:vertAlign w:val="superscript"/>
    </w:rPr>
  </w:style>
  <w:style w:type="paragraph" w:customStyle="1" w:styleId="39">
    <w:name w:val="样式 正文首行缩进 + 首行缩进:  1 字符"/>
    <w:basedOn w:val="1"/>
    <w:next w:val="1"/>
    <w:qFormat/>
    <w:uiPriority w:val="0"/>
    <w:pPr>
      <w:ind w:firstLine="200" w:firstLineChars="200"/>
    </w:pPr>
    <w:rPr>
      <w:rFonts w:cs="宋体"/>
      <w:szCs w:val="20"/>
    </w:rPr>
  </w:style>
  <w:style w:type="paragraph" w:customStyle="1" w:styleId="40">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1">
    <w:name w:val="标题 1 字符"/>
    <w:link w:val="2"/>
    <w:qFormat/>
    <w:uiPriority w:val="9"/>
    <w:rPr>
      <w:b/>
      <w:kern w:val="44"/>
      <w:sz w:val="44"/>
    </w:rPr>
  </w:style>
  <w:style w:type="character" w:customStyle="1" w:styleId="42">
    <w:name w:val="标题 2 字符"/>
    <w:basedOn w:val="33"/>
    <w:link w:val="3"/>
    <w:qFormat/>
    <w:uiPriority w:val="9"/>
    <w:rPr>
      <w:rFonts w:ascii="Cambria" w:hAnsi="Cambria" w:eastAsia="宋体" w:cs="Times New Roman"/>
      <w:b/>
      <w:bCs/>
      <w:sz w:val="32"/>
      <w:szCs w:val="32"/>
    </w:rPr>
  </w:style>
  <w:style w:type="character" w:customStyle="1" w:styleId="43">
    <w:name w:val="标题 3 字符"/>
    <w:basedOn w:val="33"/>
    <w:link w:val="4"/>
    <w:qFormat/>
    <w:uiPriority w:val="9"/>
    <w:rPr>
      <w:rFonts w:ascii="Tahoma" w:hAnsi="Tahoma"/>
      <w:b/>
      <w:bCs/>
      <w:sz w:val="32"/>
      <w:szCs w:val="32"/>
    </w:rPr>
  </w:style>
  <w:style w:type="paragraph" w:styleId="44">
    <w:name w:val="List Paragraph"/>
    <w:basedOn w:val="1"/>
    <w:link w:val="66"/>
    <w:qFormat/>
    <w:uiPriority w:val="0"/>
    <w:pPr>
      <w:ind w:firstLine="420" w:firstLineChars="200"/>
    </w:pPr>
  </w:style>
  <w:style w:type="character" w:customStyle="1" w:styleId="45">
    <w:name w:val="标题 4 字符"/>
    <w:basedOn w:val="33"/>
    <w:link w:val="5"/>
    <w:qFormat/>
    <w:uiPriority w:val="9"/>
    <w:rPr>
      <w:rFonts w:ascii="Cambria" w:hAnsi="Cambria" w:eastAsia="宋体" w:cs="Times New Roman"/>
      <w:b/>
      <w:bCs/>
      <w:sz w:val="24"/>
      <w:szCs w:val="28"/>
    </w:rPr>
  </w:style>
  <w:style w:type="character" w:customStyle="1" w:styleId="46">
    <w:name w:val="正文缩进2格 Char"/>
    <w:link w:val="47"/>
    <w:qFormat/>
    <w:uiPriority w:val="0"/>
    <w:rPr>
      <w:rFonts w:ascii="仿宋_GB2312" w:hAnsi="宋体" w:eastAsia="仿宋_GB2312"/>
      <w:kern w:val="2"/>
      <w:sz w:val="31"/>
    </w:rPr>
  </w:style>
  <w:style w:type="paragraph" w:customStyle="1" w:styleId="47">
    <w:name w:val="正文缩进2格"/>
    <w:basedOn w:val="1"/>
    <w:link w:val="46"/>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8">
    <w:name w:val="正文缩进4格"/>
    <w:basedOn w:val="47"/>
    <w:qFormat/>
    <w:uiPriority w:val="0"/>
    <w:pPr>
      <w:ind w:left="2" w:firstLine="538" w:firstLineChars="192"/>
    </w:pPr>
    <w:rPr>
      <w:color w:val="0000FF"/>
      <w:sz w:val="28"/>
    </w:rPr>
  </w:style>
  <w:style w:type="character" w:customStyle="1" w:styleId="49">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50">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1">
    <w:name w:val="标题1"/>
    <w:qFormat/>
    <w:uiPriority w:val="0"/>
    <w:rPr>
      <w:rFonts w:ascii="Times New Roman" w:hAnsi="Times New Roman" w:eastAsia="宋体" w:cs="Times New Roman"/>
      <w:b/>
      <w:kern w:val="0"/>
      <w:sz w:val="24"/>
      <w:szCs w:val="20"/>
      <w:lang w:eastAsia="en-US"/>
    </w:rPr>
  </w:style>
  <w:style w:type="character" w:customStyle="1" w:styleId="52">
    <w:name w:val="标题 3.1 Char"/>
    <w:link w:val="53"/>
    <w:qFormat/>
    <w:uiPriority w:val="0"/>
    <w:rPr>
      <w:rFonts w:ascii="宋体" w:hAnsi="宋体" w:eastAsia="宋体"/>
      <w:b/>
      <w:color w:val="FF0000"/>
      <w:kern w:val="2"/>
      <w:sz w:val="32"/>
    </w:rPr>
  </w:style>
  <w:style w:type="paragraph" w:customStyle="1" w:styleId="53">
    <w:name w:val="标题 3.1"/>
    <w:basedOn w:val="4"/>
    <w:link w:val="52"/>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4">
    <w:name w:val="样式 楷体_GB2312 小四"/>
    <w:qFormat/>
    <w:uiPriority w:val="0"/>
    <w:rPr>
      <w:rFonts w:ascii="楷体_GB2312" w:hAnsi="楷体_GB2312" w:eastAsia="仿宋_GB2312"/>
      <w:sz w:val="24"/>
    </w:rPr>
  </w:style>
  <w:style w:type="character" w:customStyle="1" w:styleId="55">
    <w:name w:val="纯文本 Char"/>
    <w:qFormat/>
    <w:uiPriority w:val="0"/>
    <w:rPr>
      <w:rFonts w:ascii="宋体" w:hAnsi="Courier New" w:eastAsia="宋体" w:cs="Times New Roman"/>
      <w:b/>
      <w:kern w:val="2"/>
      <w:sz w:val="21"/>
      <w:szCs w:val="20"/>
    </w:rPr>
  </w:style>
  <w:style w:type="character" w:customStyle="1" w:styleId="56">
    <w:name w:val="纯文本 字符"/>
    <w:basedOn w:val="33"/>
    <w:link w:val="18"/>
    <w:semiHidden/>
    <w:qFormat/>
    <w:uiPriority w:val="99"/>
    <w:rPr>
      <w:rFonts w:ascii="宋体" w:hAnsi="Courier New" w:eastAsia="宋体" w:cs="Courier New"/>
      <w:sz w:val="21"/>
      <w:szCs w:val="21"/>
    </w:rPr>
  </w:style>
  <w:style w:type="character" w:customStyle="1" w:styleId="57">
    <w:name w:val="页眉 字符"/>
    <w:basedOn w:val="33"/>
    <w:link w:val="22"/>
    <w:qFormat/>
    <w:uiPriority w:val="99"/>
    <w:rPr>
      <w:rFonts w:ascii="Tahoma" w:hAnsi="Tahoma"/>
      <w:sz w:val="18"/>
      <w:szCs w:val="18"/>
    </w:rPr>
  </w:style>
  <w:style w:type="character" w:customStyle="1" w:styleId="58">
    <w:name w:val="页脚 字符"/>
    <w:basedOn w:val="33"/>
    <w:link w:val="21"/>
    <w:qFormat/>
    <w:uiPriority w:val="99"/>
    <w:rPr>
      <w:rFonts w:ascii="Tahoma" w:hAnsi="Tahoma"/>
      <w:sz w:val="18"/>
      <w:szCs w:val="18"/>
    </w:rPr>
  </w:style>
  <w:style w:type="character" w:customStyle="1" w:styleId="59">
    <w:name w:val="批注框文本 字符"/>
    <w:basedOn w:val="33"/>
    <w:link w:val="20"/>
    <w:semiHidden/>
    <w:qFormat/>
    <w:uiPriority w:val="99"/>
    <w:rPr>
      <w:rFonts w:ascii="Tahoma" w:hAnsi="Tahoma"/>
      <w:sz w:val="18"/>
      <w:szCs w:val="18"/>
    </w:rPr>
  </w:style>
  <w:style w:type="paragraph" w:customStyle="1" w:styleId="60">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1">
    <w:name w:val="普通(网站) 字符"/>
    <w:link w:val="29"/>
    <w:qFormat/>
    <w:uiPriority w:val="0"/>
    <w:rPr>
      <w:rFonts w:eastAsia="宋体"/>
      <w:kern w:val="2"/>
      <w:sz w:val="24"/>
      <w:szCs w:val="24"/>
    </w:rPr>
  </w:style>
  <w:style w:type="paragraph" w:customStyle="1" w:styleId="62">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3">
    <w:name w:val="p141"/>
    <w:qFormat/>
    <w:uiPriority w:val="0"/>
    <w:rPr>
      <w:sz w:val="21"/>
      <w:szCs w:val="21"/>
    </w:rPr>
  </w:style>
  <w:style w:type="character" w:customStyle="1" w:styleId="64">
    <w:name w:val="批注文字 字符"/>
    <w:basedOn w:val="33"/>
    <w:link w:val="11"/>
    <w:qFormat/>
    <w:uiPriority w:val="99"/>
    <w:rPr>
      <w:rFonts w:ascii="Tahoma" w:hAnsi="Tahoma" w:eastAsia="微软雅黑" w:cs="Times New Roman"/>
      <w:sz w:val="22"/>
      <w:szCs w:val="22"/>
    </w:rPr>
  </w:style>
  <w:style w:type="character" w:customStyle="1" w:styleId="65">
    <w:name w:val="批注主题 字符"/>
    <w:basedOn w:val="64"/>
    <w:link w:val="30"/>
    <w:semiHidden/>
    <w:qFormat/>
    <w:uiPriority w:val="99"/>
    <w:rPr>
      <w:rFonts w:ascii="Tahoma" w:hAnsi="Tahoma" w:eastAsia="微软雅黑" w:cs="Times New Roman"/>
      <w:b/>
      <w:bCs/>
      <w:sz w:val="22"/>
      <w:szCs w:val="22"/>
    </w:rPr>
  </w:style>
  <w:style w:type="character" w:customStyle="1" w:styleId="66">
    <w:name w:val="列表段落 字符"/>
    <w:link w:val="44"/>
    <w:qFormat/>
    <w:uiPriority w:val="0"/>
    <w:rPr>
      <w:rFonts w:ascii="Tahoma" w:hAnsi="Tahoma" w:eastAsia="微软雅黑" w:cs="Times New Roman"/>
      <w:sz w:val="22"/>
      <w:szCs w:val="22"/>
    </w:rPr>
  </w:style>
  <w:style w:type="character" w:customStyle="1" w:styleId="67">
    <w:name w:val="正文文本 字符"/>
    <w:basedOn w:val="33"/>
    <w:link w:val="13"/>
    <w:qFormat/>
    <w:uiPriority w:val="1"/>
    <w:rPr>
      <w:rFonts w:ascii="宋体" w:hAnsi="宋体" w:cs="宋体"/>
      <w:sz w:val="24"/>
      <w:szCs w:val="22"/>
      <w:lang w:val="zh-CN" w:bidi="zh-CN"/>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_Style 1"/>
    <w:basedOn w:val="1"/>
    <w:qFormat/>
    <w:uiPriority w:val="0"/>
    <w:pPr>
      <w:ind w:firstLine="420" w:firstLineChars="200"/>
    </w:pPr>
  </w:style>
  <w:style w:type="paragraph" w:customStyle="1" w:styleId="70">
    <w:name w:val="列出段落2"/>
    <w:basedOn w:val="1"/>
    <w:qFormat/>
    <w:uiPriority w:val="0"/>
    <w:pPr>
      <w:ind w:firstLine="420" w:firstLineChars="200"/>
    </w:pPr>
  </w:style>
  <w:style w:type="paragraph" w:customStyle="1" w:styleId="71">
    <w:name w:val="p0"/>
    <w:basedOn w:val="1"/>
    <w:qFormat/>
    <w:uiPriority w:val="0"/>
    <w:rPr>
      <w:szCs w:val="21"/>
    </w:rPr>
  </w:style>
  <w:style w:type="paragraph" w:customStyle="1" w:styleId="72">
    <w:name w:val="正文文本缩进 21"/>
    <w:basedOn w:val="1"/>
    <w:qFormat/>
    <w:uiPriority w:val="0"/>
    <w:pPr>
      <w:spacing w:line="480" w:lineRule="auto"/>
      <w:ind w:firstLine="540"/>
    </w:pPr>
    <w:rPr>
      <w:rFonts w:ascii="Calibri" w:hAnsi="Calibri"/>
      <w:sz w:val="20"/>
      <w:szCs w:val="20"/>
    </w:rPr>
  </w:style>
  <w:style w:type="paragraph" w:customStyle="1" w:styleId="73">
    <w:name w:val="_Style 2"/>
    <w:basedOn w:val="1"/>
    <w:qFormat/>
    <w:uiPriority w:val="0"/>
    <w:pPr>
      <w:ind w:firstLine="420" w:firstLineChars="200"/>
    </w:pPr>
  </w:style>
  <w:style w:type="paragraph" w:customStyle="1" w:styleId="74">
    <w:name w:val="msolistparagraph"/>
    <w:basedOn w:val="1"/>
    <w:qFormat/>
    <w:uiPriority w:val="0"/>
    <w:pPr>
      <w:ind w:firstLine="420" w:firstLineChars="200"/>
    </w:pPr>
    <w:rPr>
      <w:rFonts w:hint="eastAsia" w:hAnsi="宋体"/>
    </w:rPr>
  </w:style>
  <w:style w:type="character" w:customStyle="1" w:styleId="75">
    <w:name w:val="标题 5 字符"/>
    <w:link w:val="6"/>
    <w:qFormat/>
    <w:uiPriority w:val="0"/>
    <w:rPr>
      <w:b/>
      <w:sz w:val="28"/>
    </w:rPr>
  </w:style>
  <w:style w:type="paragraph" w:customStyle="1" w:styleId="76">
    <w:name w:val="修订1"/>
    <w:hidden/>
    <w:semiHidden/>
    <w:qFormat/>
    <w:uiPriority w:val="99"/>
    <w:rPr>
      <w:rFonts w:ascii="Tahoma" w:hAnsi="Tahoma" w:eastAsia="宋体" w:cs="Times New Roman"/>
      <w:sz w:val="21"/>
      <w:szCs w:val="22"/>
      <w:lang w:val="en-US" w:eastAsia="zh-CN" w:bidi="ar-SA"/>
    </w:rPr>
  </w:style>
  <w:style w:type="paragraph" w:customStyle="1" w:styleId="77">
    <w:name w:val="表格文字"/>
    <w:basedOn w:val="1"/>
    <w:qFormat/>
    <w:uiPriority w:val="0"/>
    <w:pPr>
      <w:adjustRightInd/>
      <w:spacing w:before="25" w:after="25"/>
    </w:pPr>
    <w:rPr>
      <w:rFonts w:ascii="Times New Roman"/>
      <w:bCs/>
      <w:spacing w:val="10"/>
      <w:szCs w:val="20"/>
    </w:rPr>
  </w:style>
  <w:style w:type="paragraph" w:customStyle="1" w:styleId="78">
    <w:name w:val="纯文本1"/>
    <w:basedOn w:val="79"/>
    <w:qFormat/>
    <w:uiPriority w:val="0"/>
    <w:rPr>
      <w:rFonts w:ascii="宋体" w:hAnsi="Courier New"/>
      <w:szCs w:val="20"/>
    </w:rPr>
  </w:style>
  <w:style w:type="paragraph" w:customStyle="1" w:styleId="79">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0">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1">
    <w:name w:val="Table Normal"/>
    <w:semiHidden/>
    <w:unhideWhenUsed/>
    <w:qFormat/>
    <w:uiPriority w:val="2"/>
    <w:tblPr>
      <w:tblCellMar>
        <w:top w:w="0" w:type="dxa"/>
        <w:left w:w="0" w:type="dxa"/>
        <w:bottom w:w="0" w:type="dxa"/>
        <w:right w:w="0" w:type="dxa"/>
      </w:tblCellMar>
    </w:tblPr>
  </w:style>
  <w:style w:type="paragraph" w:customStyle="1" w:styleId="82">
    <w:name w:val="Table Paragraph"/>
    <w:basedOn w:val="1"/>
    <w:qFormat/>
    <w:uiPriority w:val="1"/>
  </w:style>
  <w:style w:type="paragraph" w:customStyle="1" w:styleId="83">
    <w:name w:val="正文文本缩进1"/>
    <w:basedOn w:val="79"/>
    <w:qFormat/>
    <w:uiPriority w:val="0"/>
    <w:pPr>
      <w:spacing w:after="120"/>
      <w:ind w:left="420" w:leftChars="200"/>
    </w:pPr>
  </w:style>
  <w:style w:type="paragraph" w:customStyle="1" w:styleId="84">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5">
    <w:name w:val="纯文本2"/>
    <w:basedOn w:val="79"/>
    <w:qFormat/>
    <w:uiPriority w:val="0"/>
    <w:rPr>
      <w:rFonts w:ascii="宋体" w:hAnsi="Courier New"/>
      <w:szCs w:val="20"/>
    </w:rPr>
  </w:style>
  <w:style w:type="character" w:customStyle="1" w:styleId="86">
    <w:name w:val="font141"/>
    <w:qFormat/>
    <w:uiPriority w:val="0"/>
    <w:rPr>
      <w:rFonts w:hint="default" w:ascii="Times New Roman" w:hAnsi="Times New Roman" w:cs="Times New Roman"/>
      <w:color w:val="000000"/>
      <w:sz w:val="18"/>
      <w:szCs w:val="18"/>
      <w:u w:val="none"/>
    </w:rPr>
  </w:style>
  <w:style w:type="character" w:customStyle="1" w:styleId="87">
    <w:name w:val="font71"/>
    <w:qFormat/>
    <w:uiPriority w:val="0"/>
    <w:rPr>
      <w:rFonts w:hint="eastAsia" w:ascii="宋体" w:hAnsi="宋体" w:eastAsia="宋体" w:cs="宋体"/>
      <w:color w:val="000000"/>
      <w:sz w:val="18"/>
      <w:szCs w:val="18"/>
      <w:u w:val="none"/>
    </w:rPr>
  </w:style>
  <w:style w:type="paragraph" w:customStyle="1" w:styleId="88">
    <w:name w:val="文件正文"/>
    <w:basedOn w:val="1"/>
    <w:qFormat/>
    <w:uiPriority w:val="0"/>
    <w:pPr>
      <w:spacing w:line="288" w:lineRule="auto"/>
      <w:ind w:firstLine="200" w:firstLineChars="200"/>
    </w:pPr>
    <w:rPr>
      <w:rFonts w:ascii="宋体" w:hAnsi="宋体"/>
      <w:color w:val="000000"/>
      <w:szCs w:val="24"/>
    </w:rPr>
  </w:style>
  <w:style w:type="paragraph" w:customStyle="1" w:styleId="89">
    <w:name w:val="表格"/>
    <w:qFormat/>
    <w:uiPriority w:val="0"/>
    <w:rPr>
      <w:rFonts w:ascii="宋体" w:hAnsi="宋体" w:eastAsia="宋体" w:cs="Times New Roman"/>
      <w:kern w:val="2"/>
      <w:sz w:val="21"/>
      <w:szCs w:val="22"/>
      <w:lang w:val="en-US" w:eastAsia="zh-CN" w:bidi="ar-SA"/>
    </w:rPr>
  </w:style>
  <w:style w:type="paragraph" w:customStyle="1" w:styleId="90">
    <w:name w:val="正文C"/>
    <w:basedOn w:val="1"/>
    <w:qFormat/>
    <w:uiPriority w:val="0"/>
    <w:pPr>
      <w:spacing w:line="360" w:lineRule="auto"/>
      <w:ind w:firstLine="420" w:firstLineChars="200"/>
    </w:pPr>
    <w:rPr>
      <w:rFonts w:ascii="Calibri" w:hAnsi="Calibri"/>
      <w:sz w:val="24"/>
      <w:szCs w:val="22"/>
    </w:rPr>
  </w:style>
  <w:style w:type="paragraph" w:customStyle="1" w:styleId="91">
    <w:name w:val="Body text|1"/>
    <w:basedOn w:val="1"/>
    <w:qFormat/>
    <w:uiPriority w:val="0"/>
    <w:pPr>
      <w:spacing w:line="446" w:lineRule="auto"/>
      <w:ind w:firstLine="400"/>
      <w:jc w:val="left"/>
    </w:pPr>
    <w:rPr>
      <w:rFonts w:ascii="宋体" w:hAnsi="宋体" w:eastAsia="宋体" w:cs="宋体"/>
      <w:color w:val="000000"/>
      <w:kern w:val="0"/>
      <w:sz w:val="22"/>
      <w:lang w:val="zh-TW" w:eastAsia="zh-TW" w:bidi="zh-TW"/>
    </w:rPr>
  </w:style>
  <w:style w:type="paragraph" w:customStyle="1" w:styleId="92">
    <w:name w:val="null3"/>
    <w:hidden/>
    <w:qFormat/>
    <w:uiPriority w:val="0"/>
    <w:rPr>
      <w:rFonts w:hint="eastAsia" w:ascii="Calibri" w:hAnsi="Calibri" w:eastAsia="宋体" w:cs="Times New Roman"/>
      <w:lang w:val="en-US" w:eastAsia="zh-Hans"/>
    </w:rPr>
  </w:style>
  <w:style w:type="paragraph" w:customStyle="1" w:styleId="93">
    <w:name w:val="正文_0"/>
    <w:qFormat/>
    <w:uiPriority w:val="0"/>
    <w:rPr>
      <w:rFonts w:ascii="Times New Roman" w:hAnsi="Times New Roman" w:eastAsia="宋体" w:cs="Times New Roman"/>
      <w:sz w:val="21"/>
      <w:lang w:val="en-US" w:eastAsia="zh-CN" w:bidi="ar-SA"/>
    </w:rPr>
  </w:style>
  <w:style w:type="paragraph" w:customStyle="1" w:styleId="94">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character" w:customStyle="1" w:styleId="95">
    <w:name w:val="font21"/>
    <w:basedOn w:val="33"/>
    <w:qFormat/>
    <w:uiPriority w:val="0"/>
    <w:rPr>
      <w:rFonts w:hint="eastAsia" w:ascii="宋体" w:hAnsi="宋体" w:eastAsia="宋体" w:cs="宋体"/>
      <w:color w:val="000000"/>
      <w:sz w:val="20"/>
      <w:szCs w:val="20"/>
      <w:u w:val="none"/>
    </w:rPr>
  </w:style>
  <w:style w:type="character" w:customStyle="1" w:styleId="96">
    <w:name w:val="font41"/>
    <w:basedOn w:val="33"/>
    <w:qFormat/>
    <w:uiPriority w:val="0"/>
    <w:rPr>
      <w:rFonts w:hint="eastAsia" w:ascii="宋体" w:hAnsi="宋体" w:eastAsia="宋体" w:cs="宋体"/>
      <w:color w:val="000000"/>
      <w:sz w:val="20"/>
      <w:szCs w:val="20"/>
      <w:u w:val="none"/>
      <w:vertAlign w:val="superscript"/>
    </w:rPr>
  </w:style>
  <w:style w:type="paragraph" w:customStyle="1" w:styleId="97">
    <w:name w:val="正文文本首行缩进1"/>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37773</Words>
  <Characters>39507</Characters>
  <Lines>67</Lines>
  <Paragraphs>66</Paragraphs>
  <TotalTime>0</TotalTime>
  <ScaleCrop>false</ScaleCrop>
  <LinksUpToDate>false</LinksUpToDate>
  <CharactersWithSpaces>41362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456</cp:lastModifiedBy>
  <cp:lastPrinted>2026-04-21T07:21:00Z</cp:lastPrinted>
  <dcterms:modified xsi:type="dcterms:W3CDTF">2026-04-22T07:22:07Z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EA21BA5F76E74BC7AC3D20EC67286B58_13</vt:lpwstr>
  </property>
  <property fmtid="{D5CDD505-2E9C-101B-9397-08002B2CF9AE}" pid="4" name="KSOTemplateDocerSaveRecord">
    <vt:lpwstr>eyJoZGlkIjoiMjA3ODQ0Zjk5MTc3OWJiYmUyZTM2NjllYTAzNzZlNTAiLCJ1c2VySWQiOiIyODI2MTk1NTAifQ==</vt:lpwstr>
  </property>
</Properties>
</file>