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41EA">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p>
    <w:p w14:paraId="0040C226">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因生产运营需要，</w:t>
      </w:r>
      <w:r>
        <w:rPr>
          <w:rFonts w:hint="eastAsia" w:ascii="仿宋" w:hAnsi="仿宋" w:eastAsia="仿宋"/>
          <w:sz w:val="32"/>
          <w:szCs w:val="32"/>
          <w:highlight w:val="none"/>
        </w:rPr>
        <w:t>拟采购一批</w:t>
      </w:r>
      <w:r>
        <w:rPr>
          <w:rFonts w:hint="eastAsia" w:ascii="仿宋" w:hAnsi="仿宋" w:eastAsia="仿宋"/>
          <w:sz w:val="32"/>
          <w:szCs w:val="32"/>
          <w:highlight w:val="none"/>
          <w:lang w:val="en-US" w:eastAsia="zh-CN"/>
        </w:rPr>
        <w:t>盐酸及硫酸</w:t>
      </w:r>
      <w:r>
        <w:rPr>
          <w:rFonts w:hint="eastAsia" w:ascii="仿宋" w:hAnsi="仿宋" w:eastAsia="仿宋"/>
          <w:sz w:val="32"/>
          <w:szCs w:val="32"/>
          <w:highlight w:val="none"/>
        </w:rPr>
        <w:t>，选取1家供应商作为</w:t>
      </w:r>
      <w:r>
        <w:rPr>
          <w:rFonts w:hint="eastAsia" w:ascii="仿宋" w:hAnsi="仿宋" w:eastAsia="仿宋"/>
          <w:sz w:val="32"/>
          <w:szCs w:val="32"/>
          <w:highlight w:val="none"/>
          <w:lang w:val="en-US" w:eastAsia="zh-CN"/>
        </w:rPr>
        <w:t>盐酸及硫酸</w:t>
      </w:r>
      <w:r>
        <w:rPr>
          <w:rFonts w:hint="eastAsia" w:ascii="仿宋" w:hAnsi="仿宋" w:eastAsia="仿宋"/>
          <w:sz w:val="32"/>
          <w:szCs w:val="32"/>
          <w:highlight w:val="none"/>
        </w:rPr>
        <w:t>供货商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现将相关情况介绍如下：</w:t>
      </w:r>
      <w:bookmarkStart w:id="39" w:name="_GoBack"/>
      <w:bookmarkEnd w:id="39"/>
    </w:p>
    <w:p w14:paraId="2B87B8C3">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1D741EEA">
      <w:pPr>
        <w:pStyle w:val="31"/>
        <w:spacing w:line="360" w:lineRule="auto"/>
        <w:ind w:firstLine="640"/>
        <w:outlineLvl w:val="1"/>
        <w:rPr>
          <w:rFonts w:hint="default" w:eastAsia="仿宋"/>
          <w:sz w:val="32"/>
          <w:szCs w:val="32"/>
          <w:highlight w:val="none"/>
          <w:lang w:val="en-US"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东莞市海心沙资源综合利用中心环保热电厂2026年度</w:t>
      </w:r>
      <w:r>
        <w:rPr>
          <w:rFonts w:hint="eastAsia" w:ascii="仿宋" w:hAnsi="仿宋" w:eastAsia="仿宋"/>
          <w:sz w:val="32"/>
          <w:szCs w:val="32"/>
          <w:highlight w:val="none"/>
          <w:lang w:val="en-US" w:eastAsia="zh-CN"/>
        </w:rPr>
        <w:t>盐酸及硫酸</w:t>
      </w:r>
      <w:r>
        <w:rPr>
          <w:rFonts w:hint="eastAsia" w:eastAsia="仿宋"/>
          <w:sz w:val="32"/>
          <w:szCs w:val="32"/>
          <w:highlight w:val="none"/>
          <w:lang w:eastAsia="zh-CN"/>
        </w:rPr>
        <w:t>采购项目</w:t>
      </w:r>
    </w:p>
    <w:p w14:paraId="39358250">
      <w:pPr>
        <w:pStyle w:val="31"/>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w:t>
      </w:r>
      <w:r>
        <w:rPr>
          <w:rFonts w:hint="eastAsia" w:eastAsia="仿宋"/>
          <w:sz w:val="32"/>
          <w:szCs w:val="32"/>
          <w:highlight w:val="none"/>
          <w:lang w:eastAsia="zh-CN"/>
        </w:rPr>
        <w:t>物资</w:t>
      </w:r>
      <w:r>
        <w:rPr>
          <w:rFonts w:eastAsia="仿宋"/>
          <w:sz w:val="32"/>
          <w:szCs w:val="32"/>
          <w:highlight w:val="none"/>
        </w:rPr>
        <w:t>采购、包装、保管、供货、运输、提供技术资料、质量保证及售后服务等内容。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58"/>
        <w:gridCol w:w="1027"/>
        <w:gridCol w:w="4186"/>
      </w:tblGrid>
      <w:tr w14:paraId="634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jc w:val="center"/>
        </w:trPr>
        <w:tc>
          <w:tcPr>
            <w:tcW w:w="1151" w:type="dxa"/>
            <w:vAlign w:val="center"/>
          </w:tcPr>
          <w:p w14:paraId="79F6F935">
            <w:pPr>
              <w:spacing w:line="240" w:lineRule="auto"/>
              <w:jc w:val="center"/>
              <w:rPr>
                <w:rFonts w:hint="eastAsia" w:ascii="宋体" w:hAnsi="宋体" w:eastAsia="宋体" w:cs="宋体"/>
                <w:b w:val="0"/>
                <w:bCs w:val="0"/>
                <w:color w:val="auto"/>
                <w:kern w:val="28"/>
                <w:szCs w:val="21"/>
                <w:highlight w:val="none"/>
                <w:lang w:eastAsia="zh-CN"/>
              </w:rPr>
            </w:pPr>
            <w:r>
              <w:rPr>
                <w:rFonts w:hint="eastAsia" w:ascii="宋体" w:hAnsi="宋体" w:cs="宋体"/>
                <w:b w:val="0"/>
                <w:bCs w:val="0"/>
                <w:color w:val="auto"/>
                <w:kern w:val="28"/>
                <w:szCs w:val="21"/>
                <w:highlight w:val="none"/>
                <w:lang w:val="en-US" w:eastAsia="zh-CN"/>
              </w:rPr>
              <w:t>序号</w:t>
            </w:r>
          </w:p>
        </w:tc>
        <w:tc>
          <w:tcPr>
            <w:tcW w:w="2158" w:type="dxa"/>
            <w:vAlign w:val="center"/>
          </w:tcPr>
          <w:p w14:paraId="7F56D46E">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eastAsia="宋体" w:cs="宋体"/>
                <w:b w:val="0"/>
                <w:bCs w:val="0"/>
                <w:color w:val="auto"/>
                <w:kern w:val="28"/>
                <w:szCs w:val="21"/>
                <w:highlight w:val="none"/>
                <w:lang w:val="en-US" w:eastAsia="zh-CN"/>
              </w:rPr>
              <w:t>采购</w:t>
            </w:r>
            <w:r>
              <w:rPr>
                <w:rFonts w:hint="eastAsia" w:ascii="宋体" w:hAnsi="宋体" w:eastAsia="宋体" w:cs="宋体"/>
                <w:b w:val="0"/>
                <w:bCs w:val="0"/>
                <w:color w:val="auto"/>
                <w:kern w:val="28"/>
                <w:szCs w:val="21"/>
                <w:highlight w:val="none"/>
              </w:rPr>
              <w:t>内容</w:t>
            </w:r>
          </w:p>
        </w:tc>
        <w:tc>
          <w:tcPr>
            <w:tcW w:w="1027" w:type="dxa"/>
            <w:vAlign w:val="center"/>
          </w:tcPr>
          <w:p w14:paraId="5A10A74B">
            <w:pPr>
              <w:widowControl/>
              <w:spacing w:line="400" w:lineRule="exact"/>
              <w:jc w:val="center"/>
              <w:textAlignment w:val="bottom"/>
              <w:rPr>
                <w:rFonts w:hint="eastAsia" w:ascii="宋体" w:hAnsi="宋体" w:eastAsia="宋体" w:cs="宋体"/>
                <w:b w:val="0"/>
                <w:bCs w:val="0"/>
                <w:color w:val="auto"/>
                <w:kern w:val="28"/>
                <w:szCs w:val="21"/>
                <w:highlight w:val="none"/>
                <w:lang w:val="en-US" w:eastAsia="zh-CN"/>
              </w:rPr>
            </w:pPr>
            <w:r>
              <w:rPr>
                <w:rFonts w:hint="eastAsia" w:ascii="宋体" w:hAnsi="宋体" w:eastAsia="宋体" w:cs="宋体"/>
                <w:b w:val="0"/>
                <w:bCs w:val="0"/>
                <w:color w:val="auto"/>
                <w:kern w:val="28"/>
                <w:szCs w:val="21"/>
                <w:highlight w:val="none"/>
                <w:lang w:val="en-US" w:eastAsia="zh-CN"/>
              </w:rPr>
              <w:t>单位</w:t>
            </w:r>
          </w:p>
        </w:tc>
        <w:tc>
          <w:tcPr>
            <w:tcW w:w="4186" w:type="dxa"/>
            <w:vAlign w:val="center"/>
          </w:tcPr>
          <w:p w14:paraId="0B3443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单价最高限价</w:t>
            </w:r>
          </w:p>
          <w:p w14:paraId="7039B26C">
            <w:pPr>
              <w:widowControl/>
              <w:spacing w:line="400" w:lineRule="exact"/>
              <w:jc w:val="center"/>
              <w:textAlignment w:val="bottom"/>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kern w:val="2"/>
                <w:szCs w:val="21"/>
                <w:highlight w:val="none"/>
              </w:rPr>
              <w:t>（元/吨）</w:t>
            </w:r>
          </w:p>
        </w:tc>
      </w:tr>
      <w:tr w14:paraId="7296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4518AD5F">
            <w:pPr>
              <w:spacing w:line="240" w:lineRule="auto"/>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p>
        </w:tc>
        <w:tc>
          <w:tcPr>
            <w:tcW w:w="2158" w:type="dxa"/>
            <w:vAlign w:val="center"/>
          </w:tcPr>
          <w:p w14:paraId="6C566CF9">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盐酸</w:t>
            </w:r>
          </w:p>
        </w:tc>
        <w:tc>
          <w:tcPr>
            <w:tcW w:w="1027" w:type="dxa"/>
            <w:vAlign w:val="center"/>
          </w:tcPr>
          <w:p w14:paraId="7F9583FB">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405632CE">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600</w:t>
            </w:r>
          </w:p>
        </w:tc>
      </w:tr>
      <w:tr w14:paraId="11A0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77B21C59">
            <w:pPr>
              <w:spacing w:line="240" w:lineRule="auto"/>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p>
        </w:tc>
        <w:tc>
          <w:tcPr>
            <w:tcW w:w="2158" w:type="dxa"/>
            <w:vAlign w:val="center"/>
          </w:tcPr>
          <w:p w14:paraId="5E0FE29B">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硫酸</w:t>
            </w:r>
          </w:p>
        </w:tc>
        <w:tc>
          <w:tcPr>
            <w:tcW w:w="1027" w:type="dxa"/>
            <w:vAlign w:val="center"/>
          </w:tcPr>
          <w:p w14:paraId="19D482EA">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028CA364">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1500</w:t>
            </w:r>
          </w:p>
        </w:tc>
      </w:tr>
    </w:tbl>
    <w:p w14:paraId="4F1DB53E">
      <w:pPr>
        <w:spacing w:beforeLines="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r>
        <w:rPr>
          <w:rFonts w:hint="eastAsia" w:ascii="仿宋" w:hAnsi="仿宋" w:eastAsia="仿宋" w:cs="仿宋"/>
          <w:color w:val="auto"/>
          <w:sz w:val="22"/>
          <w:szCs w:val="22"/>
          <w:highlight w:val="none"/>
        </w:rPr>
        <w:t>本项目采用辅料单价及暂定总价报价，以暂定总价报价进行报价评审，并要求</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在明细报价表填报辅料单价报价，</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在明细报价表中填报的辅料明细报价超出采购文件的任一单价最高限价的将被视为非实质性响应而予以</w:t>
      </w: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无效处理。</w:t>
      </w:r>
    </w:p>
    <w:p w14:paraId="4173596F">
      <w:pPr>
        <w:pStyle w:val="31"/>
        <w:spacing w:line="360" w:lineRule="auto"/>
        <w:ind w:left="0" w:leftChars="0" w:firstLine="640" w:firstLineChars="200"/>
        <w:outlineLvl w:val="1"/>
        <w:rPr>
          <w:rFonts w:eastAsia="仿宋"/>
          <w:sz w:val="32"/>
          <w:szCs w:val="32"/>
          <w:highlight w:val="none"/>
        </w:rPr>
      </w:pPr>
      <w:r>
        <w:rPr>
          <w:rFonts w:hint="eastAsia" w:eastAsia="仿宋"/>
          <w:sz w:val="32"/>
          <w:szCs w:val="32"/>
          <w:highlight w:val="none"/>
        </w:rPr>
        <w:t>项目需求：</w:t>
      </w:r>
      <w:r>
        <w:rPr>
          <w:rFonts w:hint="eastAsia" w:eastAsia="仿宋"/>
          <w:sz w:val="32"/>
          <w:szCs w:val="32"/>
          <w:highlight w:val="none"/>
          <w:lang w:val="en-US" w:eastAsia="zh-CN"/>
        </w:rPr>
        <w:t>详见</w:t>
      </w:r>
      <w:r>
        <w:rPr>
          <w:rFonts w:hint="eastAsia" w:eastAsia="仿宋"/>
          <w:sz w:val="32"/>
          <w:szCs w:val="32"/>
          <w:highlight w:val="none"/>
        </w:rPr>
        <w:t>附件八《东莞市海心沙资源综合利用中心环保热电厂2026年度盐酸及硫酸采购项目用户需求书》</w:t>
      </w:r>
    </w:p>
    <w:p w14:paraId="230124C9">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6C6556B2">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35963286">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w:t>
      </w:r>
      <w:r>
        <w:rPr>
          <w:rFonts w:hint="eastAsia" w:eastAsia="仿宋_GB2312"/>
          <w:color w:val="000000"/>
          <w:sz w:val="32"/>
          <w:szCs w:val="32"/>
        </w:rPr>
        <w:t>www.dsenvironment.cn</w:t>
      </w:r>
      <w:r>
        <w:rPr>
          <w:rFonts w:eastAsia="仿宋"/>
          <w:sz w:val="32"/>
          <w:szCs w:val="32"/>
          <w:highlight w:val="none"/>
        </w:rPr>
        <w:t>）发布</w:t>
      </w:r>
      <w:bookmarkEnd w:id="2"/>
      <w:r>
        <w:rPr>
          <w:rFonts w:eastAsia="仿宋"/>
          <w:sz w:val="32"/>
          <w:szCs w:val="32"/>
          <w:highlight w:val="none"/>
        </w:rPr>
        <w:t>。</w:t>
      </w:r>
    </w:p>
    <w:p w14:paraId="2CF421F6">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响应人</w:t>
      </w:r>
      <w:r>
        <w:rPr>
          <w:rFonts w:ascii="仿宋" w:hAnsi="仿宋" w:eastAsia="仿宋"/>
          <w:b/>
          <w:bCs/>
          <w:sz w:val="32"/>
          <w:szCs w:val="32"/>
          <w:highlight w:val="none"/>
        </w:rPr>
        <w:t>资格要求</w:t>
      </w:r>
      <w:bookmarkEnd w:id="3"/>
    </w:p>
    <w:p w14:paraId="6A065D7F">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6950BD27">
      <w:pPr>
        <w:spacing w:before="156"/>
        <w:ind w:firstLine="627" w:firstLineChars="19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2、响应人须提供报价截止日前6个月内任意1个月依法缴纳税收及无欠税的证明材料。如依法免税的，须提供相</w:t>
      </w:r>
    </w:p>
    <w:p w14:paraId="21057404">
      <w:pPr>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证明材料须加盖公章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DEA8D51">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须为所投产品生产厂家或授权经销商（提供合法且在有效期内的相关证明文件复印件加盖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5CE57CFD">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①如</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人为所投产品生产厂家的，须提供在有效期内的危险化学品安全生产许可证、非药品类易制毒化学品生产备案证明；许可范围均须包含本次拟投货物（提供合法且在有效期内的相关证明文件复印件加盖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2CBA551B">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②如</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为所投产品授权经销商的，须提供在有效期内的许可范围均须包含本次拟投货物的危险化学品经营许可证和非药品类易制毒化学品经营备案证明，授权经销类供应商还需提供所投产品的经销授权书或合同等证明文件（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43ACBFBC">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年1月1日至</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公告发布之日（以合同签订时间为准）至少具有</w:t>
      </w:r>
      <w:r>
        <w:rPr>
          <w:rFonts w:hint="eastAsia" w:ascii="仿宋" w:hAnsi="仿宋" w:eastAsia="仿宋" w:cs="仿宋"/>
          <w:sz w:val="32"/>
          <w:szCs w:val="32"/>
          <w:highlight w:val="none"/>
          <w:lang w:val="en-US" w:eastAsia="zh-CN"/>
        </w:rPr>
        <w:t>盐酸及硫酸</w:t>
      </w:r>
      <w:r>
        <w:rPr>
          <w:rFonts w:hint="eastAsia" w:ascii="仿宋" w:hAnsi="仿宋" w:eastAsia="仿宋" w:cs="仿宋"/>
          <w:sz w:val="32"/>
          <w:szCs w:val="32"/>
          <w:highlight w:val="none"/>
        </w:rPr>
        <w:t>销售业绩合同2份（需提供合同关键页及供货期限内任意一期发票）复印件加盖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0CD94AC2">
      <w:pPr>
        <w:tabs>
          <w:tab w:val="left" w:pos="6930"/>
        </w:tabs>
        <w:spacing w:before="156"/>
        <w:ind w:firstLine="627" w:firstLineChars="196"/>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和道路危险货物运输押运人员从业资格证等合法且在有效期内的复印件加盖</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人公章）</w:t>
      </w:r>
    </w:p>
    <w:p w14:paraId="3B6B348C">
      <w:pPr>
        <w:spacing w:before="156"/>
        <w:ind w:firstLine="627" w:firstLineChars="196"/>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596368E1">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3D21DEE2">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（一）采购清单</w:t>
      </w:r>
      <w:bookmarkEnd w:id="5"/>
      <w:r>
        <w:rPr>
          <w:rFonts w:hint="eastAsia" w:ascii="仿宋" w:hAnsi="仿宋" w:eastAsia="仿宋"/>
          <w:b/>
          <w:bCs/>
          <w:sz w:val="32"/>
          <w:szCs w:val="32"/>
          <w:highlight w:val="none"/>
        </w:rPr>
        <w:t>及</w:t>
      </w:r>
      <w:r>
        <w:rPr>
          <w:rFonts w:hint="eastAsia" w:ascii="仿宋" w:hAnsi="仿宋" w:eastAsia="仿宋"/>
          <w:b/>
          <w:bCs/>
          <w:sz w:val="32"/>
          <w:szCs w:val="32"/>
          <w:highlight w:val="none"/>
          <w:lang w:val="en-US" w:eastAsia="zh-CN"/>
        </w:rPr>
        <w:t>技术</w:t>
      </w:r>
      <w:r>
        <w:rPr>
          <w:rFonts w:hint="eastAsia" w:ascii="仿宋" w:hAnsi="仿宋" w:eastAsia="仿宋"/>
          <w:b/>
          <w:bCs/>
          <w:sz w:val="32"/>
          <w:szCs w:val="32"/>
          <w:highlight w:val="none"/>
        </w:rPr>
        <w:t>要求详见附件八《东莞市海心沙资源综合利用中心环保热电厂2026年度盐酸及硫酸</w:t>
      </w:r>
      <w:r>
        <w:rPr>
          <w:rFonts w:hint="eastAsia" w:ascii="仿宋" w:hAnsi="仿宋" w:eastAsia="仿宋"/>
          <w:b/>
          <w:bCs/>
          <w:sz w:val="32"/>
          <w:szCs w:val="32"/>
          <w:highlight w:val="none"/>
          <w:lang w:val="en-US" w:eastAsia="zh-CN"/>
        </w:rPr>
        <w:t>采购项目</w:t>
      </w:r>
      <w:r>
        <w:rPr>
          <w:rFonts w:hint="eastAsia" w:ascii="仿宋" w:hAnsi="仿宋" w:eastAsia="仿宋"/>
          <w:b/>
          <w:bCs/>
          <w:sz w:val="32"/>
          <w:szCs w:val="32"/>
          <w:highlight w:val="none"/>
        </w:rPr>
        <w:t>用户需求书</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w:t>
      </w:r>
    </w:p>
    <w:p w14:paraId="123E2B7C">
      <w:pPr>
        <w:spacing w:line="600" w:lineRule="exact"/>
        <w:ind w:firstLine="640" w:firstLineChars="200"/>
        <w:rPr>
          <w:rFonts w:ascii="仿宋" w:hAnsi="仿宋" w:eastAsia="仿宋"/>
          <w:sz w:val="32"/>
          <w:szCs w:val="32"/>
          <w:highlight w:val="none"/>
        </w:rPr>
      </w:pPr>
      <w:r>
        <w:rPr>
          <w:rFonts w:hint="eastAsia" w:eastAsia="仿宋_GB2312"/>
          <w:sz w:val="32"/>
          <w:szCs w:val="32"/>
          <w:highlight w:val="none"/>
          <w:lang w:eastAsia="zh-CN"/>
        </w:rPr>
        <w:t>响应人</w:t>
      </w:r>
      <w:r>
        <w:rPr>
          <w:rFonts w:hint="eastAsia" w:eastAsia="仿宋_GB2312"/>
          <w:sz w:val="32"/>
          <w:szCs w:val="32"/>
          <w:highlight w:val="none"/>
        </w:rPr>
        <w:t>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响应人</w:t>
      </w:r>
      <w:r>
        <w:rPr>
          <w:rFonts w:hint="eastAsia" w:ascii="仿宋" w:hAnsi="仿宋" w:eastAsia="仿宋"/>
          <w:sz w:val="32"/>
          <w:szCs w:val="32"/>
          <w:highlight w:val="none"/>
        </w:rPr>
        <w:t>自行负责。</w:t>
      </w:r>
    </w:p>
    <w:p w14:paraId="6E13FF53">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w:t>
      </w:r>
      <w:r>
        <w:rPr>
          <w:rFonts w:hint="default" w:eastAsia="仿宋_GB2312"/>
          <w:sz w:val="32"/>
          <w:szCs w:val="32"/>
          <w:highlight w:val="none"/>
          <w:lang w:val="en-US"/>
        </w:rPr>
        <w:t>规格型号</w:t>
      </w:r>
      <w:r>
        <w:rPr>
          <w:rFonts w:hint="eastAsia" w:eastAsia="仿宋_GB2312"/>
          <w:sz w:val="32"/>
          <w:szCs w:val="32"/>
          <w:highlight w:val="none"/>
        </w:rPr>
        <w:t>等要求；且均为合格产品，来源合法。</w:t>
      </w:r>
    </w:p>
    <w:p w14:paraId="56AC163B">
      <w:pPr>
        <w:spacing w:line="600" w:lineRule="exact"/>
        <w:ind w:firstLine="640" w:firstLineChars="200"/>
        <w:rPr>
          <w:rFonts w:hint="eastAsia" w:ascii="Times New Roman" w:hAnsi="Times New Roman" w:eastAsia="仿宋_GB2312" w:cs="Times New Roman"/>
          <w:sz w:val="32"/>
          <w:szCs w:val="32"/>
          <w:highlight w:val="none"/>
        </w:rPr>
      </w:pPr>
      <w:r>
        <w:rPr>
          <w:rFonts w:hint="eastAsia" w:eastAsia="仿宋_GB2312"/>
          <w:sz w:val="32"/>
          <w:szCs w:val="32"/>
          <w:highlight w:val="none"/>
        </w:rPr>
        <w:t>（三）</w:t>
      </w:r>
      <w:r>
        <w:rPr>
          <w:rFonts w:hint="eastAsia" w:eastAsia="仿宋_GB2312"/>
          <w:sz w:val="32"/>
          <w:szCs w:val="32"/>
          <w:highlight w:val="none"/>
          <w:lang w:val="en-US" w:eastAsia="zh-CN"/>
        </w:rPr>
        <w:t>辅料</w:t>
      </w:r>
      <w:r>
        <w:rPr>
          <w:rFonts w:hint="eastAsia" w:eastAsia="仿宋_GB2312"/>
          <w:sz w:val="32"/>
          <w:szCs w:val="32"/>
          <w:highlight w:val="none"/>
        </w:rPr>
        <w:t>必须符合采购人附件八《</w:t>
      </w:r>
      <w:r>
        <w:rPr>
          <w:rFonts w:hint="eastAsia" w:eastAsia="仿宋"/>
          <w:sz w:val="32"/>
          <w:szCs w:val="32"/>
          <w:highlight w:val="none"/>
        </w:rPr>
        <w:t>东莞市海心沙资源综合利用中心环保热电厂2026年度盐酸及硫酸</w:t>
      </w:r>
      <w:r>
        <w:rPr>
          <w:rFonts w:hint="eastAsia" w:eastAsia="仿宋"/>
          <w:sz w:val="32"/>
          <w:szCs w:val="32"/>
          <w:highlight w:val="none"/>
          <w:lang w:val="en-US" w:eastAsia="zh-CN"/>
        </w:rPr>
        <w:t>采购项目</w:t>
      </w:r>
      <w:r>
        <w:rPr>
          <w:rFonts w:hint="eastAsia" w:eastAsia="仿宋"/>
          <w:sz w:val="32"/>
          <w:szCs w:val="32"/>
          <w:highlight w:val="none"/>
        </w:rPr>
        <w:t>用户需求书</w:t>
      </w:r>
      <w:r>
        <w:rPr>
          <w:rFonts w:hint="eastAsia" w:eastAsia="仿宋_GB2312"/>
          <w:sz w:val="32"/>
          <w:szCs w:val="32"/>
          <w:highlight w:val="none"/>
        </w:rPr>
        <w:t>》要求且符合国家相关标准。供货时</w:t>
      </w:r>
      <w:r>
        <w:rPr>
          <w:rFonts w:hint="eastAsia" w:eastAsia="仿宋_GB2312"/>
          <w:sz w:val="32"/>
          <w:szCs w:val="32"/>
          <w:highlight w:val="none"/>
          <w:lang w:eastAsia="zh-CN"/>
        </w:rPr>
        <w:t>响应人</w:t>
      </w:r>
      <w:r>
        <w:rPr>
          <w:rFonts w:hint="eastAsia" w:eastAsia="仿宋_GB2312"/>
          <w:sz w:val="32"/>
          <w:szCs w:val="32"/>
          <w:highlight w:val="none"/>
          <w:lang w:val="en-US" w:eastAsia="zh-CN"/>
        </w:rPr>
        <w:t>须满足需求书的验收及质量要求</w:t>
      </w:r>
      <w:r>
        <w:rPr>
          <w:rFonts w:hint="eastAsia" w:ascii="Times New Roman" w:hAnsi="Times New Roman" w:eastAsia="仿宋_GB2312" w:cs="Times New Roman"/>
          <w:sz w:val="32"/>
          <w:szCs w:val="32"/>
          <w:highlight w:val="none"/>
        </w:rPr>
        <w:t>。</w:t>
      </w:r>
    </w:p>
    <w:p w14:paraId="6BE97E98">
      <w:pPr>
        <w:pStyle w:val="2"/>
        <w:ind w:firstLine="640" w:firstLineChars="200"/>
        <w:rPr>
          <w:rFonts w:hint="eastAsia" w:eastAsia="仿宋_GB2312"/>
          <w:b w:val="0"/>
          <w:bCs/>
          <w:lang w:eastAsia="zh-CN"/>
        </w:rPr>
      </w:pPr>
      <w:r>
        <w:rPr>
          <w:rFonts w:hint="eastAsia" w:eastAsia="仿宋_GB2312" w:cs="Times New Roman"/>
          <w:b w:val="0"/>
          <w:bCs/>
          <w:sz w:val="32"/>
          <w:szCs w:val="32"/>
          <w:highlight w:val="none"/>
          <w:lang w:eastAsia="zh-CN"/>
        </w:rPr>
        <w:t>（</w:t>
      </w:r>
      <w:r>
        <w:rPr>
          <w:rFonts w:hint="eastAsia" w:eastAsia="仿宋_GB2312" w:cs="Times New Roman"/>
          <w:b w:val="0"/>
          <w:bCs/>
          <w:sz w:val="32"/>
          <w:szCs w:val="32"/>
          <w:highlight w:val="none"/>
          <w:lang w:val="en-US" w:eastAsia="zh-CN"/>
        </w:rPr>
        <w:t>四</w:t>
      </w:r>
      <w:r>
        <w:rPr>
          <w:rFonts w:hint="eastAsia" w:eastAsia="仿宋_GB2312" w:cs="Times New Roman"/>
          <w:b w:val="0"/>
          <w:bCs/>
          <w:sz w:val="32"/>
          <w:szCs w:val="32"/>
          <w:highlight w:val="none"/>
          <w:lang w:eastAsia="zh-CN"/>
        </w:rPr>
        <w:t>）成交人（或其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成交人在合同签订后7个工作日内须向采购人提供相关的保险购买证明材料。</w:t>
      </w:r>
    </w:p>
    <w:p w14:paraId="568EC407">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五）</w:t>
      </w:r>
      <w:r>
        <w:rPr>
          <w:rFonts w:hint="eastAsia" w:eastAsia="仿宋_GB2312"/>
          <w:sz w:val="32"/>
          <w:szCs w:val="32"/>
          <w:highlight w:val="none"/>
        </w:rPr>
        <w:t>有其他技术疑问请咨询</w:t>
      </w:r>
      <w:r>
        <w:rPr>
          <w:rFonts w:hint="eastAsia" w:eastAsia="仿宋_GB2312"/>
          <w:sz w:val="32"/>
          <w:szCs w:val="32"/>
          <w:highlight w:val="none"/>
          <w:lang w:val="en-US" w:eastAsia="zh-CN"/>
        </w:rPr>
        <w:t>专业工程师：邓经理13809633743</w:t>
      </w:r>
    </w:p>
    <w:p w14:paraId="622CAE23">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132A985A">
      <w:pPr>
        <w:spacing w:line="360" w:lineRule="auto"/>
        <w:ind w:firstLine="640" w:firstLineChars="200"/>
        <w:outlineLvl w:val="1"/>
        <w:rPr>
          <w:rFonts w:hint="default" w:ascii="仿宋" w:hAnsi="仿宋" w:eastAsia="仿宋"/>
          <w:sz w:val="32"/>
          <w:szCs w:val="32"/>
          <w:highlight w:val="none"/>
          <w:lang w:val="en-US" w:eastAsia="zh-CN"/>
        </w:rPr>
      </w:pPr>
      <w:bookmarkStart w:id="8" w:name="_Toc5169_WPSOffice_Level1"/>
      <w:r>
        <w:rPr>
          <w:rFonts w:hint="eastAsia" w:ascii="仿宋" w:hAnsi="仿宋" w:eastAsia="仿宋"/>
          <w:sz w:val="32"/>
          <w:szCs w:val="32"/>
          <w:highlight w:val="none"/>
        </w:rPr>
        <w:t>采购人根据项目需求及实际情况通知</w:t>
      </w:r>
      <w:r>
        <w:rPr>
          <w:rFonts w:hint="eastAsia" w:ascii="仿宋" w:hAnsi="仿宋" w:eastAsia="仿宋"/>
          <w:sz w:val="32"/>
          <w:szCs w:val="32"/>
          <w:highlight w:val="none"/>
          <w:lang w:eastAsia="zh-CN"/>
        </w:rPr>
        <w:t>成交人</w:t>
      </w:r>
      <w:r>
        <w:rPr>
          <w:rFonts w:hint="eastAsia" w:ascii="仿宋" w:hAnsi="仿宋" w:eastAsia="仿宋"/>
          <w:sz w:val="32"/>
          <w:szCs w:val="32"/>
          <w:highlight w:val="none"/>
        </w:rPr>
        <w:t>随时供货，每车次具体供货数量按采购人供货通知为准，</w:t>
      </w: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人在收到采购人通知（以订单形式、短信形式、微信、电子邮件形式均可）送货后2日内交货到厂。</w:t>
      </w:r>
      <w:r>
        <w:rPr>
          <w:rFonts w:hint="eastAsia" w:ascii="仿宋" w:hAnsi="仿宋" w:eastAsia="仿宋"/>
          <w:sz w:val="32"/>
          <w:szCs w:val="32"/>
          <w:highlight w:val="none"/>
          <w:lang w:val="en-US" w:eastAsia="zh-CN"/>
        </w:rPr>
        <w:t>如采购人产生紧急供货需求时，成交人按项目需求书要求完成供货。</w:t>
      </w:r>
    </w:p>
    <w:p w14:paraId="13FD0BF8">
      <w:pPr>
        <w:spacing w:line="360" w:lineRule="auto"/>
        <w:ind w:firstLine="643" w:firstLineChars="200"/>
        <w:outlineLvl w:val="1"/>
        <w:rPr>
          <w:rFonts w:ascii="仿宋" w:hAnsi="仿宋" w:eastAsia="仿宋" w:cs="仿宋"/>
          <w:sz w:val="32"/>
          <w:szCs w:val="32"/>
          <w:highlight w:val="none"/>
        </w:rPr>
      </w:pPr>
      <w:r>
        <w:rPr>
          <w:rFonts w:hint="eastAsia" w:ascii="仿宋" w:hAnsi="仿宋" w:eastAsia="仿宋"/>
          <w:b/>
          <w:bCs/>
          <w:sz w:val="32"/>
          <w:szCs w:val="32"/>
          <w:highlight w:val="none"/>
        </w:rPr>
        <w:t>六、报价保证金</w:t>
      </w:r>
      <w:bookmarkEnd w:id="8"/>
    </w:p>
    <w:p w14:paraId="14EFC9E9">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1、开标结束后，成交人需缴纳中标金额的2%作为报价保证金到采购人银行账户，报价保证金不退还，在双方签订合同后转为履约保证金，作为成交人在履约过程中违约金或罚款的扣罚来源之一。履约保证金申请返还时间为采购人验收合格之日，成交人没有任何违约的情况下由成交人提交退款申请，收到成交人申请后30个日历日内，采购人一次性无息退回。</w:t>
      </w:r>
    </w:p>
    <w:p w14:paraId="4063EF5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、报价保证金收款账户信息：</w:t>
      </w:r>
    </w:p>
    <w:p w14:paraId="6CC07EC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0B237D6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5822FE41">
      <w:pPr>
        <w:pStyle w:val="15"/>
        <w:ind w:left="0" w:leftChars="0" w:firstLine="640" w:firstLineChars="200"/>
        <w:rPr>
          <w:highlight w:val="none"/>
        </w:rPr>
      </w:pPr>
      <w:r>
        <w:rPr>
          <w:rFonts w:hint="eastAsia" w:ascii="仿宋" w:hAnsi="仿宋" w:eastAsia="仿宋"/>
          <w:sz w:val="32"/>
          <w:szCs w:val="32"/>
          <w:highlight w:val="none"/>
        </w:rPr>
        <w:t>银行帐号：669170104633</w:t>
      </w:r>
      <w:bookmarkStart w:id="9" w:name="_Toc22752_WPSOffice_Level1"/>
    </w:p>
    <w:p w14:paraId="44A5B4CA">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9"/>
    </w:p>
    <w:p w14:paraId="7386176E">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按月结方式支付，每自然月结束后，</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人向采购人申请结算上月货物货款。结算数量按上月</w:t>
      </w:r>
      <w:r>
        <w:rPr>
          <w:rFonts w:hint="eastAsia" w:ascii="仿宋" w:hAnsi="仿宋" w:eastAsia="仿宋" w:cs="仿宋"/>
          <w:sz w:val="32"/>
          <w:szCs w:val="32"/>
          <w:lang w:val="en-US" w:eastAsia="zh-CN"/>
        </w:rPr>
        <w:t>成交</w:t>
      </w:r>
      <w:r>
        <w:rPr>
          <w:rFonts w:hint="eastAsia" w:ascii="仿宋" w:hAnsi="仿宋" w:eastAsia="仿宋" w:cs="仿宋"/>
          <w:sz w:val="32"/>
          <w:szCs w:val="32"/>
        </w:rPr>
        <w:t>人标的货物经采购人验收合格的数量（对质量有争议的部分暂时不予结算支付），并且在采购人收到</w:t>
      </w:r>
      <w:r>
        <w:rPr>
          <w:rFonts w:hint="eastAsia" w:ascii="仿宋" w:hAnsi="仿宋" w:eastAsia="仿宋" w:cs="仿宋"/>
          <w:sz w:val="32"/>
          <w:szCs w:val="32"/>
          <w:lang w:val="en-US" w:eastAsia="zh-CN"/>
        </w:rPr>
        <w:t>成交</w:t>
      </w:r>
      <w:r>
        <w:rPr>
          <w:rFonts w:hint="eastAsia" w:ascii="仿宋" w:hAnsi="仿宋" w:eastAsia="仿宋" w:cs="仿宋"/>
          <w:sz w:val="32"/>
          <w:szCs w:val="32"/>
        </w:rPr>
        <w:t>人交付的以下资料后三十个工作日内以电汇/转账方式向</w:t>
      </w:r>
      <w:r>
        <w:rPr>
          <w:rFonts w:hint="eastAsia" w:ascii="仿宋" w:hAnsi="仿宋" w:eastAsia="仿宋" w:cs="仿宋"/>
          <w:sz w:val="32"/>
          <w:szCs w:val="32"/>
          <w:lang w:eastAsia="zh-CN"/>
        </w:rPr>
        <w:t>成交人</w:t>
      </w:r>
      <w:r>
        <w:rPr>
          <w:rFonts w:hint="eastAsia" w:ascii="仿宋" w:hAnsi="仿宋" w:eastAsia="仿宋" w:cs="仿宋"/>
          <w:sz w:val="32"/>
          <w:szCs w:val="32"/>
        </w:rPr>
        <w:t>支付：</w:t>
      </w:r>
    </w:p>
    <w:p w14:paraId="7A3DDE5A">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A．（货物的过磅计量清单）标的货物经采购人地磅计量的实际重量；</w:t>
      </w:r>
    </w:p>
    <w:p w14:paraId="32882B97">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B．开具金额为该月验收合格货物总价100％的增值税专用发票（在合同履行期间，如遇国家的税率调整，则货款（价税合计）应根据原不含税价和调整后的税率重新计算，相应发票按调整后价格开具）；</w:t>
      </w:r>
    </w:p>
    <w:p w14:paraId="2CFD144D">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人向采购人缴纳的履约担保证明资料（首次支付时需要）；</w:t>
      </w:r>
    </w:p>
    <w:p w14:paraId="04009CA7">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D．每车次货物采购人实验室初步检验报告及采购人对异议货物要求</w:t>
      </w:r>
      <w:r>
        <w:rPr>
          <w:rFonts w:hint="eastAsia" w:ascii="仿宋" w:hAnsi="仿宋" w:eastAsia="仿宋" w:cs="仿宋"/>
          <w:sz w:val="32"/>
          <w:szCs w:val="32"/>
          <w:lang w:val="en-US" w:eastAsia="zh-CN"/>
        </w:rPr>
        <w:t>成交</w:t>
      </w:r>
      <w:r>
        <w:rPr>
          <w:rFonts w:hint="eastAsia" w:ascii="仿宋" w:hAnsi="仿宋" w:eastAsia="仿宋" w:cs="仿宋"/>
          <w:sz w:val="32"/>
          <w:szCs w:val="32"/>
        </w:rPr>
        <w:t>人委托第三方出具的合格检测报告（如有）；</w:t>
      </w:r>
    </w:p>
    <w:p w14:paraId="26865B81">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E．送货清单（采购人指定收货人签字确认）；</w:t>
      </w:r>
    </w:p>
    <w:p w14:paraId="0B713D7B">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F．每车次货物出厂化验报告；</w:t>
      </w:r>
    </w:p>
    <w:p w14:paraId="12505474">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G. 双方盖章确认的月度对账单；</w:t>
      </w:r>
    </w:p>
    <w:p w14:paraId="679D3FCD">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0DC9BFF6">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本项目</w:t>
      </w:r>
      <w:bookmarkStart w:id="10" w:name="_Hlk38315765"/>
      <w:r>
        <w:rPr>
          <w:rFonts w:hint="eastAsia" w:ascii="仿宋" w:hAnsi="仿宋" w:eastAsia="仿宋"/>
          <w:sz w:val="32"/>
          <w:szCs w:val="32"/>
          <w:highlight w:val="none"/>
        </w:rPr>
        <w:t>为固定</w:t>
      </w:r>
      <w:r>
        <w:rPr>
          <w:rFonts w:hint="eastAsia" w:ascii="仿宋" w:hAnsi="仿宋" w:eastAsia="仿宋"/>
          <w:sz w:val="32"/>
          <w:szCs w:val="32"/>
          <w:highlight w:val="none"/>
          <w:lang w:val="en-US" w:eastAsia="zh-CN"/>
        </w:rPr>
        <w:t>单价暂定总价</w:t>
      </w:r>
      <w:r>
        <w:rPr>
          <w:rFonts w:hint="eastAsia" w:ascii="仿宋" w:hAnsi="仿宋" w:eastAsia="仿宋"/>
          <w:sz w:val="32"/>
          <w:szCs w:val="32"/>
          <w:highlight w:val="none"/>
        </w:rPr>
        <w:t>包干，报价包含货物、税费、人工费、装卸费、运费、服务费等一切为满足项目实施可能产生</w:t>
      </w:r>
      <w:r>
        <w:rPr>
          <w:rFonts w:ascii="仿宋" w:hAnsi="仿宋" w:eastAsia="仿宋"/>
          <w:sz w:val="32"/>
          <w:szCs w:val="32"/>
          <w:highlight w:val="none"/>
        </w:rPr>
        <w:t>的费用</w:t>
      </w:r>
      <w:r>
        <w:rPr>
          <w:rFonts w:hint="eastAsia" w:ascii="仿宋" w:hAnsi="仿宋" w:eastAsia="仿宋"/>
          <w:sz w:val="32"/>
          <w:szCs w:val="32"/>
          <w:highlight w:val="none"/>
        </w:rPr>
        <w:t>。</w:t>
      </w:r>
      <w:bookmarkEnd w:id="10"/>
    </w:p>
    <w:p w14:paraId="72FA6E66">
      <w:pPr>
        <w:spacing w:line="360" w:lineRule="auto"/>
        <w:ind w:firstLine="643" w:firstLineChars="200"/>
        <w:outlineLvl w:val="1"/>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rPr>
        <w:t>响应人的综合单价报价任意一项高于单价最高限价的，该响应人的响应文件将被视为无效响应</w:t>
      </w:r>
      <w:r>
        <w:rPr>
          <w:rFonts w:hint="eastAsia" w:ascii="仿宋" w:hAnsi="仿宋" w:eastAsia="仿宋" w:cs="Times New Roman"/>
          <w:b/>
          <w:bCs/>
          <w:sz w:val="32"/>
          <w:szCs w:val="32"/>
          <w:highlight w:val="none"/>
          <w:lang w:eastAsia="zh-CN"/>
        </w:rPr>
        <w:t>。</w:t>
      </w:r>
      <w:bookmarkStart w:id="11" w:name="_Toc6431_WPSOffice_Level1"/>
      <w:r>
        <w:rPr>
          <w:rFonts w:hint="eastAsia" w:ascii="仿宋" w:hAnsi="仿宋" w:eastAsia="仿宋" w:cs="Times New Roman"/>
          <w:b/>
          <w:bCs/>
          <w:sz w:val="32"/>
          <w:szCs w:val="32"/>
          <w:highlight w:val="none"/>
          <w:lang w:val="en-US" w:eastAsia="zh-CN"/>
        </w:rPr>
        <w:t>详见附件八《东莞市海心沙资源综合利用中心环保热电厂2026年度盐酸及硫酸采购项目用户需求书》</w:t>
      </w:r>
    </w:p>
    <w:p w14:paraId="1FF2516E">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1"/>
    </w:p>
    <w:p w14:paraId="3D0FF475">
      <w:pPr>
        <w:spacing w:line="360" w:lineRule="auto"/>
        <w:ind w:firstLine="640" w:firstLineChars="200"/>
        <w:outlineLvl w:val="1"/>
        <w:rPr>
          <w:rFonts w:hint="eastAsia" w:ascii="仿宋" w:hAnsi="仿宋" w:eastAsia="仿宋"/>
          <w:b w:val="0"/>
          <w:bCs w:val="0"/>
          <w:sz w:val="32"/>
          <w:szCs w:val="32"/>
          <w:highlight w:val="none"/>
        </w:rPr>
      </w:pPr>
      <w:bookmarkStart w:id="12" w:name="_Toc17260_WPSOffice_Level1"/>
      <w:r>
        <w:rPr>
          <w:rFonts w:hint="eastAsia" w:ascii="仿宋" w:hAnsi="仿宋" w:eastAsia="仿宋"/>
          <w:b w:val="0"/>
          <w:bCs w:val="0"/>
          <w:sz w:val="32"/>
          <w:szCs w:val="32"/>
          <w:highlight w:val="none"/>
        </w:rPr>
        <w:t>1、本次项目采用询价方式进行采购，询价小组对各供应商响应文件进行审核，并根据质量和服务均能满足采购文件实质性响应要求且含税报价最低的原则，推荐成交候选供应商。如最低报价相同，则给与最低报价相同的响应人二次报价的机会；如二次报价还相同，则采用现场随机抽签方式确定。</w:t>
      </w:r>
    </w:p>
    <w:p w14:paraId="3C3502B7">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2、询价结束后，采购工作小组将相关询价情况按程序审批并确定成交人。</w:t>
      </w:r>
    </w:p>
    <w:p w14:paraId="3082D9D2">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3、本项目如发生多次采购，根据以下情况可以现场申请转换采购方式继续采购：</w:t>
      </w:r>
    </w:p>
    <w:p w14:paraId="219CF9E0">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6EAE2D9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5FE1181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（3）若不同意转换采购方式，退出投标的供应商，投标保证金按采购文件规定退还。</w:t>
      </w:r>
    </w:p>
    <w:p w14:paraId="0F9CFB35">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614EC5F">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2"/>
    </w:p>
    <w:p w14:paraId="27BB30A7">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响应文件</w:t>
      </w:r>
      <w:r>
        <w:rPr>
          <w:rFonts w:ascii="仿宋" w:hAnsi="仿宋" w:eastAsia="仿宋"/>
          <w:sz w:val="32"/>
          <w:szCs w:val="32"/>
          <w:highlight w:val="none"/>
        </w:rPr>
        <w:t>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6B4CDF31">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收款前需向采购人提供请款材料和开具合法有效等额的增值税专用发票，否则采购人有权拒绝付款。</w:t>
      </w:r>
    </w:p>
    <w:p w14:paraId="6C6276E9">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w:t>
      </w:r>
      <w:r>
        <w:rPr>
          <w:rFonts w:hint="eastAsia" w:ascii="仿宋" w:hAnsi="仿宋" w:eastAsia="仿宋"/>
          <w:b/>
          <w:bCs/>
          <w:sz w:val="32"/>
          <w:szCs w:val="32"/>
          <w:highlight w:val="none"/>
          <w:lang w:eastAsia="zh-CN"/>
        </w:rPr>
        <w:t>响应文件</w:t>
      </w:r>
      <w:r>
        <w:rPr>
          <w:rFonts w:ascii="仿宋" w:hAnsi="仿宋" w:eastAsia="仿宋"/>
          <w:b/>
          <w:bCs/>
          <w:sz w:val="32"/>
          <w:szCs w:val="32"/>
          <w:highlight w:val="none"/>
        </w:rPr>
        <w:t>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如未按本项要求提供资料，则作无效报价处理）</w:t>
      </w:r>
    </w:p>
    <w:p w14:paraId="68470619">
      <w:pPr>
        <w:numPr>
          <w:ilvl w:val="0"/>
          <w:numId w:val="1"/>
        </w:numPr>
        <w:spacing w:line="360" w:lineRule="auto"/>
        <w:ind w:left="-10" w:leftChars="0" w:firstLine="640" w:firstLineChars="0"/>
        <w:outlineLvl w:val="1"/>
        <w:rPr>
          <w:rFonts w:ascii="仿宋" w:hAnsi="仿宋" w:eastAsia="仿宋"/>
          <w:sz w:val="32"/>
          <w:szCs w:val="32"/>
          <w:highlight w:val="none"/>
        </w:rPr>
      </w:pPr>
      <w:bookmarkStart w:id="13"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val="en-US" w:eastAsia="zh-CN"/>
        </w:rPr>
        <w:t>自拟</w:t>
      </w:r>
      <w:r>
        <w:rPr>
          <w:rFonts w:hint="eastAsia" w:ascii="仿宋" w:hAnsi="仿宋" w:eastAsia="仿宋"/>
          <w:sz w:val="32"/>
          <w:szCs w:val="32"/>
          <w:highlight w:val="none"/>
        </w:rPr>
        <w:t>，详见附件八，必须包含本项目所有的子项报价）；</w:t>
      </w:r>
      <w:bookmarkEnd w:id="13"/>
    </w:p>
    <w:p w14:paraId="0599D299">
      <w:pPr>
        <w:spacing w:line="360" w:lineRule="auto"/>
        <w:ind w:firstLine="640" w:firstLineChars="200"/>
        <w:outlineLvl w:val="1"/>
        <w:rPr>
          <w:rFonts w:ascii="仿宋" w:hAnsi="仿宋" w:eastAsia="仿宋"/>
          <w:sz w:val="32"/>
          <w:szCs w:val="32"/>
          <w:highlight w:val="none"/>
        </w:rPr>
      </w:pPr>
      <w:bookmarkStart w:id="14"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4"/>
    </w:p>
    <w:p w14:paraId="7936618E">
      <w:pPr>
        <w:spacing w:line="360" w:lineRule="auto"/>
        <w:ind w:firstLine="640" w:firstLineChars="200"/>
        <w:outlineLvl w:val="1"/>
        <w:rPr>
          <w:rFonts w:ascii="仿宋" w:hAnsi="仿宋" w:eastAsia="仿宋"/>
          <w:sz w:val="32"/>
          <w:szCs w:val="32"/>
          <w:highlight w:val="none"/>
        </w:rPr>
      </w:pPr>
      <w:bookmarkStart w:id="15"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5"/>
    </w:p>
    <w:p w14:paraId="326DD7D9">
      <w:pPr>
        <w:spacing w:line="360" w:lineRule="auto"/>
        <w:ind w:firstLine="640" w:firstLineChars="200"/>
        <w:outlineLvl w:val="1"/>
        <w:rPr>
          <w:rFonts w:ascii="仿宋" w:hAnsi="仿宋" w:eastAsia="仿宋"/>
          <w:sz w:val="32"/>
          <w:szCs w:val="32"/>
          <w:highlight w:val="none"/>
        </w:rPr>
      </w:pPr>
      <w:bookmarkStart w:id="16" w:name="_Toc5169_WPSOffice_Level2"/>
      <w:r>
        <w:rPr>
          <w:rFonts w:ascii="仿宋" w:hAnsi="仿宋" w:eastAsia="仿宋"/>
          <w:sz w:val="32"/>
          <w:szCs w:val="32"/>
          <w:highlight w:val="none"/>
        </w:rPr>
        <w:t>4、</w:t>
      </w:r>
      <w:r>
        <w:rPr>
          <w:rFonts w:hint="eastAsia" w:ascii="仿宋" w:hAnsi="仿宋" w:eastAsia="仿宋"/>
          <w:sz w:val="32"/>
          <w:szCs w:val="32"/>
          <w:highlight w:val="none"/>
          <w:lang w:eastAsia="zh-CN"/>
        </w:rPr>
        <w:t>响应人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6"/>
    </w:p>
    <w:p w14:paraId="790486BB">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p>
    <w:p w14:paraId="27E512B5">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6、所投产品生产厂家或授权经销商证明材料（按本项目响应人资格要求提供资料，加盖公章）；</w:t>
      </w:r>
    </w:p>
    <w:p w14:paraId="1FE22037">
      <w:pPr>
        <w:pStyle w:val="7"/>
        <w:ind w:firstLine="640" w:firstLineChars="200"/>
        <w:rPr>
          <w:rFonts w:hint="default"/>
          <w:lang w:val="en-US" w:eastAsia="zh-CN"/>
        </w:rPr>
      </w:pPr>
      <w:r>
        <w:rPr>
          <w:rFonts w:hint="eastAsia" w:ascii="仿宋" w:hAnsi="仿宋" w:eastAsia="仿宋"/>
          <w:sz w:val="32"/>
          <w:szCs w:val="32"/>
          <w:highlight w:val="none"/>
          <w:lang w:val="en-US" w:eastAsia="zh-CN"/>
        </w:rPr>
        <w:t>7、响应人满足本项目的运输能力证明材料（按本项目响应人资格要求提供资料，加盖公章）；</w:t>
      </w:r>
    </w:p>
    <w:p w14:paraId="614E304C">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8、响应人报价截止日前6个月内任意1个月依法缴纳税收证明材料。如依法免税的，须提供相应证明材料。(证明材料须加盖公章)</w:t>
      </w:r>
    </w:p>
    <w:p w14:paraId="72792A54">
      <w:pPr>
        <w:pStyle w:val="7"/>
        <w:numPr>
          <w:ilvl w:val="0"/>
          <w:numId w:val="0"/>
        </w:numPr>
        <w:ind w:firstLine="480" w:firstLineChars="150"/>
        <w:rPr>
          <w:rFonts w:hint="eastAsia"/>
          <w:lang w:val="en-US" w:eastAsia="zh-CN"/>
        </w:rPr>
      </w:pPr>
      <w:r>
        <w:rPr>
          <w:rFonts w:hint="eastAsia" w:ascii="仿宋" w:hAnsi="仿宋" w:eastAsia="仿宋"/>
          <w:sz w:val="32"/>
          <w:szCs w:val="32"/>
          <w:highlight w:val="none"/>
          <w:lang w:val="en-US" w:eastAsia="zh-CN"/>
        </w:rPr>
        <w:t>9、响应人报价截止日前6个月内开具的无欠税证明材料（在全国统一规范电子税务局平台开具，证明材料须加盖公章）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53FC881">
      <w:pPr>
        <w:spacing w:line="360" w:lineRule="auto"/>
        <w:ind w:firstLine="640" w:firstLineChars="200"/>
        <w:outlineLvl w:val="1"/>
        <w:rPr>
          <w:rFonts w:ascii="仿宋" w:hAnsi="仿宋" w:eastAsia="仿宋"/>
          <w:sz w:val="32"/>
          <w:szCs w:val="32"/>
          <w:highlight w:val="none"/>
        </w:rPr>
      </w:pPr>
      <w:r>
        <w:rPr>
          <w:rFonts w:hint="eastAsia"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w:t>
      </w:r>
      <w:bookmarkStart w:id="17" w:name="_Toc6431_WPSOffice_Level2"/>
      <w:r>
        <w:rPr>
          <w:rFonts w:hint="default" w:ascii="Times New Roman" w:hAnsi="Times New Roman" w:eastAsia="仿宋" w:cs="Times New Roman"/>
          <w:sz w:val="32"/>
          <w:szCs w:val="32"/>
          <w:highlight w:val="none"/>
        </w:rPr>
        <w:t>本项目询价文件</w:t>
      </w:r>
      <w:r>
        <w:rPr>
          <w:rFonts w:hint="eastAsia" w:eastAsia="仿宋" w:cs="Times New Roman"/>
          <w:sz w:val="32"/>
          <w:szCs w:val="32"/>
          <w:highlight w:val="none"/>
          <w:lang w:val="en-US" w:eastAsia="zh-CN"/>
        </w:rPr>
        <w:t>响应人资格</w:t>
      </w:r>
      <w:r>
        <w:rPr>
          <w:rFonts w:hint="default" w:ascii="Times New Roman" w:hAnsi="Times New Roman" w:eastAsia="仿宋" w:cs="Times New Roman"/>
          <w:sz w:val="32"/>
          <w:szCs w:val="32"/>
          <w:highlight w:val="none"/>
        </w:rPr>
        <w:t>要求或</w:t>
      </w:r>
      <w:r>
        <w:rPr>
          <w:rFonts w:hint="eastAsia" w:eastAsia="仿宋" w:cs="Times New Roman"/>
          <w:sz w:val="32"/>
          <w:szCs w:val="32"/>
          <w:highlight w:val="none"/>
          <w:lang w:eastAsia="zh-CN"/>
        </w:rPr>
        <w:t>响应人</w:t>
      </w:r>
      <w:r>
        <w:rPr>
          <w:rFonts w:hint="default" w:ascii="Times New Roman" w:hAnsi="Times New Roman" w:eastAsia="仿宋" w:cs="Times New Roman"/>
          <w:sz w:val="32"/>
          <w:szCs w:val="32"/>
          <w:highlight w:val="none"/>
        </w:rPr>
        <w:t>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17"/>
    </w:p>
    <w:p w14:paraId="4FCB9CBB">
      <w:pPr>
        <w:spacing w:line="360" w:lineRule="auto"/>
        <w:ind w:firstLine="640" w:firstLineChars="200"/>
        <w:rPr>
          <w:rFonts w:hint="eastAsia" w:ascii="仿宋" w:hAnsi="仿宋" w:eastAsia="仿宋" w:cs="仿宋"/>
          <w:b w:val="0"/>
          <w:bCs w:val="0"/>
          <w:sz w:val="32"/>
          <w:szCs w:val="32"/>
          <w:highlight w:val="none"/>
        </w:rPr>
      </w:pPr>
      <w:bookmarkStart w:id="18" w:name="_Toc17260_WPSOffice_Level2"/>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w:t>
      </w:r>
      <w:r>
        <w:rPr>
          <w:rFonts w:hint="eastAsia" w:ascii="仿宋" w:hAnsi="仿宋" w:eastAsia="仿宋" w:cs="仿宋"/>
          <w:b w:val="0"/>
          <w:bCs w:val="0"/>
          <w:color w:val="000000"/>
          <w:sz w:val="32"/>
          <w:szCs w:val="32"/>
          <w:highlight w:val="none"/>
          <w:lang w:val="en-US" w:eastAsia="zh-CN"/>
        </w:rPr>
        <w:t>响应承诺函</w:t>
      </w:r>
      <w:r>
        <w:rPr>
          <w:rFonts w:hint="eastAsia" w:ascii="仿宋" w:hAnsi="仿宋" w:eastAsia="仿宋" w:cs="仿宋"/>
          <w:b w:val="0"/>
          <w:bCs w:val="0"/>
          <w:color w:val="000000"/>
          <w:sz w:val="32"/>
          <w:szCs w:val="32"/>
          <w:highlight w:val="none"/>
        </w:rPr>
        <w:t>（模板，详见附件</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加盖公章</w:t>
      </w:r>
      <w:r>
        <w:rPr>
          <w:rFonts w:hint="eastAsia" w:ascii="仿宋" w:hAnsi="仿宋" w:eastAsia="仿宋" w:cs="仿宋"/>
          <w:b w:val="0"/>
          <w:bCs w:val="0"/>
          <w:color w:val="000000"/>
          <w:sz w:val="32"/>
          <w:szCs w:val="32"/>
          <w:highlight w:val="none"/>
        </w:rPr>
        <w:t>）</w:t>
      </w:r>
    </w:p>
    <w:p w14:paraId="755CD1F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未到场声明（</w:t>
      </w:r>
      <w:r>
        <w:rPr>
          <w:rFonts w:hint="eastAsia" w:ascii="仿宋" w:hAnsi="仿宋" w:eastAsia="仿宋" w:cs="仿宋"/>
          <w:sz w:val="32"/>
          <w:szCs w:val="32"/>
          <w:highlight w:val="none"/>
          <w:lang w:val="en-US" w:eastAsia="zh-CN"/>
        </w:rPr>
        <w:t>未参与现场开标必须提供</w:t>
      </w:r>
      <w:r>
        <w:rPr>
          <w:rFonts w:hint="eastAsia" w:ascii="仿宋" w:hAnsi="仿宋" w:eastAsia="仿宋" w:cs="仿宋"/>
          <w:sz w:val="32"/>
          <w:szCs w:val="32"/>
          <w:highlight w:val="none"/>
        </w:rPr>
        <w:t>，详见附件）</w:t>
      </w:r>
      <w:bookmarkEnd w:id="18"/>
      <w:r>
        <w:rPr>
          <w:rFonts w:hint="eastAsia" w:ascii="仿宋" w:hAnsi="仿宋" w:eastAsia="仿宋" w:cs="仿宋"/>
          <w:color w:val="000000" w:themeColor="text1"/>
          <w:sz w:val="32"/>
          <w:szCs w:val="32"/>
          <w:highlight w:val="none"/>
          <w14:textFill>
            <w14:solidFill>
              <w14:schemeClr w14:val="tx1"/>
            </w14:solidFill>
          </w14:textFill>
        </w:rPr>
        <w:t>。</w:t>
      </w:r>
    </w:p>
    <w:p w14:paraId="0D4AFB4B">
      <w:pPr>
        <w:spacing w:line="360" w:lineRule="auto"/>
        <w:ind w:firstLine="640" w:firstLineChars="200"/>
        <w:outlineLvl w:val="1"/>
        <w:rPr>
          <w:rFonts w:hint="eastAsia" w:eastAsia="仿宋_GB2312"/>
          <w:color w:val="000000" w:themeColor="text1"/>
          <w:sz w:val="32"/>
          <w:szCs w:val="32"/>
          <w:highlight w:val="none"/>
          <w14:textFill>
            <w14:solidFill>
              <w14:schemeClr w14:val="tx1"/>
            </w14:solidFill>
          </w14:textFill>
        </w:rPr>
      </w:pPr>
      <w:r>
        <w:rPr>
          <w:rFonts w:hint="eastAsia" w:ascii="Times New Roman" w:hAnsi="Times New Roman" w:eastAsia="仿宋" w:cs="Times New Roman"/>
          <w:sz w:val="32"/>
          <w:szCs w:val="32"/>
          <w:highlight w:val="none"/>
          <w:lang w:eastAsia="zh-CN"/>
        </w:rPr>
        <w:t>响应人</w:t>
      </w:r>
      <w:r>
        <w:rPr>
          <w:rFonts w:hint="eastAsia" w:ascii="Times New Roman" w:hAnsi="Times New Roman" w:eastAsia="仿宋" w:cs="Times New Roman"/>
          <w:sz w:val="32"/>
          <w:szCs w:val="32"/>
          <w:highlight w:val="none"/>
        </w:rPr>
        <w:t>须严格按照采购人提供的表单格式及要求</w:t>
      </w:r>
      <w:r>
        <w:rPr>
          <w:rFonts w:hint="eastAsia" w:ascii="Times New Roman" w:hAnsi="Times New Roman" w:eastAsia="仿宋" w:cs="Times New Roman"/>
          <w:sz w:val="32"/>
          <w:szCs w:val="32"/>
          <w:highlight w:val="none"/>
          <w:lang w:val="en-US" w:eastAsia="zh-CN"/>
        </w:rPr>
        <w:t>报价</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按文件模板要求签字、盖章。</w:t>
      </w:r>
      <w:r>
        <w:rPr>
          <w:rFonts w:hint="eastAsia" w:ascii="Times New Roman" w:hAnsi="Times New Roman" w:eastAsia="仿宋" w:cs="Times New Roman"/>
          <w:sz w:val="32"/>
          <w:szCs w:val="32"/>
          <w:highlight w:val="none"/>
        </w:rPr>
        <w:t>响应文件必须装订或胶装成册，正本必须每页加盖公章，副本可使用正本复印件</w:t>
      </w:r>
      <w:r>
        <w:rPr>
          <w:rFonts w:hint="eastAsia" w:ascii="Times New Roman" w:hAnsi="Times New Roman" w:eastAsia="仿宋" w:cs="Times New Roman"/>
          <w:sz w:val="32"/>
          <w:szCs w:val="32"/>
          <w:highlight w:val="none"/>
          <w:lang w:val="en-US" w:eastAsia="zh-CN"/>
        </w:rPr>
        <w:t>但必须</w:t>
      </w:r>
      <w:r>
        <w:rPr>
          <w:rFonts w:hint="eastAsia" w:ascii="Times New Roman" w:hAnsi="Times New Roman" w:eastAsia="仿宋" w:cs="Times New Roman"/>
          <w:sz w:val="32"/>
          <w:szCs w:val="32"/>
          <w:highlight w:val="none"/>
        </w:rPr>
        <w:t>于封面及骑缝处加盖公章。</w:t>
      </w:r>
    </w:p>
    <w:p w14:paraId="5AA8AC72">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4D70A44F">
      <w:pPr>
        <w:pStyle w:val="6"/>
        <w:ind w:firstLine="640" w:firstLineChars="200"/>
        <w:rPr>
          <w:rFonts w:ascii="仿宋" w:hAnsi="仿宋" w:eastAsia="仿宋"/>
          <w:sz w:val="32"/>
          <w:szCs w:val="32"/>
          <w:highlight w:val="none"/>
        </w:rPr>
      </w:pPr>
      <w:bookmarkStart w:id="19" w:name="_Toc406_WPSOffice_Level1"/>
      <w:r>
        <w:rPr>
          <w:rFonts w:hint="eastAsia" w:ascii="仿宋" w:hAnsi="仿宋" w:eastAsia="仿宋"/>
          <w:sz w:val="32"/>
          <w:szCs w:val="32"/>
          <w:highlight w:val="none"/>
        </w:rPr>
        <w:t>1、正本一份、副本一份。</w:t>
      </w:r>
    </w:p>
    <w:p w14:paraId="7F481FCE">
      <w:pPr>
        <w:pStyle w:val="6"/>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所递交的响应文件</w:t>
      </w:r>
      <w:r>
        <w:rPr>
          <w:rFonts w:hint="eastAsia" w:ascii="仿宋" w:hAnsi="仿宋" w:eastAsia="仿宋"/>
          <w:sz w:val="32"/>
          <w:szCs w:val="32"/>
          <w:highlight w:val="none"/>
          <w:lang w:val="en-US" w:eastAsia="zh-CN"/>
        </w:rPr>
        <w:t>正本</w:t>
      </w:r>
      <w:r>
        <w:rPr>
          <w:rFonts w:hint="eastAsia" w:ascii="仿宋" w:hAnsi="仿宋" w:eastAsia="仿宋"/>
          <w:sz w:val="32"/>
          <w:szCs w:val="32"/>
          <w:highlight w:val="none"/>
        </w:rPr>
        <w:t>必须为盖章原件，公章、私章或签字不得为彩色/黑白的打印件/复印件。</w:t>
      </w:r>
    </w:p>
    <w:p w14:paraId="3D6D8669">
      <w:pPr>
        <w:pStyle w:val="6"/>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需将本项目密封文件袋封面（附件一）粘贴于响应文件密封袋上</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因未粘贴密封文件袋封面而导致无法辨认采购项目的，对报价造成影响的风险由响应人自行承担。</w:t>
      </w:r>
    </w:p>
    <w:p w14:paraId="7B4985C1">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响应文件必须密封完好，装有响应文件的文件袋须贴有密封条，于骑缝处加盖企业公章。不得以快递文件袋作为密封。</w:t>
      </w:r>
      <w:r>
        <w:rPr>
          <w:rFonts w:hint="eastAsia" w:ascii="仿宋" w:hAnsi="仿宋" w:eastAsia="仿宋"/>
          <w:sz w:val="32"/>
          <w:szCs w:val="32"/>
          <w:highlight w:val="none"/>
          <w:lang w:val="en-US" w:eastAsia="zh-CN"/>
        </w:rPr>
        <w:t>响应文件未按要求密封（或破损）的，由响应人自行承担由此造成的风险。</w:t>
      </w:r>
    </w:p>
    <w:p w14:paraId="449C1BE6">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19"/>
    </w:p>
    <w:p w14:paraId="11E9981E">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6</w:t>
      </w:r>
      <w:r>
        <w:rPr>
          <w:rFonts w:ascii="仿宋" w:hAnsi="仿宋" w:eastAsia="仿宋"/>
          <w:sz w:val="32"/>
          <w:szCs w:val="32"/>
          <w:highlight w:val="none"/>
        </w:rPr>
        <w:t>年</w:t>
      </w:r>
      <w:r>
        <w:rPr>
          <w:rFonts w:hint="eastAsia" w:ascii="仿宋" w:hAnsi="仿宋" w:eastAsia="仿宋"/>
          <w:sz w:val="32"/>
          <w:szCs w:val="32"/>
          <w:highlight w:val="none"/>
          <w:lang w:val="en-US" w:eastAsia="zh-CN"/>
        </w:rPr>
        <w:t>4</w:t>
      </w:r>
      <w:r>
        <w:rPr>
          <w:rFonts w:ascii="仿宋" w:hAnsi="仿宋" w:eastAsia="仿宋"/>
          <w:sz w:val="32"/>
          <w:szCs w:val="32"/>
          <w:highlight w:val="none"/>
        </w:rPr>
        <w:t>月</w:t>
      </w:r>
      <w:r>
        <w:rPr>
          <w:rFonts w:hint="eastAsia" w:ascii="仿宋" w:hAnsi="仿宋" w:eastAsia="仿宋"/>
          <w:sz w:val="32"/>
          <w:szCs w:val="32"/>
          <w:highlight w:val="none"/>
          <w:lang w:val="en-US" w:eastAsia="zh-CN"/>
        </w:rPr>
        <w:t>28</w:t>
      </w:r>
      <w:r>
        <w:rPr>
          <w:rFonts w:ascii="仿宋" w:hAnsi="仿宋" w:eastAsia="仿宋"/>
          <w:sz w:val="32"/>
          <w:szCs w:val="32"/>
          <w:highlight w:val="none"/>
        </w:rPr>
        <w:t>日（星期</w:t>
      </w:r>
      <w:r>
        <w:rPr>
          <w:rFonts w:hint="eastAsia" w:ascii="仿宋" w:hAnsi="仿宋" w:eastAsia="仿宋"/>
          <w:sz w:val="32"/>
          <w:szCs w:val="32"/>
          <w:highlight w:val="none"/>
          <w:lang w:val="en-US" w:eastAsia="zh-CN"/>
        </w:rPr>
        <w:t>二</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7A8BF23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eastAsia="zh-CN"/>
        </w:rPr>
        <w:t>响应人</w:t>
      </w:r>
      <w:r>
        <w:rPr>
          <w:rFonts w:hint="eastAsia" w:eastAsia="仿宋_GB2312"/>
          <w:sz w:val="32"/>
          <w:szCs w:val="32"/>
          <w:highlight w:val="none"/>
        </w:rPr>
        <w:t>可选择现场递交</w:t>
      </w:r>
      <w:r>
        <w:rPr>
          <w:rFonts w:hint="eastAsia" w:eastAsia="仿宋_GB2312"/>
          <w:sz w:val="32"/>
          <w:szCs w:val="32"/>
          <w:highlight w:val="none"/>
          <w:lang w:eastAsia="zh-CN"/>
        </w:rPr>
        <w:t>响应文件</w:t>
      </w:r>
      <w:r>
        <w:rPr>
          <w:rFonts w:hint="eastAsia" w:eastAsia="仿宋_GB2312"/>
          <w:sz w:val="32"/>
          <w:szCs w:val="32"/>
          <w:highlight w:val="none"/>
        </w:rPr>
        <w:t>或邮寄</w:t>
      </w:r>
      <w:r>
        <w:rPr>
          <w:rFonts w:hint="eastAsia" w:eastAsia="仿宋_GB2312"/>
          <w:sz w:val="32"/>
          <w:szCs w:val="32"/>
          <w:highlight w:val="none"/>
          <w:lang w:eastAsia="zh-CN"/>
        </w:rPr>
        <w:t>响应文件</w:t>
      </w:r>
      <w:r>
        <w:rPr>
          <w:rFonts w:hint="eastAsia" w:eastAsia="仿宋_GB2312"/>
          <w:sz w:val="32"/>
          <w:szCs w:val="32"/>
          <w:highlight w:val="none"/>
        </w:rPr>
        <w:t>，其中：</w:t>
      </w:r>
    </w:p>
    <w:p w14:paraId="33857C19">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拒收响应文件</w:t>
      </w:r>
      <w:r>
        <w:rPr>
          <w:rFonts w:hint="eastAsia" w:ascii="仿宋" w:hAnsi="仿宋" w:eastAsia="仿宋"/>
          <w:sz w:val="32"/>
          <w:szCs w:val="32"/>
          <w:highlight w:val="none"/>
        </w:rPr>
        <w:t>。</w:t>
      </w:r>
    </w:p>
    <w:p w14:paraId="1A1C7638">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14B8664F">
      <w:pPr>
        <w:pStyle w:val="6"/>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662EBC8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自负，因快递派件人员无工作证等原因（如顺丰即日达）造成快递派件问题的责任由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自负，开标时间后送达的响应文件无效。</w:t>
      </w:r>
    </w:p>
    <w:p w14:paraId="3239789F">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4E765F37">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62EBBF4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6B11EE35">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20"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20"/>
    </w:p>
    <w:p w14:paraId="23F9665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F32A490">
      <w:pPr>
        <w:keepNext w:val="0"/>
        <w:keepLines w:val="0"/>
        <w:pageBreakBefore w:val="0"/>
        <w:widowControl w:val="0"/>
        <w:kinsoku/>
        <w:wordWrap/>
        <w:overflowPunct/>
        <w:topLinePunct w:val="0"/>
        <w:autoSpaceDE/>
        <w:autoSpaceDN/>
        <w:bidi w:val="0"/>
        <w:adjustRightInd/>
        <w:snapToGrid w:val="0"/>
        <w:spacing w:before="156" w:line="324" w:lineRule="auto"/>
        <w:ind w:right="84" w:firstLine="4800" w:firstLineChars="15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 xml:space="preserve"> 4 </w:t>
      </w:r>
      <w:r>
        <w:rPr>
          <w:rFonts w:hint="eastAsia" w:eastAsia="仿宋_GB2312"/>
          <w:sz w:val="32"/>
          <w:szCs w:val="32"/>
          <w:highlight w:val="none"/>
        </w:rPr>
        <w:t>月</w:t>
      </w:r>
      <w:r>
        <w:rPr>
          <w:rFonts w:hint="eastAsia" w:eastAsia="仿宋_GB2312"/>
          <w:sz w:val="32"/>
          <w:szCs w:val="32"/>
          <w:highlight w:val="none"/>
          <w:lang w:val="en-US" w:eastAsia="zh-CN"/>
        </w:rPr>
        <w:t xml:space="preserve">20 </w:t>
      </w:r>
      <w:r>
        <w:rPr>
          <w:rFonts w:hint="eastAsia" w:eastAsia="仿宋_GB2312"/>
          <w:sz w:val="32"/>
          <w:szCs w:val="32"/>
          <w:highlight w:val="none"/>
        </w:rPr>
        <w:t>日</w:t>
      </w:r>
    </w:p>
    <w:p w14:paraId="005CB5C2">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3670B3BF">
      <w:pPr>
        <w:pStyle w:val="29"/>
        <w:numPr>
          <w:ilvl w:val="0"/>
          <w:numId w:val="2"/>
        </w:numPr>
        <w:spacing w:line="360" w:lineRule="auto"/>
        <w:ind w:firstLineChars="0"/>
        <w:outlineLvl w:val="1"/>
        <w:rPr>
          <w:rFonts w:ascii="仿宋" w:hAnsi="仿宋" w:eastAsia="仿宋"/>
          <w:b/>
          <w:bCs/>
          <w:sz w:val="28"/>
          <w:szCs w:val="44"/>
          <w:highlight w:val="none"/>
        </w:rPr>
      </w:pPr>
      <w:bookmarkStart w:id="21" w:name="_Toc7977_WPSOffice_Level1"/>
      <w:bookmarkStart w:id="22" w:name="_Hlk524442005"/>
      <w:r>
        <w:rPr>
          <w:rFonts w:hint="eastAsia" w:ascii="仿宋" w:hAnsi="仿宋" w:eastAsia="仿宋"/>
          <w:b/>
          <w:bCs/>
          <w:sz w:val="28"/>
          <w:szCs w:val="44"/>
          <w:highlight w:val="none"/>
        </w:rPr>
        <w:t>密封文件袋封面</w:t>
      </w:r>
      <w:bookmarkEnd w:id="21"/>
    </w:p>
    <w:p w14:paraId="1CF07756">
      <w:pPr>
        <w:pStyle w:val="29"/>
        <w:spacing w:line="360" w:lineRule="auto"/>
        <w:ind w:firstLine="0" w:firstLineChars="0"/>
        <w:outlineLvl w:val="1"/>
        <w:rPr>
          <w:rFonts w:ascii="仿宋" w:hAnsi="仿宋" w:eastAsia="仿宋"/>
          <w:b/>
          <w:bCs/>
          <w:sz w:val="28"/>
          <w:szCs w:val="44"/>
          <w:highlight w:val="none"/>
        </w:rPr>
      </w:pPr>
    </w:p>
    <w:p w14:paraId="0E62EF53">
      <w:pPr>
        <w:rPr>
          <w:rFonts w:ascii="仿宋" w:hAnsi="仿宋" w:eastAsia="仿宋"/>
          <w:b/>
          <w:bCs/>
          <w:sz w:val="52"/>
          <w:szCs w:val="52"/>
          <w:highlight w:val="none"/>
        </w:rPr>
      </w:pPr>
      <w:bookmarkStart w:id="23" w:name="_Toc406_WPSOffice_Level2"/>
    </w:p>
    <w:bookmarkEnd w:id="23"/>
    <w:p w14:paraId="150B2C2B">
      <w:pPr>
        <w:jc w:val="center"/>
        <w:rPr>
          <w:rFonts w:hint="eastAsia" w:ascii="仿宋" w:hAnsi="仿宋" w:eastAsia="仿宋"/>
          <w:b/>
          <w:bCs/>
          <w:sz w:val="52"/>
          <w:szCs w:val="52"/>
          <w:highlight w:val="none"/>
          <w:lang w:eastAsia="zh-CN"/>
        </w:rPr>
      </w:pPr>
      <w:bookmarkStart w:id="24" w:name="_Toc21841_WPSOffice_Level2"/>
      <w:r>
        <w:rPr>
          <w:rFonts w:hint="eastAsia" w:ascii="仿宋" w:hAnsi="仿宋" w:eastAsia="仿宋"/>
          <w:b/>
          <w:bCs/>
          <w:sz w:val="52"/>
          <w:szCs w:val="52"/>
          <w:highlight w:val="none"/>
          <w:lang w:eastAsia="zh-CN"/>
        </w:rPr>
        <w:t>东莞市海心沙资源综合利用中心环保热电厂2026年度</w:t>
      </w:r>
      <w:r>
        <w:rPr>
          <w:rFonts w:hint="eastAsia" w:ascii="仿宋" w:hAnsi="仿宋" w:eastAsia="仿宋"/>
          <w:b/>
          <w:bCs/>
          <w:sz w:val="52"/>
          <w:szCs w:val="52"/>
          <w:highlight w:val="none"/>
          <w:lang w:val="en-US" w:eastAsia="zh-CN"/>
        </w:rPr>
        <w:t>盐酸及硫酸</w:t>
      </w:r>
      <w:r>
        <w:rPr>
          <w:rFonts w:hint="eastAsia" w:ascii="仿宋" w:hAnsi="仿宋" w:eastAsia="仿宋"/>
          <w:b/>
          <w:bCs/>
          <w:sz w:val="52"/>
          <w:szCs w:val="52"/>
          <w:highlight w:val="none"/>
          <w:lang w:eastAsia="zh-CN"/>
        </w:rPr>
        <w:t>采购项目</w:t>
      </w:r>
      <w:bookmarkEnd w:id="24"/>
      <w:r>
        <w:rPr>
          <w:rFonts w:hint="eastAsia" w:ascii="仿宋" w:hAnsi="仿宋" w:eastAsia="仿宋"/>
          <w:b/>
          <w:bCs/>
          <w:sz w:val="52"/>
          <w:szCs w:val="52"/>
          <w:highlight w:val="none"/>
          <w:lang w:eastAsia="zh-CN"/>
        </w:rPr>
        <w:t>响应文件</w:t>
      </w:r>
    </w:p>
    <w:p w14:paraId="407697FA">
      <w:pPr>
        <w:rPr>
          <w:rFonts w:ascii="仿宋" w:hAnsi="仿宋" w:eastAsia="仿宋"/>
          <w:sz w:val="32"/>
          <w:szCs w:val="32"/>
          <w:highlight w:val="none"/>
        </w:rPr>
      </w:pPr>
    </w:p>
    <w:p w14:paraId="4B4C7918">
      <w:pPr>
        <w:rPr>
          <w:rFonts w:ascii="仿宋" w:hAnsi="仿宋" w:eastAsia="仿宋"/>
          <w:sz w:val="32"/>
          <w:szCs w:val="32"/>
          <w:highlight w:val="none"/>
        </w:rPr>
      </w:pPr>
    </w:p>
    <w:p w14:paraId="6041E380">
      <w:pPr>
        <w:rPr>
          <w:rFonts w:ascii="仿宋" w:hAnsi="仿宋" w:eastAsia="仿宋"/>
          <w:sz w:val="32"/>
          <w:szCs w:val="32"/>
          <w:highlight w:val="none"/>
        </w:rPr>
      </w:pPr>
    </w:p>
    <w:p w14:paraId="0194DCA5">
      <w:pPr>
        <w:rPr>
          <w:rFonts w:ascii="仿宋" w:hAnsi="仿宋" w:eastAsia="仿宋"/>
          <w:sz w:val="32"/>
          <w:szCs w:val="32"/>
          <w:highlight w:val="none"/>
        </w:rPr>
      </w:pPr>
    </w:p>
    <w:p w14:paraId="5BC25BE4">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名称（加盖公章）：</w:t>
      </w:r>
      <w:r>
        <w:rPr>
          <w:rFonts w:ascii="仿宋" w:hAnsi="仿宋" w:eastAsia="仿宋"/>
          <w:sz w:val="32"/>
          <w:szCs w:val="32"/>
          <w:highlight w:val="none"/>
          <w:u w:val="single"/>
        </w:rPr>
        <w:t xml:space="preserve">                 </w:t>
      </w:r>
    </w:p>
    <w:p w14:paraId="5C11B3F6">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003C3E34">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5FDC233">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142C1F55">
      <w:pPr>
        <w:pStyle w:val="29"/>
        <w:numPr>
          <w:ilvl w:val="255"/>
          <w:numId w:val="0"/>
        </w:numPr>
        <w:spacing w:line="360" w:lineRule="auto"/>
        <w:outlineLvl w:val="1"/>
        <w:rPr>
          <w:rFonts w:ascii="仿宋" w:hAnsi="仿宋" w:eastAsia="仿宋"/>
          <w:b/>
          <w:bCs/>
          <w:sz w:val="28"/>
          <w:szCs w:val="44"/>
          <w:highlight w:val="none"/>
        </w:rPr>
      </w:pPr>
    </w:p>
    <w:p w14:paraId="718D825A">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58445D7F">
      <w:pPr>
        <w:pStyle w:val="29"/>
        <w:numPr>
          <w:ilvl w:val="0"/>
          <w:numId w:val="2"/>
        </w:numPr>
        <w:spacing w:line="360" w:lineRule="auto"/>
        <w:ind w:firstLineChars="0"/>
        <w:outlineLvl w:val="1"/>
        <w:rPr>
          <w:rFonts w:ascii="仿宋" w:hAnsi="仿宋" w:eastAsia="仿宋"/>
          <w:b/>
          <w:bCs/>
          <w:sz w:val="28"/>
          <w:szCs w:val="44"/>
          <w:highlight w:val="none"/>
        </w:rPr>
      </w:pPr>
      <w:bookmarkStart w:id="25" w:name="_Toc25465_WPSOffice_Level1"/>
      <w:r>
        <w:rPr>
          <w:rFonts w:ascii="仿宋" w:hAnsi="仿宋" w:eastAsia="仿宋"/>
          <w:b/>
          <w:bCs/>
          <w:sz w:val="28"/>
          <w:szCs w:val="44"/>
          <w:highlight w:val="none"/>
        </w:rPr>
        <w:t>报价函</w:t>
      </w:r>
      <w:bookmarkEnd w:id="25"/>
    </w:p>
    <w:p w14:paraId="5B2512F7">
      <w:pPr>
        <w:spacing w:line="360" w:lineRule="auto"/>
        <w:jc w:val="center"/>
        <w:rPr>
          <w:rFonts w:ascii="仿宋" w:hAnsi="仿宋" w:eastAsia="仿宋"/>
          <w:sz w:val="44"/>
          <w:szCs w:val="44"/>
          <w:highlight w:val="none"/>
        </w:rPr>
      </w:pPr>
      <w:bookmarkStart w:id="26" w:name="_Toc7726_WPSOffice_Level1"/>
      <w:r>
        <w:rPr>
          <w:rFonts w:ascii="仿宋" w:hAnsi="仿宋" w:eastAsia="仿宋"/>
          <w:sz w:val="44"/>
          <w:szCs w:val="44"/>
          <w:highlight w:val="none"/>
        </w:rPr>
        <w:t>报价函</w:t>
      </w:r>
      <w:bookmarkEnd w:id="26"/>
    </w:p>
    <w:p w14:paraId="7DEA67A6">
      <w:pPr>
        <w:spacing w:line="360" w:lineRule="auto"/>
        <w:ind w:firstLine="560"/>
        <w:rPr>
          <w:rFonts w:ascii="仿宋" w:hAnsi="仿宋" w:eastAsia="仿宋"/>
          <w:sz w:val="32"/>
          <w:szCs w:val="32"/>
          <w:highlight w:val="none"/>
        </w:rPr>
      </w:pPr>
    </w:p>
    <w:p w14:paraId="49F8FA94">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520F162B">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ascii="仿宋" w:hAnsi="仿宋" w:eastAsia="仿宋"/>
          <w:sz w:val="32"/>
          <w:szCs w:val="32"/>
          <w:highlight w:val="none"/>
        </w:rPr>
        <w:t>东莞市海心沙资源综合利用中心环保热电厂2026年度盐酸及硫酸采购项目，</w:t>
      </w:r>
      <w:r>
        <w:rPr>
          <w:rFonts w:ascii="仿宋" w:hAnsi="仿宋" w:eastAsia="仿宋"/>
          <w:sz w:val="32"/>
          <w:szCs w:val="32"/>
        </w:rPr>
        <w:t>我司愿意</w:t>
      </w:r>
      <w:r>
        <w:rPr>
          <w:rFonts w:hint="eastAsia" w:ascii="仿宋" w:hAnsi="仿宋" w:eastAsia="仿宋"/>
          <w:sz w:val="32"/>
          <w:szCs w:val="32"/>
          <w:lang w:val="en-US" w:eastAsia="zh-CN"/>
        </w:rPr>
        <w:t>按报价清单单价</w:t>
      </w:r>
      <w:r>
        <w:rPr>
          <w:rFonts w:hint="eastAsia" w:ascii="仿宋" w:hAnsi="仿宋" w:eastAsia="仿宋"/>
          <w:sz w:val="32"/>
          <w:szCs w:val="32"/>
        </w:rPr>
        <w:t>承接此项目的供货及服务工作</w:t>
      </w:r>
      <w:r>
        <w:rPr>
          <w:rFonts w:hint="eastAsia" w:ascii="仿宋" w:hAnsi="仿宋" w:eastAsia="仿宋"/>
          <w:sz w:val="32"/>
          <w:szCs w:val="32"/>
          <w:lang w:val="en-US" w:eastAsia="zh-CN"/>
        </w:rPr>
        <w:t>，暂定总价</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p>
    <w:p w14:paraId="6C9F77E5">
      <w:pPr>
        <w:spacing w:line="360" w:lineRule="auto"/>
        <w:rPr>
          <w:rFonts w:ascii="仿宋" w:hAnsi="仿宋" w:eastAsia="仿宋"/>
          <w:sz w:val="32"/>
          <w:szCs w:val="32"/>
          <w:highlight w:val="none"/>
        </w:rPr>
      </w:pPr>
    </w:p>
    <w:p w14:paraId="2E2F017D">
      <w:pPr>
        <w:spacing w:line="360" w:lineRule="auto"/>
        <w:rPr>
          <w:rFonts w:ascii="仿宋" w:hAnsi="仿宋" w:eastAsia="仿宋"/>
          <w:sz w:val="32"/>
          <w:szCs w:val="32"/>
          <w:highlight w:val="none"/>
        </w:rPr>
      </w:pPr>
    </w:p>
    <w:p w14:paraId="13EFB252">
      <w:pPr>
        <w:spacing w:line="360" w:lineRule="auto"/>
        <w:rPr>
          <w:rFonts w:ascii="仿宋" w:hAnsi="仿宋" w:eastAsia="仿宋"/>
          <w:sz w:val="32"/>
          <w:szCs w:val="32"/>
          <w:highlight w:val="none"/>
        </w:rPr>
      </w:pPr>
    </w:p>
    <w:p w14:paraId="10A32EE8">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B3A86F4">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6F661AF3">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5C69DA3A">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2B785670">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53A56EBA">
      <w:pPr>
        <w:wordWrap w:val="0"/>
        <w:spacing w:line="360" w:lineRule="auto"/>
        <w:rPr>
          <w:rFonts w:ascii="仿宋" w:hAnsi="仿宋" w:eastAsia="仿宋"/>
          <w:sz w:val="32"/>
          <w:szCs w:val="32"/>
          <w:highlight w:val="none"/>
        </w:rPr>
      </w:pPr>
    </w:p>
    <w:p w14:paraId="66A792C4">
      <w:p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bookmarkStart w:id="27" w:name="_Toc20373_WPSOffice_Level1"/>
      <w:r>
        <w:rPr>
          <w:rFonts w:ascii="仿宋" w:hAnsi="仿宋" w:eastAsia="仿宋"/>
          <w:sz w:val="44"/>
          <w:szCs w:val="44"/>
          <w:highlight w:val="none"/>
        </w:rPr>
        <w:br w:type="page"/>
      </w:r>
      <w:r>
        <w:rPr>
          <w:rFonts w:hint="default" w:ascii="仿宋" w:hAnsi="仿宋" w:eastAsia="仿宋" w:cs="Times New Roman"/>
          <w:b w:val="0"/>
          <w:bCs w:val="0"/>
          <w:color w:val="auto"/>
          <w:sz w:val="44"/>
          <w:szCs w:val="44"/>
          <w:highlight w:val="none"/>
          <w:lang w:val="en-US" w:eastAsia="zh-CN"/>
        </w:rPr>
        <w:t>报价明细表</w:t>
      </w:r>
    </w:p>
    <w:p w14:paraId="0BC04B91">
      <w:pPr>
        <w:spacing w:line="360" w:lineRule="auto"/>
        <w:ind w:left="1163" w:leftChars="171" w:hanging="804" w:hangingChars="383"/>
        <w:rPr>
          <w:rFonts w:hint="eastAsia" w:ascii="宋体" w:hAnsi="宋体" w:eastAsia="宋体" w:cs="宋体"/>
          <w:color w:val="auto"/>
          <w:sz w:val="21"/>
          <w:szCs w:val="21"/>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26"/>
        <w:gridCol w:w="785"/>
        <w:gridCol w:w="957"/>
        <w:gridCol w:w="713"/>
        <w:gridCol w:w="1794"/>
        <w:gridCol w:w="2877"/>
      </w:tblGrid>
      <w:tr w14:paraId="4C3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B6C8940">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辅料名称/药剂名称</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3371FDFE">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A11A20F">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34DDD9E">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w:t>
            </w:r>
          </w:p>
          <w:p w14:paraId="750D9F18">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C3E4132">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计划采购供货量</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69284B3D">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综合单价（元/吨） </w:t>
            </w:r>
          </w:p>
        </w:tc>
      </w:tr>
      <w:tr w14:paraId="00F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FF122C1">
            <w:pPr>
              <w:pStyle w:val="9"/>
              <w:snapToGrid w:val="0"/>
              <w:spacing w:line="400" w:lineRule="exact"/>
              <w:jc w:val="center"/>
              <w:rPr>
                <w:rFonts w:hint="eastAsia" w:ascii="宋体" w:hAnsi="宋体" w:eastAsia="宋体" w:cs="宋体"/>
                <w:color w:val="auto"/>
                <w:szCs w:val="21"/>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4C2BE8BF">
            <w:pPr>
              <w:pStyle w:val="9"/>
              <w:snapToGrid w:val="0"/>
              <w:spacing w:line="400" w:lineRule="exact"/>
              <w:jc w:val="center"/>
              <w:rPr>
                <w:rFonts w:hint="eastAsia"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027233B2">
            <w:pPr>
              <w:pStyle w:val="9"/>
              <w:snapToGrid w:val="0"/>
              <w:spacing w:line="400" w:lineRule="exact"/>
              <w:jc w:val="center"/>
              <w:rPr>
                <w:rFonts w:hint="eastAsia" w:ascii="宋体" w:hAnsi="宋体" w:eastAsia="宋体" w:cs="宋体"/>
                <w:color w:val="auto"/>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A49445F">
            <w:pPr>
              <w:pStyle w:val="9"/>
              <w:snapToGrid w:val="0"/>
              <w:spacing w:line="400" w:lineRule="exact"/>
              <w:jc w:val="center"/>
              <w:rPr>
                <w:rFonts w:hint="eastAsia" w:ascii="宋体" w:hAnsi="宋体" w:eastAsia="宋体" w:cs="宋体"/>
                <w:color w:val="auto"/>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14:paraId="28F366FB">
            <w:pPr>
              <w:pStyle w:val="9"/>
              <w:snapToGrid w:val="0"/>
              <w:spacing w:line="400" w:lineRule="exact"/>
              <w:jc w:val="center"/>
              <w:rPr>
                <w:rFonts w:hint="eastAsia" w:ascii="宋体" w:hAnsi="宋体" w:eastAsia="宋体" w:cs="宋体"/>
                <w:color w:val="auto"/>
                <w:szCs w:val="21"/>
                <w:highlight w:val="none"/>
              </w:rPr>
            </w:pP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94BE76E">
            <w:pPr>
              <w:pStyle w:val="9"/>
              <w:snapToGrid w:val="0"/>
              <w:spacing w:line="400" w:lineRule="exact"/>
              <w:jc w:val="center"/>
              <w:rPr>
                <w:rFonts w:hint="eastAsia" w:ascii="宋体" w:hAnsi="宋体" w:eastAsia="宋体" w:cs="宋体"/>
                <w:color w:val="auto"/>
                <w:szCs w:val="21"/>
                <w:highlight w:val="none"/>
              </w:rPr>
            </w:pPr>
          </w:p>
        </w:tc>
      </w:tr>
      <w:tr w14:paraId="523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38510E27">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736AD0A8">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EFA47CA">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2F5A483">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3B4098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BD76C1D">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E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204" w:type="pct"/>
            <w:gridSpan w:val="4"/>
            <w:tcBorders>
              <w:top w:val="single" w:color="auto" w:sz="4" w:space="0"/>
              <w:left w:val="single" w:color="auto" w:sz="4" w:space="0"/>
              <w:bottom w:val="single" w:color="auto" w:sz="4" w:space="0"/>
              <w:right w:val="single" w:color="auto" w:sz="4" w:space="0"/>
            </w:tcBorders>
            <w:noWrap w:val="0"/>
            <w:vAlign w:val="center"/>
          </w:tcPr>
          <w:p w14:paraId="54F44B65">
            <w:pPr>
              <w:pStyle w:val="9"/>
              <w:snapToGrid w:val="0"/>
              <w:spacing w:line="400" w:lineRule="exact"/>
              <w:jc w:val="center"/>
              <w:rPr>
                <w:rFonts w:hint="eastAsia" w:ascii="宋体" w:hAnsi="宋体" w:eastAsia="宋体" w:cs="宋体"/>
                <w:b/>
                <w:color w:val="auto"/>
                <w:szCs w:val="21"/>
                <w:highlight w:val="none"/>
              </w:rPr>
            </w:pPr>
            <w:r>
              <w:rPr>
                <w:rFonts w:hint="eastAsia"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报价（元，暂定总价）</w:t>
            </w:r>
          </w:p>
        </w:tc>
        <w:tc>
          <w:tcPr>
            <w:tcW w:w="2796" w:type="pct"/>
            <w:gridSpan w:val="2"/>
            <w:tcBorders>
              <w:top w:val="single" w:color="auto" w:sz="4" w:space="0"/>
              <w:left w:val="single" w:color="auto" w:sz="4" w:space="0"/>
              <w:bottom w:val="single" w:color="auto" w:sz="4" w:space="0"/>
              <w:right w:val="single" w:color="auto" w:sz="4" w:space="0"/>
            </w:tcBorders>
            <w:noWrap w:val="0"/>
            <w:vAlign w:val="center"/>
          </w:tcPr>
          <w:p w14:paraId="0072A2E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C5584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3E48EBF1">
      <w:pPr>
        <w:snapToGrid w:val="0"/>
        <w:spacing w:line="380" w:lineRule="exact"/>
        <w:rPr>
          <w:rFonts w:hint="eastAsia" w:ascii="宋体" w:hAnsi="宋体" w:eastAsia="宋体" w:cs="宋体"/>
          <w:color w:val="auto"/>
          <w:sz w:val="21"/>
          <w:szCs w:val="21"/>
          <w:highlight w:val="none"/>
        </w:rPr>
      </w:pPr>
    </w:p>
    <w:p w14:paraId="455D3C79">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FC9614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销项税额，包含了</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580DD52F">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响应人</w:t>
      </w:r>
      <w:r>
        <w:rPr>
          <w:rFonts w:hint="eastAsia" w:ascii="宋体" w:hAnsi="宋体" w:eastAsia="宋体" w:cs="宋体"/>
          <w:b/>
          <w:bCs/>
          <w:color w:val="auto"/>
          <w:sz w:val="21"/>
          <w:highlight w:val="none"/>
          <w:u w:val="single"/>
        </w:rPr>
        <w:t>的综合单价报价</w:t>
      </w:r>
      <w:r>
        <w:rPr>
          <w:rFonts w:hint="eastAsia" w:ascii="宋体" w:hAnsi="宋体" w:eastAsia="宋体" w:cs="宋体"/>
          <w:b/>
          <w:bCs/>
          <w:color w:val="auto"/>
          <w:sz w:val="21"/>
          <w:highlight w:val="none"/>
          <w:u w:val="single"/>
          <w:lang w:val="en-US" w:eastAsia="zh-CN"/>
        </w:rPr>
        <w:t>任意一项</w:t>
      </w:r>
      <w:r>
        <w:rPr>
          <w:rFonts w:hint="eastAsia" w:ascii="宋体" w:hAnsi="宋体" w:eastAsia="宋体" w:cs="宋体"/>
          <w:b/>
          <w:bCs/>
          <w:color w:val="auto"/>
          <w:sz w:val="21"/>
          <w:highlight w:val="none"/>
          <w:u w:val="single"/>
        </w:rPr>
        <w:t>高于单价最高限价的，该</w:t>
      </w:r>
      <w:r>
        <w:rPr>
          <w:rFonts w:hint="eastAsia" w:ascii="宋体" w:hAnsi="宋体" w:eastAsia="宋体" w:cs="宋体"/>
          <w:b/>
          <w:bCs/>
          <w:color w:val="auto"/>
          <w:sz w:val="21"/>
          <w:highlight w:val="none"/>
          <w:u w:val="single"/>
          <w:lang w:eastAsia="zh-CN"/>
        </w:rPr>
        <w:t>响应人</w:t>
      </w:r>
      <w:r>
        <w:rPr>
          <w:rFonts w:hint="eastAsia" w:ascii="宋体" w:hAnsi="宋体" w:eastAsia="宋体" w:cs="宋体"/>
          <w:b/>
          <w:bCs/>
          <w:color w:val="auto"/>
          <w:sz w:val="21"/>
          <w:highlight w:val="none"/>
          <w:u w:val="single"/>
        </w:rPr>
        <w:t>的</w:t>
      </w:r>
      <w:r>
        <w:rPr>
          <w:rFonts w:hint="eastAsia" w:ascii="宋体" w:hAnsi="宋体" w:eastAsia="宋体" w:cs="宋体"/>
          <w:b/>
          <w:bCs/>
          <w:color w:val="auto"/>
          <w:sz w:val="21"/>
          <w:highlight w:val="none"/>
          <w:u w:val="single"/>
          <w:lang w:eastAsia="zh-CN"/>
        </w:rPr>
        <w:t>响应文件</w:t>
      </w:r>
      <w:r>
        <w:rPr>
          <w:rFonts w:hint="eastAsia" w:ascii="宋体" w:hAnsi="宋体" w:eastAsia="宋体" w:cs="宋体"/>
          <w:b/>
          <w:bCs/>
          <w:color w:val="auto"/>
          <w:sz w:val="21"/>
          <w:highlight w:val="none"/>
          <w:u w:val="single"/>
        </w:rPr>
        <w:t>将被视为无效响应。</w:t>
      </w:r>
    </w:p>
    <w:p w14:paraId="7D7D0BD3">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w:t>
      </w:r>
      <w:r>
        <w:rPr>
          <w:rFonts w:hint="eastAsia" w:ascii="宋体" w:hAnsi="宋体" w:eastAsia="宋体" w:cs="宋体"/>
          <w:b/>
          <w:color w:val="auto"/>
          <w:sz w:val="21"/>
          <w:szCs w:val="21"/>
          <w:highlight w:val="none"/>
          <w:u w:val="single"/>
          <w:lang w:eastAsia="zh-CN"/>
        </w:rPr>
        <w:t>响应报价</w:t>
      </w:r>
      <w:r>
        <w:rPr>
          <w:rFonts w:hint="eastAsia" w:ascii="宋体" w:hAnsi="宋体" w:eastAsia="宋体" w:cs="宋体"/>
          <w:b/>
          <w:color w:val="auto"/>
          <w:sz w:val="21"/>
          <w:szCs w:val="21"/>
          <w:highlight w:val="none"/>
          <w:u w:val="single"/>
        </w:rPr>
        <w:t>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本表内响应报价金额与按单价计算的总金额不一致的，以单价计算结果为准，单价金额小数点有明显错位的，应以总价为准，并修正单价；对不同文字文本响应文件的解释发生异议的，以中文文本为准。</w:t>
      </w:r>
    </w:p>
    <w:p w14:paraId="4E6AA83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2"/>
          <w:highlight w:val="none"/>
        </w:rPr>
      </w:pPr>
      <w:r>
        <w:rPr>
          <w:rFonts w:hint="eastAsia" w:ascii="宋体" w:hAnsi="宋体" w:eastAsia="宋体" w:cs="宋体"/>
          <w:color w:val="auto"/>
          <w:kern w:val="2"/>
          <w:sz w:val="21"/>
          <w:highlight w:val="none"/>
          <w:lang w:val="zh-CN"/>
        </w:rPr>
        <w:t>（4）上述计划采购供货量仅为方便合计响应报价使用，不作为采购人最终购买数量的保证，我方承诺不因实际采购数量的减少或增加而要求采购人提供任何形式的补偿或赔偿。</w:t>
      </w:r>
    </w:p>
    <w:p w14:paraId="219242F9">
      <w:pPr>
        <w:pStyle w:val="9"/>
        <w:rPr>
          <w:rFonts w:hint="eastAsia"/>
          <w:highlight w:val="none"/>
        </w:rPr>
      </w:pPr>
    </w:p>
    <w:p w14:paraId="1889E8AD">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代表签字：</w:t>
      </w:r>
    </w:p>
    <w:p w14:paraId="17E7D9CE">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盖章：</w:t>
      </w:r>
    </w:p>
    <w:p w14:paraId="5044AC81">
      <w:pPr>
        <w:snapToGrid w:val="0"/>
        <w:spacing w:line="360" w:lineRule="auto"/>
        <w:rPr>
          <w:rFonts w:hint="eastAsia" w:ascii="宋体" w:hAnsi="宋体" w:eastAsia="宋体" w:cs="宋体"/>
          <w:color w:val="auto"/>
          <w:sz w:val="22"/>
          <w:szCs w:val="22"/>
          <w:highlight w:val="none"/>
        </w:rPr>
      </w:pPr>
      <w:r>
        <w:rPr>
          <w:rFonts w:hint="eastAsia" w:ascii="仿宋" w:hAnsi="仿宋" w:eastAsia="仿宋" w:cs="Times New Roman"/>
          <w:color w:val="auto"/>
          <w:sz w:val="32"/>
          <w:szCs w:val="32"/>
          <w:highlight w:val="none"/>
        </w:rPr>
        <w:t>日期：      年    月    日</w:t>
      </w:r>
      <w:r>
        <w:rPr>
          <w:rFonts w:hint="eastAsia" w:ascii="宋体" w:hAnsi="宋体" w:eastAsia="宋体" w:cs="宋体"/>
          <w:color w:val="auto"/>
          <w:sz w:val="22"/>
          <w:szCs w:val="22"/>
          <w:highlight w:val="none"/>
        </w:rPr>
        <w:br w:type="page"/>
      </w:r>
    </w:p>
    <w:bookmarkEnd w:id="27"/>
    <w:p w14:paraId="719DAA1E">
      <w:pPr>
        <w:pStyle w:val="29"/>
        <w:numPr>
          <w:ilvl w:val="0"/>
          <w:numId w:val="2"/>
        </w:numPr>
        <w:spacing w:line="360" w:lineRule="auto"/>
        <w:ind w:firstLineChars="0"/>
        <w:outlineLvl w:val="1"/>
        <w:rPr>
          <w:rFonts w:ascii="仿宋" w:hAnsi="仿宋" w:eastAsia="仿宋"/>
          <w:b/>
          <w:bCs/>
          <w:sz w:val="28"/>
          <w:szCs w:val="44"/>
          <w:highlight w:val="none"/>
        </w:rPr>
      </w:pPr>
      <w:bookmarkStart w:id="28" w:name="_Toc28030_WPSOffice_Level1"/>
      <w:r>
        <w:rPr>
          <w:rFonts w:ascii="仿宋" w:hAnsi="仿宋" w:eastAsia="仿宋"/>
          <w:b/>
          <w:bCs/>
          <w:sz w:val="28"/>
          <w:szCs w:val="44"/>
          <w:highlight w:val="none"/>
        </w:rPr>
        <w:t>法人证明</w:t>
      </w:r>
      <w:bookmarkEnd w:id="28"/>
    </w:p>
    <w:p w14:paraId="6D8A4052">
      <w:pPr>
        <w:spacing w:line="360" w:lineRule="auto"/>
        <w:jc w:val="center"/>
        <w:rPr>
          <w:rFonts w:ascii="仿宋" w:hAnsi="仿宋" w:eastAsia="仿宋"/>
          <w:b/>
          <w:bCs/>
          <w:sz w:val="32"/>
          <w:szCs w:val="32"/>
          <w:highlight w:val="none"/>
        </w:rPr>
      </w:pPr>
      <w:bookmarkStart w:id="29" w:name="_Toc7977_WPSOffice_Level2"/>
      <w:r>
        <w:rPr>
          <w:rFonts w:ascii="仿宋" w:hAnsi="仿宋" w:eastAsia="仿宋"/>
          <w:b/>
          <w:bCs/>
          <w:sz w:val="32"/>
          <w:szCs w:val="32"/>
          <w:highlight w:val="none"/>
        </w:rPr>
        <w:t>法定代表人身份证明书</w:t>
      </w:r>
      <w:bookmarkEnd w:id="29"/>
    </w:p>
    <w:p w14:paraId="3A6B3DCD">
      <w:pPr>
        <w:spacing w:line="360" w:lineRule="auto"/>
        <w:rPr>
          <w:rFonts w:ascii="仿宋" w:hAnsi="仿宋" w:eastAsia="仿宋"/>
          <w:sz w:val="32"/>
          <w:szCs w:val="32"/>
          <w:highlight w:val="none"/>
        </w:rPr>
      </w:pPr>
    </w:p>
    <w:p w14:paraId="5D54C5A3">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1753A9FD">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535523F5">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2B590E01">
      <w:pPr>
        <w:spacing w:line="360" w:lineRule="auto"/>
        <w:rPr>
          <w:rFonts w:ascii="仿宋" w:hAnsi="仿宋" w:eastAsia="仿宋"/>
          <w:sz w:val="32"/>
          <w:szCs w:val="32"/>
          <w:highlight w:val="none"/>
        </w:rPr>
      </w:pPr>
    </w:p>
    <w:p w14:paraId="533BAA91">
      <w:pPr>
        <w:spacing w:line="360" w:lineRule="auto"/>
        <w:rPr>
          <w:rFonts w:ascii="仿宋" w:hAnsi="仿宋" w:eastAsia="仿宋"/>
          <w:sz w:val="32"/>
          <w:szCs w:val="32"/>
          <w:highlight w:val="none"/>
        </w:rPr>
      </w:pPr>
    </w:p>
    <w:p w14:paraId="39BAEE90">
      <w:pPr>
        <w:spacing w:line="360" w:lineRule="auto"/>
        <w:rPr>
          <w:rFonts w:ascii="仿宋" w:hAnsi="仿宋" w:eastAsia="仿宋"/>
          <w:sz w:val="32"/>
          <w:szCs w:val="32"/>
          <w:highlight w:val="none"/>
        </w:rPr>
      </w:pPr>
    </w:p>
    <w:p w14:paraId="491ACAC7">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F61BBF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地址：</w:t>
      </w:r>
    </w:p>
    <w:p w14:paraId="646A9C43">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6FFD5E13">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10443283">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4DEAD1E0">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2E58AF5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30" w:name="_Toc384752807"/>
    </w:p>
    <w:p w14:paraId="2E3273DC">
      <w:pPr>
        <w:pStyle w:val="29"/>
        <w:numPr>
          <w:ilvl w:val="0"/>
          <w:numId w:val="2"/>
        </w:numPr>
        <w:spacing w:line="360" w:lineRule="auto"/>
        <w:ind w:firstLineChars="0"/>
        <w:outlineLvl w:val="1"/>
        <w:rPr>
          <w:rFonts w:ascii="仿宋" w:hAnsi="仿宋" w:eastAsia="仿宋"/>
          <w:b/>
          <w:bCs/>
          <w:sz w:val="28"/>
          <w:szCs w:val="44"/>
          <w:highlight w:val="none"/>
        </w:rPr>
      </w:pPr>
      <w:bookmarkStart w:id="31" w:name="_Toc14680_WPSOffice_Level1"/>
      <w:r>
        <w:rPr>
          <w:rFonts w:ascii="仿宋" w:hAnsi="仿宋" w:eastAsia="仿宋"/>
          <w:b/>
          <w:bCs/>
          <w:sz w:val="28"/>
          <w:szCs w:val="44"/>
          <w:highlight w:val="none"/>
        </w:rPr>
        <w:t>法人授权书</w:t>
      </w:r>
      <w:bookmarkEnd w:id="31"/>
    </w:p>
    <w:p w14:paraId="2C224505">
      <w:pPr>
        <w:widowControl/>
        <w:spacing w:line="360" w:lineRule="auto"/>
        <w:jc w:val="center"/>
        <w:rPr>
          <w:rFonts w:ascii="仿宋" w:hAnsi="仿宋" w:eastAsia="仿宋"/>
          <w:sz w:val="32"/>
          <w:szCs w:val="32"/>
          <w:highlight w:val="none"/>
        </w:rPr>
      </w:pPr>
      <w:bookmarkStart w:id="32" w:name="_Toc25465_WPSOffice_Level2"/>
      <w:r>
        <w:rPr>
          <w:rFonts w:ascii="仿宋" w:hAnsi="仿宋" w:eastAsia="仿宋"/>
          <w:b/>
          <w:sz w:val="32"/>
          <w:szCs w:val="32"/>
          <w:highlight w:val="none"/>
        </w:rPr>
        <w:t>授权委托书</w:t>
      </w:r>
      <w:bookmarkEnd w:id="30"/>
      <w:bookmarkEnd w:id="32"/>
    </w:p>
    <w:p w14:paraId="0D5F1435">
      <w:pPr>
        <w:pStyle w:val="22"/>
        <w:spacing w:line="360" w:lineRule="auto"/>
        <w:ind w:firstLine="0" w:firstLineChars="0"/>
        <w:rPr>
          <w:rFonts w:ascii="仿宋" w:hAnsi="仿宋" w:eastAsia="仿宋" w:cs="Times New Roman"/>
          <w:sz w:val="32"/>
          <w:szCs w:val="32"/>
          <w:highlight w:val="none"/>
        </w:rPr>
      </w:pPr>
    </w:p>
    <w:p w14:paraId="1B9D8365">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9122784">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ascii="仿宋" w:hAnsi="仿宋" w:eastAsia="仿宋" w:cs="Times New Roman"/>
          <w:sz w:val="32"/>
          <w:szCs w:val="32"/>
          <w:highlight w:val="none"/>
        </w:rPr>
        <w:t>东莞市海心沙资源综合利用中心环保热电厂2026年度盐酸及硫酸采购项目</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0B8FBF83">
      <w:pPr>
        <w:pStyle w:val="22"/>
        <w:spacing w:line="360" w:lineRule="auto"/>
        <w:ind w:firstLine="659"/>
        <w:rPr>
          <w:rFonts w:ascii="仿宋" w:hAnsi="仿宋" w:eastAsia="仿宋" w:cs="Times New Roman"/>
          <w:sz w:val="32"/>
          <w:szCs w:val="32"/>
          <w:highlight w:val="none"/>
        </w:rPr>
      </w:pPr>
    </w:p>
    <w:p w14:paraId="4762D2D9">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5AA7F91F">
      <w:pPr>
        <w:pStyle w:val="22"/>
        <w:spacing w:line="360" w:lineRule="auto"/>
        <w:ind w:firstLine="659"/>
        <w:rPr>
          <w:rFonts w:ascii="仿宋" w:hAnsi="仿宋" w:eastAsia="仿宋" w:cs="Times New Roman"/>
          <w:sz w:val="32"/>
          <w:szCs w:val="32"/>
          <w:highlight w:val="none"/>
        </w:rPr>
      </w:pPr>
    </w:p>
    <w:p w14:paraId="74271D35">
      <w:pPr>
        <w:pStyle w:val="22"/>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名称（加盖公章）：</w:t>
      </w:r>
    </w:p>
    <w:p w14:paraId="1BC5321C">
      <w:pPr>
        <w:pStyle w:val="22"/>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地址：</w:t>
      </w:r>
    </w:p>
    <w:p w14:paraId="7E13275C">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0786BDCB">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77582E76">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5F04B4B3">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5D1F2BA2">
      <w:pPr>
        <w:pStyle w:val="22"/>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5AD150E5">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433951F5">
      <w:pPr>
        <w:pStyle w:val="22"/>
        <w:spacing w:line="360" w:lineRule="auto"/>
        <w:ind w:firstLine="0" w:firstLineChars="0"/>
        <w:rPr>
          <w:rFonts w:ascii="仿宋" w:hAnsi="仿宋" w:eastAsia="仿宋" w:cs="Times New Roman"/>
          <w:sz w:val="32"/>
          <w:szCs w:val="32"/>
          <w:highlight w:val="none"/>
        </w:rPr>
      </w:pPr>
    </w:p>
    <w:p w14:paraId="495F3B4D">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3FDC449D">
      <w:pPr>
        <w:pStyle w:val="29"/>
        <w:numPr>
          <w:ilvl w:val="0"/>
          <w:numId w:val="2"/>
        </w:numPr>
        <w:spacing w:line="360" w:lineRule="auto"/>
        <w:ind w:left="0" w:firstLine="0" w:firstLineChars="0"/>
        <w:jc w:val="left"/>
        <w:outlineLvl w:val="1"/>
        <w:rPr>
          <w:rFonts w:ascii="仿宋" w:hAnsi="仿宋" w:eastAsia="仿宋"/>
          <w:b/>
          <w:bCs/>
          <w:sz w:val="28"/>
          <w:szCs w:val="44"/>
          <w:highlight w:val="none"/>
        </w:rPr>
      </w:pPr>
      <w:bookmarkStart w:id="33" w:name="_Toc28985_WPSOffice_Level1"/>
      <w:bookmarkStart w:id="34" w:name="OLE_LINK11"/>
      <w:r>
        <w:rPr>
          <w:rFonts w:hint="eastAsia" w:ascii="仿宋" w:hAnsi="仿宋" w:eastAsia="仿宋"/>
          <w:b/>
          <w:bCs/>
          <w:sz w:val="28"/>
          <w:szCs w:val="44"/>
          <w:highlight w:val="none"/>
          <w:lang w:eastAsia="zh-CN"/>
        </w:rPr>
        <w:t>响应人</w:t>
      </w:r>
      <w:r>
        <w:rPr>
          <w:rFonts w:hint="eastAsia" w:ascii="仿宋" w:hAnsi="仿宋" w:eastAsia="仿宋"/>
          <w:b/>
          <w:bCs/>
          <w:sz w:val="28"/>
          <w:szCs w:val="44"/>
          <w:highlight w:val="none"/>
        </w:rPr>
        <w:t>未到场声明</w:t>
      </w:r>
      <w:bookmarkEnd w:id="33"/>
    </w:p>
    <w:bookmarkEnd w:id="34"/>
    <w:p w14:paraId="0C52BB00">
      <w:pPr>
        <w:pStyle w:val="29"/>
        <w:ind w:firstLine="0" w:firstLineChars="0"/>
        <w:jc w:val="center"/>
        <w:outlineLvl w:val="1"/>
        <w:rPr>
          <w:rFonts w:eastAsia="仿宋_GB2312"/>
          <w:b/>
          <w:sz w:val="32"/>
          <w:szCs w:val="32"/>
          <w:highlight w:val="none"/>
        </w:rPr>
      </w:pPr>
      <w:bookmarkStart w:id="35" w:name="_Toc7726_WPSOffice_Level2"/>
      <w:r>
        <w:rPr>
          <w:rFonts w:hint="eastAsia" w:ascii="仿宋_GB2312" w:eastAsia="仿宋_GB2312"/>
          <w:b/>
          <w:sz w:val="32"/>
          <w:szCs w:val="32"/>
          <w:highlight w:val="none"/>
          <w:lang w:eastAsia="zh-CN"/>
        </w:rPr>
        <w:t>响应人</w:t>
      </w:r>
      <w:r>
        <w:rPr>
          <w:rFonts w:ascii="仿宋_GB2312" w:eastAsia="仿宋_GB2312"/>
          <w:b/>
          <w:sz w:val="32"/>
          <w:szCs w:val="32"/>
          <w:highlight w:val="none"/>
        </w:rPr>
        <w:t>未到场声明</w:t>
      </w:r>
      <w:bookmarkEnd w:id="35"/>
    </w:p>
    <w:p w14:paraId="11F7AEAD">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1A3735F0">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我司就参加东莞市海心沙资源综合利用中心环保热电厂2026年度盐酸及硫酸采购项目报价工作，作出郑重说明：</w:t>
      </w:r>
    </w:p>
    <w:p w14:paraId="715B95F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00DEFB8C">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5E1F3C4F">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681DA41">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0687CC8B">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97ADFD3">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6432DF93">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1E2538DB">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7B6AD111">
      <w:pPr>
        <w:rPr>
          <w:rFonts w:hint="eastAsia" w:eastAsia="仿宋_GB2312"/>
          <w:sz w:val="32"/>
          <w:szCs w:val="32"/>
          <w:highlight w:val="none"/>
        </w:rPr>
      </w:pPr>
      <w:r>
        <w:rPr>
          <w:rFonts w:hint="eastAsia" w:eastAsia="仿宋_GB2312"/>
          <w:sz w:val="32"/>
          <w:szCs w:val="32"/>
          <w:highlight w:val="none"/>
        </w:rPr>
        <w:br w:type="page"/>
      </w:r>
    </w:p>
    <w:p w14:paraId="38689909">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531173AA">
      <w:pPr>
        <w:pStyle w:val="29"/>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63C4F12F">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C5D01D1">
      <w:pPr>
        <w:pStyle w:val="22"/>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我司就参加东莞市海心沙资源综合利用中心环保热电厂2026年度盐酸及硫酸采购项目</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588ABBAD">
      <w:pPr>
        <w:pStyle w:val="22"/>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4480D070">
      <w:pPr>
        <w:pStyle w:val="22"/>
        <w:ind w:firstLine="659"/>
        <w:rPr>
          <w:rFonts w:ascii="Times New Roman" w:hAnsi="Times New Roman"/>
          <w:color w:val="000000"/>
          <w:sz w:val="32"/>
          <w:szCs w:val="32"/>
          <w:highlight w:val="none"/>
        </w:rPr>
      </w:pPr>
    </w:p>
    <w:p w14:paraId="685EE949">
      <w:pPr>
        <w:jc w:val="left"/>
        <w:rPr>
          <w:rFonts w:eastAsia="仿宋"/>
          <w:color w:val="000000"/>
          <w:sz w:val="32"/>
          <w:szCs w:val="32"/>
          <w:highlight w:val="none"/>
        </w:rPr>
      </w:pPr>
    </w:p>
    <w:p w14:paraId="33F204B7">
      <w:pPr>
        <w:jc w:val="left"/>
        <w:rPr>
          <w:rFonts w:eastAsia="仿宋"/>
          <w:color w:val="000000"/>
          <w:sz w:val="32"/>
          <w:szCs w:val="32"/>
          <w:highlight w:val="none"/>
        </w:rPr>
      </w:pPr>
    </w:p>
    <w:p w14:paraId="32629CD2">
      <w:pPr>
        <w:jc w:val="left"/>
        <w:rPr>
          <w:rFonts w:eastAsia="仿宋"/>
          <w:color w:val="000000"/>
          <w:sz w:val="32"/>
          <w:szCs w:val="32"/>
          <w:highlight w:val="none"/>
        </w:rPr>
      </w:pPr>
    </w:p>
    <w:p w14:paraId="18F190F0">
      <w:pPr>
        <w:pStyle w:val="22"/>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27AD0FE">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50ECDE6F">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34AB6F50">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21734297">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62FC72E2">
      <w:pPr>
        <w:pStyle w:val="22"/>
        <w:ind w:firstLine="0" w:firstLineChars="0"/>
        <w:jc w:val="left"/>
        <w:rPr>
          <w:rFonts w:ascii="Times New Roman" w:hAnsi="Times New Roman"/>
          <w:color w:val="000000"/>
          <w:sz w:val="32"/>
          <w:szCs w:val="32"/>
          <w:highlight w:val="none"/>
        </w:rPr>
      </w:pPr>
    </w:p>
    <w:p w14:paraId="32D25A22">
      <w:pPr>
        <w:rPr>
          <w:rFonts w:ascii="仿宋" w:hAnsi="仿宋" w:eastAsia="仿宋"/>
          <w:sz w:val="32"/>
          <w:szCs w:val="32"/>
          <w:highlight w:val="none"/>
        </w:rPr>
        <w:sectPr>
          <w:pgSz w:w="11906" w:h="16838"/>
          <w:pgMar w:top="1332" w:right="1800" w:bottom="1304" w:left="1800" w:header="851" w:footer="992" w:gutter="0"/>
          <w:cols w:space="720" w:num="1"/>
          <w:docGrid w:type="lines" w:linePitch="312" w:charSpace="0"/>
        </w:sectPr>
      </w:pPr>
    </w:p>
    <w:bookmarkEnd w:id="22"/>
    <w:p w14:paraId="02A9BB82">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4BD8F407">
      <w:pPr>
        <w:widowControl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2868B264">
      <w:pPr>
        <w:widowControl w:val="0"/>
        <w:adjustRightInd/>
        <w:snapToGrid/>
        <w:spacing w:line="360" w:lineRule="auto"/>
        <w:jc w:val="both"/>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2109A422">
      <w:pPr>
        <w:widowControl w:val="0"/>
        <w:adjustRightInd/>
        <w:snapToGrid/>
        <w:spacing w:line="360" w:lineRule="auto"/>
        <w:jc w:val="both"/>
        <w:rPr>
          <w:rFonts w:hint="eastAsia" w:ascii="宋体" w:hAnsi="宋体" w:eastAsia="宋体" w:cs="宋体"/>
          <w:b/>
          <w:bCs/>
          <w:color w:val="auto"/>
          <w:kern w:val="2"/>
          <w:sz w:val="36"/>
          <w:szCs w:val="36"/>
          <w:highlight w:val="none"/>
        </w:rPr>
      </w:pPr>
    </w:p>
    <w:p w14:paraId="023882BC">
      <w:pPr>
        <w:widowControl w:val="0"/>
        <w:adjustRightInd/>
        <w:snapToGrid w:val="0"/>
        <w:spacing w:line="360" w:lineRule="auto"/>
        <w:jc w:val="both"/>
        <w:rPr>
          <w:rFonts w:hint="eastAsia" w:ascii="宋体" w:hAnsi="宋体" w:eastAsia="宋体" w:cs="宋体"/>
          <w:color w:val="auto"/>
          <w:kern w:val="2"/>
          <w:sz w:val="36"/>
          <w:szCs w:val="36"/>
          <w:highlight w:val="none"/>
        </w:rPr>
      </w:pPr>
    </w:p>
    <w:p w14:paraId="4C13F900">
      <w:pPr>
        <w:widowControl w:val="0"/>
        <w:adjustRightInd/>
        <w:snapToGrid w:val="0"/>
        <w:spacing w:line="360" w:lineRule="auto"/>
        <w:jc w:val="both"/>
        <w:rPr>
          <w:rFonts w:hint="eastAsia" w:ascii="宋体" w:hAnsi="宋体" w:eastAsia="宋体" w:cs="宋体"/>
          <w:bCs/>
          <w:color w:val="auto"/>
          <w:kern w:val="2"/>
          <w:sz w:val="36"/>
          <w:szCs w:val="36"/>
          <w:highlight w:val="none"/>
        </w:rPr>
      </w:pPr>
    </w:p>
    <w:p w14:paraId="2E76CDDA">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7FD20811">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62DBDF62">
      <w:pPr>
        <w:widowControl w:val="0"/>
        <w:adjustRightInd/>
        <w:snapToGrid w:val="0"/>
        <w:spacing w:line="360" w:lineRule="auto"/>
        <w:jc w:val="center"/>
        <w:rPr>
          <w:rFonts w:hint="eastAsia" w:ascii="宋体" w:hAnsi="宋体" w:eastAsia="宋体" w:cs="宋体"/>
          <w:bCs/>
          <w:color w:val="auto"/>
          <w:kern w:val="2"/>
          <w:sz w:val="48"/>
          <w:szCs w:val="48"/>
          <w:highlight w:val="none"/>
        </w:rPr>
      </w:pPr>
      <w:r>
        <w:rPr>
          <w:rFonts w:hint="eastAsia" w:ascii="宋体" w:hAnsi="宋体" w:eastAsia="宋体" w:cs="宋体"/>
          <w:bCs/>
          <w:color w:val="auto"/>
          <w:kern w:val="2"/>
          <w:sz w:val="48"/>
          <w:szCs w:val="48"/>
          <w:highlight w:val="none"/>
        </w:rPr>
        <w:t>东莞市海心沙资源综合利用中心环保热电厂2026年度盐酸及硫酸采购项目合同</w:t>
      </w:r>
    </w:p>
    <w:p w14:paraId="72FB3303">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2226472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EE7E6FC">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B710A9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975B826">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13077B88">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6C33BC7C">
      <w:pPr>
        <w:widowControl w:val="0"/>
        <w:adjustRightInd/>
        <w:snapToGrid w:val="0"/>
        <w:spacing w:line="360" w:lineRule="auto"/>
        <w:jc w:val="both"/>
        <w:rPr>
          <w:rFonts w:hint="eastAsia" w:ascii="宋体" w:hAnsi="宋体" w:eastAsia="宋体" w:cs="宋体"/>
          <w:color w:val="auto"/>
          <w:kern w:val="2"/>
          <w:sz w:val="21"/>
          <w:szCs w:val="24"/>
          <w:highlight w:val="none"/>
        </w:rPr>
      </w:pPr>
    </w:p>
    <w:p w14:paraId="2C9903C2">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1170A0F0">
      <w:pPr>
        <w:widowControl w:val="0"/>
        <w:adjustRightInd/>
        <w:snapToGrid w:val="0"/>
        <w:spacing w:line="360" w:lineRule="auto"/>
        <w:ind w:firstLine="640"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4FE9E91D">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706D1A17">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5E857227">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699C7660">
      <w:pPr>
        <w:widowControl w:val="0"/>
        <w:adjustRightInd/>
        <w:snapToGrid/>
        <w:spacing w:line="24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32"/>
          <w:szCs w:val="32"/>
          <w:highlight w:val="none"/>
        </w:rPr>
        <w:t>二○二  年  月  日</w:t>
      </w:r>
    </w:p>
    <w:p w14:paraId="3FC63CC6">
      <w:pPr>
        <w:widowControl w:val="0"/>
        <w:tabs>
          <w:tab w:val="right" w:pos="8306"/>
        </w:tabs>
        <w:adjustRightInd w:val="0"/>
        <w:snapToGrid w:val="0"/>
        <w:spacing w:line="360" w:lineRule="auto"/>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1"/>
          <w:szCs w:val="21"/>
          <w:highlight w:val="none"/>
        </w:rPr>
        <w:br w:type="page"/>
      </w:r>
      <w:r>
        <w:rPr>
          <w:rFonts w:hint="eastAsia" w:ascii="宋体" w:hAnsi="宋体" w:eastAsia="宋体" w:cs="宋体"/>
          <w:b/>
          <w:snapToGrid w:val="0"/>
          <w:color w:val="auto"/>
          <w:kern w:val="2"/>
          <w:sz w:val="22"/>
          <w:szCs w:val="22"/>
          <w:highlight w:val="none"/>
        </w:rPr>
        <w:t>甲方（买方）：</w:t>
      </w:r>
    </w:p>
    <w:p w14:paraId="4AA6BF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1E0CB65C">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0C03010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4B52BC65">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59F8E7BF">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乙方（卖方）：</w:t>
      </w:r>
    </w:p>
    <w:p w14:paraId="6F2D65A2">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49946D8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2C21AA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81AF465">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2F7C27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7579998B">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4138FE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第一条 采购货物清单及合同价款</w:t>
      </w:r>
    </w:p>
    <w:p w14:paraId="3285C5BE">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、硫酸采用调价方式：</w:t>
      </w:r>
    </w:p>
    <w:p w14:paraId="50FFD9F9">
      <w:pPr>
        <w:spacing w:line="360" w:lineRule="auto"/>
        <w:rPr>
          <w:rFonts w:hint="eastAsia" w:ascii="宋体" w:hAnsi="宋体" w:cs="宋体"/>
          <w:szCs w:val="21"/>
        </w:rPr>
      </w:pPr>
      <w:r>
        <w:rPr>
          <w:rFonts w:hint="eastAsia" w:ascii="宋体" w:hAnsi="宋体" w:cs="宋体"/>
          <w:szCs w:val="21"/>
        </w:rPr>
        <w:t>(1)合同有效期内，硫酸市场价格涨跌幅度超过10%的（价格以卓创网（http：//www.sci99.com/）的华南市场韶关冶炼硫酸（冶炼酸98%）月平均价格为参考依据），双方均可提出调价申请，调整后价格，在下月执行。</w:t>
      </w:r>
    </w:p>
    <w:p w14:paraId="0259F808">
      <w:pPr>
        <w:spacing w:line="360" w:lineRule="auto"/>
        <w:rPr>
          <w:rFonts w:hint="eastAsia" w:ascii="宋体" w:hAnsi="宋体" w:cs="宋体"/>
          <w:szCs w:val="21"/>
        </w:rPr>
      </w:pPr>
      <w:r>
        <w:rPr>
          <w:rFonts w:hint="eastAsia" w:ascii="宋体" w:hAnsi="宋体" w:cs="宋体"/>
          <w:szCs w:val="21"/>
        </w:rPr>
        <w:t>(2)中标人需调价时，必须提前30天以书面的形式通知采购人，征得采购人同意后方可生效；当满足价格下调条件时，采购人书面通知中标人调价后生效，在下月执行。</w:t>
      </w:r>
    </w:p>
    <w:p w14:paraId="508D04D3">
      <w:pPr>
        <w:spacing w:line="360" w:lineRule="auto"/>
        <w:rPr>
          <w:rFonts w:hint="eastAsia" w:ascii="宋体" w:hAnsi="宋体" w:cs="宋体"/>
          <w:szCs w:val="21"/>
        </w:rPr>
      </w:pPr>
      <w:r>
        <w:rPr>
          <w:rFonts w:hint="eastAsia" w:ascii="宋体" w:hAnsi="宋体" w:cs="宋体"/>
          <w:szCs w:val="21"/>
        </w:rPr>
        <w:t>(3)变动价格的计算方式：基准价±华南市场韶关冶炼硫酸（冶炼酸98%）当月平均价格×华南市场韶关冶炼硫酸（冶炼酸98%）当月平均价格波动比例。（基准价为中标价）</w:t>
      </w:r>
    </w:p>
    <w:p w14:paraId="6CA2899A">
      <w:pPr>
        <w:rPr>
          <w:rFonts w:ascii="宋体" w:hAnsi="宋体" w:cs="宋体"/>
          <w:szCs w:val="21"/>
        </w:rPr>
      </w:pPr>
      <w:r>
        <w:rPr>
          <w:rFonts w:hint="eastAsia" w:ascii="宋体" w:hAnsi="宋体" w:cs="宋体"/>
          <w:szCs w:val="21"/>
        </w:rPr>
        <w:t>(4) 华南市场韶关冶炼硫酸（冶炼酸98%）当月平均价格波动比例=（当月平均价-基准月平均价）/基准月平均价×100%（注：本次合同以卓创网上华南市场韶关冶炼硫酸（冶炼酸98%）</w:t>
      </w:r>
      <w:r>
        <w:rPr>
          <w:rFonts w:hint="eastAsia" w:ascii="宋体" w:hAnsi="宋体" w:cs="宋体"/>
          <w:szCs w:val="21"/>
          <w:highlight w:val="yellow"/>
        </w:rPr>
        <w:t>2026年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rPr>
        <w:t>平均价格为月基准平均价，当月平均价为卓创网上华南市场韶关冶炼硫酸（冶炼酸98%）的当月价）。</w:t>
      </w:r>
    </w:p>
    <w:p w14:paraId="6172B96D">
      <w:pPr>
        <w:widowControl w:val="0"/>
        <w:adjustRightInd w:val="0"/>
        <w:snapToGrid w:val="0"/>
        <w:spacing w:line="400" w:lineRule="exact"/>
        <w:jc w:val="left"/>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盐酸不进行调价。</w:t>
      </w:r>
    </w:p>
    <w:tbl>
      <w:tblPr>
        <w:tblStyle w:val="1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626"/>
        <w:gridCol w:w="1052"/>
        <w:gridCol w:w="1359"/>
      </w:tblGrid>
      <w:tr w14:paraId="442D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9" w:type="dxa"/>
            <w:noWrap/>
            <w:vAlign w:val="center"/>
          </w:tcPr>
          <w:p w14:paraId="3EB1E8C2">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ign w:val="center"/>
          </w:tcPr>
          <w:p w14:paraId="0B4BAF9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ign w:val="center"/>
          </w:tcPr>
          <w:p w14:paraId="18BDB4C1">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ign w:val="center"/>
          </w:tcPr>
          <w:p w14:paraId="4D25E6B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01995BB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ign w:val="center"/>
          </w:tcPr>
          <w:p w14:paraId="0B77DCE4">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计划数量</w:t>
            </w:r>
          </w:p>
        </w:tc>
        <w:tc>
          <w:tcPr>
            <w:tcW w:w="1626" w:type="dxa"/>
            <w:noWrap/>
            <w:vAlign w:val="center"/>
          </w:tcPr>
          <w:p w14:paraId="71946C5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到货单价</w:t>
            </w:r>
          </w:p>
          <w:p w14:paraId="19EBB2F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052" w:type="dxa"/>
            <w:noWrap/>
            <w:vAlign w:val="center"/>
          </w:tcPr>
          <w:p w14:paraId="7C78721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小计</w:t>
            </w:r>
          </w:p>
          <w:p w14:paraId="332BAF00">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359" w:type="dxa"/>
            <w:noWrap/>
            <w:vAlign w:val="center"/>
          </w:tcPr>
          <w:p w14:paraId="3A2FA8D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0E2C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7DAECD89">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1</w:t>
            </w:r>
          </w:p>
        </w:tc>
        <w:tc>
          <w:tcPr>
            <w:tcW w:w="1125" w:type="dxa"/>
            <w:noWrap/>
            <w:vAlign w:val="center"/>
          </w:tcPr>
          <w:p w14:paraId="45B2598F">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cs="宋体"/>
                <w:color w:val="auto"/>
                <w:sz w:val="22"/>
                <w:szCs w:val="20"/>
                <w:highlight w:val="none"/>
                <w:lang w:val="en-US" w:eastAsia="zh-CN"/>
              </w:rPr>
              <w:t>盐</w:t>
            </w:r>
            <w:r>
              <w:rPr>
                <w:rFonts w:hint="eastAsia" w:ascii="宋体" w:hAnsi="宋体" w:eastAsia="宋体" w:cs="宋体"/>
                <w:color w:val="auto"/>
                <w:sz w:val="22"/>
                <w:szCs w:val="20"/>
                <w:highlight w:val="none"/>
              </w:rPr>
              <w:t>酸</w:t>
            </w:r>
          </w:p>
        </w:tc>
        <w:tc>
          <w:tcPr>
            <w:tcW w:w="1382" w:type="dxa"/>
            <w:noWrap/>
            <w:vAlign w:val="center"/>
          </w:tcPr>
          <w:p w14:paraId="3BE8B1D9">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2ED0762D">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4E5F963A">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0BDB7DAB">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5DD22711">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2A4EC41">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6EA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55873DD8">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2</w:t>
            </w:r>
          </w:p>
        </w:tc>
        <w:tc>
          <w:tcPr>
            <w:tcW w:w="1125" w:type="dxa"/>
            <w:noWrap/>
            <w:vAlign w:val="center"/>
          </w:tcPr>
          <w:p w14:paraId="62D12EF4">
            <w:pPr>
              <w:widowControl w:val="0"/>
              <w:adjustRightInd w:val="0"/>
              <w:snapToGrid w:val="0"/>
              <w:spacing w:line="400" w:lineRule="exact"/>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val="en-US" w:eastAsia="zh-CN"/>
              </w:rPr>
              <w:t>硫酸</w:t>
            </w:r>
          </w:p>
        </w:tc>
        <w:tc>
          <w:tcPr>
            <w:tcW w:w="1382" w:type="dxa"/>
            <w:noWrap/>
            <w:vAlign w:val="center"/>
          </w:tcPr>
          <w:p w14:paraId="47433890">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35C9468F">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2B5C1153">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4CAC16D5">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15DB2078">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33DA6B5">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C1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31" w:type="dxa"/>
            <w:gridSpan w:val="8"/>
            <w:noWrap/>
            <w:vAlign w:val="center"/>
          </w:tcPr>
          <w:p w14:paraId="68BF6195">
            <w:pPr>
              <w:widowControl w:val="0"/>
              <w:adjustRightInd w:val="0"/>
              <w:snapToGrid w:val="0"/>
              <w:spacing w:line="400" w:lineRule="exact"/>
              <w:ind w:firstLine="442" w:firstLineChars="200"/>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0D45F31E">
            <w:pPr>
              <w:widowControl w:val="0"/>
              <w:adjustRightInd w:val="0"/>
              <w:snapToGrid w:val="0"/>
              <w:spacing w:line="400" w:lineRule="exact"/>
              <w:ind w:firstLine="440" w:firstLineChars="20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4E4672DD">
            <w:pPr>
              <w:widowControl w:val="0"/>
              <w:adjustRightInd w:val="0"/>
              <w:snapToGrid w:val="0"/>
              <w:spacing w:line="400" w:lineRule="exact"/>
              <w:ind w:firstLine="440" w:firstLineChars="200"/>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56536CA2">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66E6616F">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质量标准：货物的质量标准和性能应当同时满足下列要求：</w:t>
      </w:r>
    </w:p>
    <w:p w14:paraId="53BCF522">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1、双方约定的标准：</w:t>
      </w:r>
      <w:r>
        <w:rPr>
          <w:rFonts w:hint="eastAsia" w:ascii="宋体" w:hAnsi="宋体" w:eastAsia="宋体" w:cs="宋体"/>
          <w:color w:val="auto"/>
          <w:kern w:val="2"/>
          <w:sz w:val="22"/>
          <w:szCs w:val="22"/>
          <w:highlight w:val="none"/>
          <w:u w:val="single"/>
        </w:rPr>
        <w:t>以《东莞市海心沙资源综合利用中心环保热电厂2026年度盐酸及硫酸采购项目</w:t>
      </w:r>
      <w:r>
        <w:rPr>
          <w:rFonts w:hint="eastAsia" w:ascii="宋体" w:hAnsi="宋体" w:cs="宋体"/>
          <w:color w:val="auto"/>
          <w:kern w:val="2"/>
          <w:sz w:val="22"/>
          <w:szCs w:val="22"/>
          <w:highlight w:val="none"/>
          <w:u w:val="single"/>
          <w:lang w:val="en-US" w:eastAsia="zh-CN"/>
        </w:rPr>
        <w:t>用户</w:t>
      </w:r>
      <w:r>
        <w:rPr>
          <w:rFonts w:hint="eastAsia" w:ascii="宋体" w:hAnsi="宋体" w:eastAsia="宋体" w:cs="宋体"/>
          <w:color w:val="auto"/>
          <w:kern w:val="2"/>
          <w:sz w:val="22"/>
          <w:szCs w:val="22"/>
          <w:highlight w:val="none"/>
          <w:u w:val="single"/>
        </w:rPr>
        <w:t>需求书》约定为准。</w:t>
      </w:r>
    </w:p>
    <w:p w14:paraId="624497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、盐酸技术标准</w:t>
      </w:r>
    </w:p>
    <w:p w14:paraId="7685690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满足《工业用合成盐酸》（</w:t>
      </w:r>
      <w:r>
        <w:rPr>
          <w:rFonts w:hint="eastAsia" w:ascii="宋体" w:hAnsi="宋体" w:cs="宋体"/>
          <w:szCs w:val="21"/>
        </w:rPr>
        <w:t>GB/T 320-2025</w:t>
      </w:r>
      <w:r>
        <w:rPr>
          <w:rFonts w:hint="eastAsia" w:ascii="宋体" w:hAnsi="宋体" w:eastAsia="宋体" w:cs="宋体"/>
          <w:color w:val="auto"/>
          <w:kern w:val="2"/>
          <w:sz w:val="22"/>
          <w:szCs w:val="22"/>
          <w:highlight w:val="none"/>
        </w:rPr>
        <w:t>）标准中合格品指标，总酸度（以HCl计）的质量分数≥31.0。</w:t>
      </w:r>
    </w:p>
    <w:p w14:paraId="22ADE46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、硫酸技术标准</w:t>
      </w:r>
    </w:p>
    <w:p w14:paraId="397C41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满足《工业硫酸》（</w:t>
      </w:r>
      <w:r>
        <w:rPr>
          <w:rFonts w:hint="eastAsia" w:ascii="宋体" w:hAnsi="宋体" w:cs="宋体"/>
          <w:szCs w:val="21"/>
        </w:rPr>
        <w:t xml:space="preserve"> ‌GB/T 534-2024</w:t>
      </w:r>
      <w:r>
        <w:rPr>
          <w:rFonts w:hint="eastAsia" w:ascii="宋体" w:hAnsi="宋体" w:eastAsia="宋体" w:cs="宋体"/>
          <w:color w:val="auto"/>
          <w:kern w:val="2"/>
          <w:sz w:val="22"/>
          <w:szCs w:val="22"/>
          <w:highlight w:val="none"/>
        </w:rPr>
        <w:t>），含量98%，合格品。</w:t>
      </w:r>
    </w:p>
    <w:p w14:paraId="5B1320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rPr>
        <w:t>、与双方确认的样品的质量相同。</w:t>
      </w:r>
    </w:p>
    <w:p w14:paraId="5196F9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、国家标准、行业标准、地方标准、厂家标准中的最高标准。</w:t>
      </w:r>
    </w:p>
    <w:p w14:paraId="35905D3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6</w:t>
      </w:r>
      <w:r>
        <w:rPr>
          <w:rFonts w:hint="eastAsia" w:ascii="宋体" w:hAnsi="宋体" w:eastAsia="宋体" w:cs="宋体"/>
          <w:color w:val="auto"/>
          <w:kern w:val="2"/>
          <w:sz w:val="22"/>
          <w:szCs w:val="22"/>
          <w:highlight w:val="none"/>
        </w:rPr>
        <w:t>、合同附件技术协议书、用户需求、货物规格书、采购文件、</w:t>
      </w:r>
      <w:r>
        <w:rPr>
          <w:rFonts w:hint="eastAsia" w:ascii="宋体" w:hAnsi="宋体" w:cs="宋体"/>
          <w:color w:val="auto"/>
          <w:kern w:val="2"/>
          <w:sz w:val="22"/>
          <w:szCs w:val="22"/>
          <w:highlight w:val="none"/>
          <w:lang w:eastAsia="zh-CN"/>
        </w:rPr>
        <w:t>响应文件</w:t>
      </w:r>
      <w:r>
        <w:rPr>
          <w:rFonts w:hint="eastAsia" w:ascii="宋体" w:hAnsi="宋体" w:eastAsia="宋体" w:cs="宋体"/>
          <w:color w:val="auto"/>
          <w:kern w:val="2"/>
          <w:sz w:val="22"/>
          <w:szCs w:val="22"/>
          <w:highlight w:val="none"/>
        </w:rPr>
        <w:t>等文件（如有）约定的标准。</w:t>
      </w:r>
    </w:p>
    <w:p w14:paraId="196D88FD">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6、甲方按考核评分表对乙方供货质量、服务情况等进行季度考核。季度考核综合得分大于等于80分，甲方继续履行合同；季度考核综合得分小于80分，甲方有权解除合同。</w:t>
      </w:r>
    </w:p>
    <w:p w14:paraId="3EDBB91A">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7、季度总评考核结果：</w:t>
      </w:r>
    </w:p>
    <w:tbl>
      <w:tblPr>
        <w:tblStyle w:val="1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511"/>
        <w:gridCol w:w="3301"/>
      </w:tblGrid>
      <w:tr w14:paraId="4B9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13786DB9">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考核结果</w:t>
            </w:r>
          </w:p>
        </w:tc>
        <w:tc>
          <w:tcPr>
            <w:tcW w:w="2511" w:type="dxa"/>
            <w:noWrap w:val="0"/>
            <w:vAlign w:val="top"/>
          </w:tcPr>
          <w:p w14:paraId="3E2FF80C">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分值区间</w:t>
            </w:r>
          </w:p>
        </w:tc>
        <w:tc>
          <w:tcPr>
            <w:tcW w:w="3301" w:type="dxa"/>
            <w:noWrap w:val="0"/>
            <w:vAlign w:val="top"/>
          </w:tcPr>
          <w:p w14:paraId="6C79DFA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是否继续执行合同</w:t>
            </w:r>
          </w:p>
        </w:tc>
      </w:tr>
      <w:tr w14:paraId="76BB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3BF4ABE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合格</w:t>
            </w:r>
          </w:p>
        </w:tc>
        <w:tc>
          <w:tcPr>
            <w:tcW w:w="2511" w:type="dxa"/>
            <w:noWrap w:val="0"/>
            <w:vAlign w:val="top"/>
          </w:tcPr>
          <w:p w14:paraId="513FA36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64515824">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继续执行</w:t>
            </w:r>
          </w:p>
        </w:tc>
      </w:tr>
      <w:tr w14:paraId="7086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027" w:type="dxa"/>
            <w:noWrap w:val="0"/>
            <w:vAlign w:val="top"/>
          </w:tcPr>
          <w:p w14:paraId="553053CE">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不合格</w:t>
            </w:r>
          </w:p>
        </w:tc>
        <w:tc>
          <w:tcPr>
            <w:tcW w:w="2511" w:type="dxa"/>
            <w:noWrap w:val="0"/>
            <w:vAlign w:val="top"/>
          </w:tcPr>
          <w:p w14:paraId="2C8279E1">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5D5B14FD">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任一次不合格有权解除合同</w:t>
            </w:r>
          </w:p>
        </w:tc>
      </w:tr>
    </w:tbl>
    <w:p w14:paraId="614733D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B355E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第三条  质量保证期</w:t>
      </w:r>
    </w:p>
    <w:p w14:paraId="5CA90581">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bCs/>
          <w:color w:val="auto"/>
          <w:kern w:val="2"/>
          <w:sz w:val="22"/>
          <w:szCs w:val="22"/>
          <w:highlight w:val="none"/>
        </w:rPr>
        <w:t>执行。</w:t>
      </w:r>
    </w:p>
    <w:p w14:paraId="74F3466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bCs/>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bCs/>
          <w:color w:val="auto"/>
          <w:kern w:val="2"/>
          <w:sz w:val="22"/>
          <w:szCs w:val="22"/>
          <w:highlight w:val="none"/>
        </w:rPr>
        <w:t>个月保质期；</w:t>
      </w:r>
      <w:r>
        <w:rPr>
          <w:rFonts w:hint="eastAsia" w:ascii="宋体" w:hAnsi="宋体" w:eastAsia="宋体" w:cs="宋体"/>
          <w:bCs/>
          <w:vanish/>
          <w:color w:val="auto"/>
          <w:kern w:val="2"/>
          <w:sz w:val="22"/>
          <w:szCs w:val="22"/>
          <w:highlight w:val="none"/>
        </w:rPr>
        <w:t>(</w:t>
      </w:r>
      <w:r>
        <w:rPr>
          <w:rFonts w:hint="eastAsia" w:ascii="宋体" w:hAnsi="宋体" w:eastAsia="宋体" w:cs="宋体"/>
          <w:bCs/>
          <w:color w:val="auto"/>
          <w:kern w:val="2"/>
          <w:sz w:val="22"/>
          <w:szCs w:val="22"/>
          <w:highlight w:val="none"/>
        </w:rPr>
        <w:t>2）</w:t>
      </w:r>
      <w:r>
        <w:rPr>
          <w:rFonts w:hint="eastAsia" w:ascii="宋体" w:hAnsi="宋体" w:eastAsia="宋体" w:cs="宋体"/>
          <w:color w:val="auto"/>
          <w:kern w:val="2"/>
          <w:sz w:val="22"/>
          <w:szCs w:val="22"/>
          <w:highlight w:val="none"/>
        </w:rPr>
        <w:t>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151B4FB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6007317F">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7E697C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第四条  包装标准、包装物的供应与回收</w:t>
      </w:r>
    </w:p>
    <w:p w14:paraId="776B9DCB">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5CCAB2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w:t>
      </w:r>
      <w:r>
        <w:rPr>
          <w:rFonts w:hint="eastAsia" w:ascii="宋体" w:hAnsi="宋体" w:eastAsia="宋体" w:cs="宋体"/>
          <w:color w:val="auto"/>
          <w:kern w:val="2"/>
          <w:sz w:val="22"/>
          <w:szCs w:val="22"/>
          <w:highlight w:val="none"/>
          <w:u w:val="single"/>
        </w:rPr>
        <w:t>乙方</w:t>
      </w:r>
      <w:r>
        <w:rPr>
          <w:rFonts w:hint="eastAsia" w:ascii="宋体" w:hAnsi="宋体" w:eastAsia="宋体" w:cs="宋体"/>
          <w:color w:val="auto"/>
          <w:kern w:val="2"/>
          <w:sz w:val="22"/>
          <w:szCs w:val="22"/>
          <w:highlight w:val="none"/>
        </w:rPr>
        <w:t>回收。</w:t>
      </w:r>
    </w:p>
    <w:p w14:paraId="1C00B3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3、化学品的包装必须满足国家标准</w:t>
      </w:r>
      <w:r>
        <w:rPr>
          <w:rFonts w:hint="eastAsia" w:ascii="宋体" w:hAnsi="宋体" w:eastAsia="宋体" w:cs="宋体"/>
          <w:bCs/>
          <w:color w:val="auto"/>
          <w:kern w:val="2"/>
          <w:sz w:val="22"/>
          <w:szCs w:val="22"/>
          <w:highlight w:val="none"/>
        </w:rPr>
        <w:t>《化学试剂包装及标志》GB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315BA60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42EAE3F3">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668F4F4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第五条  交货时间、地点及供货期限</w:t>
      </w:r>
    </w:p>
    <w:p w14:paraId="7A0A442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74EDA78F">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7BFCEE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4DAAEE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4、供货期限：</w:t>
      </w:r>
    </w:p>
    <w:p w14:paraId="33F7115B">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供货期限为：</w:t>
      </w:r>
      <w:r>
        <w:rPr>
          <w:rFonts w:hint="eastAsia" w:ascii="宋体" w:hAnsi="宋体" w:cs="宋体"/>
          <w:bCs/>
          <w:color w:val="auto"/>
          <w:kern w:val="2"/>
          <w:sz w:val="22"/>
          <w:szCs w:val="22"/>
          <w:highlight w:val="none"/>
          <w:lang w:val="en-US" w:eastAsia="zh-CN"/>
        </w:rPr>
        <w:t>一年，</w:t>
      </w:r>
      <w:r>
        <w:rPr>
          <w:rFonts w:hint="eastAsia" w:ascii="宋体" w:hAnsi="宋体" w:cs="宋体"/>
          <w:sz w:val="22"/>
        </w:rPr>
        <w:t>2026年</w:t>
      </w:r>
      <w:r>
        <w:rPr>
          <w:rFonts w:hint="eastAsia" w:ascii="宋体" w:hAnsi="宋体" w:cs="宋体"/>
          <w:sz w:val="22"/>
          <w:lang w:val="en-US" w:eastAsia="zh-CN"/>
        </w:rPr>
        <w:t xml:space="preserve">  </w:t>
      </w:r>
      <w:r>
        <w:rPr>
          <w:rFonts w:hint="eastAsia" w:ascii="宋体" w:hAnsi="宋体" w:cs="宋体"/>
          <w:sz w:val="22"/>
        </w:rPr>
        <w:t>月</w:t>
      </w:r>
      <w:r>
        <w:rPr>
          <w:rFonts w:hint="eastAsia" w:ascii="宋体" w:hAnsi="宋体" w:cs="宋体"/>
          <w:sz w:val="22"/>
          <w:lang w:val="en-US" w:eastAsia="zh-CN"/>
        </w:rPr>
        <w:t xml:space="preserve">  </w:t>
      </w:r>
      <w:r>
        <w:rPr>
          <w:rFonts w:hint="eastAsia" w:ascii="宋体" w:hAnsi="宋体" w:cs="宋体"/>
          <w:sz w:val="22"/>
        </w:rPr>
        <w:t>日至2027年</w:t>
      </w:r>
      <w:r>
        <w:rPr>
          <w:rFonts w:hint="eastAsia" w:ascii="宋体" w:hAnsi="宋体" w:cs="宋体"/>
          <w:sz w:val="22"/>
          <w:lang w:val="en-US" w:eastAsia="zh-CN"/>
        </w:rPr>
        <w:t xml:space="preserve">  </w:t>
      </w:r>
      <w:r>
        <w:rPr>
          <w:rFonts w:hint="eastAsia" w:ascii="宋体" w:hAnsi="宋体" w:cs="宋体"/>
          <w:sz w:val="22"/>
        </w:rPr>
        <w:t>月</w:t>
      </w:r>
      <w:r>
        <w:rPr>
          <w:rFonts w:hint="eastAsia" w:ascii="宋体" w:hAnsi="宋体" w:cs="宋体"/>
          <w:sz w:val="22"/>
          <w:lang w:val="en-US" w:eastAsia="zh-CN"/>
        </w:rPr>
        <w:t xml:space="preserve">   </w:t>
      </w:r>
      <w:r>
        <w:rPr>
          <w:rFonts w:hint="eastAsia" w:ascii="宋体" w:hAnsi="宋体" w:cs="宋体"/>
          <w:sz w:val="22"/>
        </w:rPr>
        <w:t>日</w:t>
      </w:r>
      <w:r>
        <w:rPr>
          <w:rFonts w:hint="eastAsia" w:ascii="宋体" w:hAnsi="宋体" w:eastAsia="宋体" w:cs="宋体"/>
          <w:bCs/>
          <w:color w:val="auto"/>
          <w:kern w:val="2"/>
          <w:sz w:val="22"/>
          <w:szCs w:val="22"/>
          <w:highlight w:val="none"/>
        </w:rPr>
        <w:t>止。</w:t>
      </w:r>
    </w:p>
    <w:p w14:paraId="2F9223D4">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合同执行期间，甲方有权根据项目实际需求提前终止合同，选择不继续采购乙方货物，乙方不得要求甲方继续采购乙方货物或要求赔偿。</w:t>
      </w:r>
    </w:p>
    <w:p w14:paraId="4DF644D5">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32ABE77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第六条  合理损耗标准及计算方法</w:t>
      </w:r>
    </w:p>
    <w:p w14:paraId="50842FE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甲方指定送货电厂地磅计量法，无出厂化验合格报告，禁止过磅。</w:t>
      </w:r>
    </w:p>
    <w:p w14:paraId="6DD33C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 %）的范围内，乙方不承担责任。</w:t>
      </w:r>
    </w:p>
    <w:p w14:paraId="16ED1A42">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4A11AF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第七条  货物的保管风险及所有权的转移</w:t>
      </w:r>
    </w:p>
    <w:p w14:paraId="4A2D31E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79765E2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2、货物的所有权自交付起转移至甲方。</w:t>
      </w:r>
    </w:p>
    <w:p w14:paraId="73FFB1C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0439AAD4">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FD9C3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137843D9">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 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eastAsia="宋体" w:cs="宋体"/>
          <w:color w:val="auto"/>
          <w:kern w:val="2"/>
          <w:sz w:val="22"/>
          <w:szCs w:val="22"/>
          <w:highlight w:val="none"/>
          <w:shd w:val="clear" w:color="auto" w:fill="FFFFFF"/>
        </w:rPr>
        <w:t>＜</w:t>
      </w:r>
      <w:r>
        <w:rPr>
          <w:rFonts w:hint="eastAsia" w:ascii="宋体" w:hAnsi="宋体" w:eastAsia="宋体" w:cs="宋体"/>
          <w:color w:val="auto"/>
          <w:kern w:val="2"/>
          <w:sz w:val="22"/>
          <w:szCs w:val="22"/>
          <w:highlight w:val="none"/>
        </w:rPr>
        <w:t>49吨。以上由乙方承担运输及装卸等费用，自行卸货。</w:t>
      </w:r>
    </w:p>
    <w:p w14:paraId="71B9E85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7B25152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4B66E2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p>
    <w:p w14:paraId="4233FDB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乙方（或乙方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乙方在本合同签订后7个工作日内须向甲方提供相关的保险购买证明材料</w:t>
      </w:r>
      <w:r>
        <w:rPr>
          <w:rFonts w:hint="eastAsia" w:ascii="宋体" w:hAnsi="宋体" w:eastAsia="宋体" w:cs="宋体"/>
          <w:color w:val="auto"/>
          <w:kern w:val="2"/>
          <w:sz w:val="22"/>
          <w:szCs w:val="22"/>
          <w:highlight w:val="none"/>
        </w:rPr>
        <w:t>。</w:t>
      </w:r>
    </w:p>
    <w:p w14:paraId="0D090FE6">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第九条  检验标准、方法、地点及期限</w:t>
      </w:r>
    </w:p>
    <w:p w14:paraId="0034D2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7FDE50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、(5)、(6)、(7)</w:t>
      </w:r>
      <w:r>
        <w:rPr>
          <w:rFonts w:hint="eastAsia" w:ascii="宋体" w:hAnsi="宋体" w:eastAsia="宋体" w:cs="宋体"/>
          <w:color w:val="auto"/>
          <w:kern w:val="2"/>
          <w:sz w:val="22"/>
          <w:szCs w:val="22"/>
          <w:highlight w:val="none"/>
        </w:rPr>
        <w:t>执行。</w:t>
      </w:r>
    </w:p>
    <w:p w14:paraId="0B05F5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乙方在送货时，必须提供每一批货物的出厂化验报告，要求必须签字盖章。无出厂化验报告，禁止过磅。</w:t>
      </w:r>
    </w:p>
    <w:p w14:paraId="364401D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087A75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（3）不予收货：乙方货物经甲方分析检测室检验确认本车次产品不合格。</w:t>
      </w:r>
    </w:p>
    <w:p w14:paraId="1A4A43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2D0D2E41">
      <w:pPr>
        <w:widowControl w:val="0"/>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color w:val="auto"/>
          <w:kern w:val="2"/>
          <w:sz w:val="22"/>
          <w:szCs w:val="22"/>
          <w:highlight w:val="none"/>
          <w:u w:val="single"/>
        </w:rPr>
        <w:t>甲方有权在合同期内在任一项目不定期安排随机抽检，双方见证取样，由甲方指定检测单位及送检，检测费用由甲方承担。如乙方对甲方指定检测单位的初步检验结果有异议的，或双方代表在验收中不能取得一致意见时，可提请双方认可的国家权威检验部门进行检验，其出具的检验证书是具有法律效力的最终检验结果，对双方都有约束力，检验费由责任方负担。</w:t>
      </w:r>
    </w:p>
    <w:p w14:paraId="34642BB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（5）若甲方在运行生产使用过程中，乙方的产品被甲方上级主管部门检查质量不合格，并对甲方进行做出相关处罚，由此所产生的责任及甲方损失全由乙方承担。</w:t>
      </w:r>
    </w:p>
    <w:p w14:paraId="32C5BB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（6）质保期：乙方提供自货物交付验收合格之日起，至少6个月质保期。</w:t>
      </w:r>
    </w:p>
    <w:p w14:paraId="03C3155F">
      <w:pPr>
        <w:widowControl w:val="0"/>
        <w:adjustRightInd w:val="0"/>
        <w:snapToGrid w:val="0"/>
        <w:spacing w:line="400" w:lineRule="exact"/>
        <w:jc w:val="both"/>
        <w:rPr>
          <w:rFonts w:hint="eastAsia" w:ascii="宋体" w:hAnsi="宋体" w:eastAsia="宋体" w:cs="宋体"/>
          <w:bCs/>
          <w:color w:val="auto"/>
          <w:kern w:val="2"/>
          <w:sz w:val="22"/>
          <w:szCs w:val="22"/>
          <w:highlight w:val="none"/>
        </w:rPr>
      </w:pPr>
    </w:p>
    <w:p w14:paraId="5806C00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第十条  履约担保及退回</w:t>
      </w:r>
    </w:p>
    <w:p w14:paraId="29946E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1、乙方在签订合同后15个日历天内向甲方提供</w:t>
      </w:r>
      <w:r>
        <w:rPr>
          <w:rFonts w:hint="eastAsia" w:ascii="宋体" w:hAnsi="宋体" w:eastAsia="宋体" w:cs="宋体"/>
          <w:b/>
          <w:bCs/>
          <w:color w:val="auto"/>
          <w:sz w:val="22"/>
          <w:szCs w:val="22"/>
          <w:highlight w:val="none"/>
          <w:u w:val="double"/>
        </w:rPr>
        <w:t>人民币      整（¥       ）</w:t>
      </w:r>
      <w:r>
        <w:rPr>
          <w:rFonts w:hint="eastAsia" w:ascii="宋体" w:hAnsi="宋体" w:eastAsia="宋体" w:cs="宋体"/>
          <w:color w:val="auto"/>
          <w:kern w:val="2"/>
          <w:sz w:val="22"/>
          <w:szCs w:val="22"/>
          <w:highlight w:val="none"/>
        </w:rPr>
        <w:t>履约保证金证(银行转账或银行见索即付保函形式)。乙方以银行保函方式提交履约担保并且保函规定了有效期的，乙方应当在保函有效期届满前一个月向甲方提交续期保函。作为甲方对乙方合约履行的保证，如乙方违约（具体参考本合同第十四条及其他条款的约定），甲方则有权从该履约保证金中扣除。</w:t>
      </w:r>
    </w:p>
    <w:p w14:paraId="23C576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09C0488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56C6405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依照本合同约定全面履行义务，并经甲方书面同意后，履约担保在完成本合同全部义务且质保期（如有）满后二十八天内无息退还，履约保函过期失效。乙方在履约保证期满后须提交退款申请，否则甲方有权延期退款。</w:t>
      </w:r>
    </w:p>
    <w:p w14:paraId="756AD7D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p w14:paraId="59FE1E9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6E5F30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1D5773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55857DF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2347BFF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5D9CCFFA">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第十一条 付款方式及付款条件</w:t>
      </w:r>
    </w:p>
    <w:p w14:paraId="6F92A72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1、本合同项下确定的合同总价由甲方向乙方按月结方式支付：</w:t>
      </w:r>
    </w:p>
    <w:p w14:paraId="174F31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1F1AFD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774DAD5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7865C8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7420A4C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67CAF6D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4123572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32D5D9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1E856DA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476039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7FB7D4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386491F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6892A6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0F0875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4A565D0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1DC6FED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1829D48E">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A6BFCB">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第十二条  不可抗力</w:t>
      </w:r>
    </w:p>
    <w:p w14:paraId="71A6C1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5C0553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7日内特快专递邮寄相关的主管部门签发的证明文件,以便其他各方审查、确认。</w:t>
      </w:r>
    </w:p>
    <w:p w14:paraId="413DA2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发生不可抗力事件终止或消除后7日内特快专递邮寄相关的主管部门签发的证明文件确认不可抗力事件的终止或消除。</w:t>
      </w:r>
    </w:p>
    <w:p w14:paraId="0B5E83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4、如果不可抗力的影响持续超过3个月，受不可抗力影响的一方应与对方取得联系，以便解决进一步履行合同的问题。</w:t>
      </w:r>
    </w:p>
    <w:p w14:paraId="10D5C2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5、乙方应考虑因不可抗力或安全事故等突发因素导致甲方项目延期或停产而不能完成年度采购计划总量的情况，并自行承担风险。</w:t>
      </w:r>
    </w:p>
    <w:p w14:paraId="7FB0912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C987C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第十三条  合同的变更和解除</w:t>
      </w:r>
    </w:p>
    <w:p w14:paraId="1864878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04DC1D9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1DCBA2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5123226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48A31123">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第十四条  违约责任</w:t>
      </w:r>
    </w:p>
    <w:p w14:paraId="4591C52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5E50CB0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116667E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1D82B2A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每车次货物甲方实验室初步检验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车次货款不予结算，且乙方须向甲方支付当月货款的2%作为违约金；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7F11F7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3B7F23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4D808EA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 两 日内补足货物数量，如在甲方通知的期限内，乙方未能进行更换或补足，则乙方应承担本合同第十四条第1款逾期交货的违约责任。同时甲方有权要求乙方赔偿因其不完全履约而造成的损失。</w:t>
      </w:r>
    </w:p>
    <w:p w14:paraId="5A6897E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7、乙方擅自解除合同或者因乙方违约造成甲方解除合同的，乙方应当向甲方支付本合同总金额（计划供货量*中标单价）2%的违约金并且赔偿甲方全部损失，同时甲方没收乙方的履约保证金。</w:t>
      </w:r>
    </w:p>
    <w:p w14:paraId="34A0891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02E0EAC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6C0C5A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51D5969C">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7868C0B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第十五条  法律适用及争议解决</w:t>
      </w:r>
    </w:p>
    <w:p w14:paraId="28D1AA1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1FCAEFC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47F8F1E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0A49E79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第十六条  合同生效及其他</w:t>
      </w:r>
    </w:p>
    <w:p w14:paraId="23691C0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7AB82D3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7D97A80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3D053EF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7FF1252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331FBD21">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__合同签订时补充_以及技术协议书、用户需求书、设备规格书、采购文件、</w:t>
      </w:r>
      <w:r>
        <w:rPr>
          <w:rFonts w:hint="eastAsia" w:ascii="宋体" w:hAnsi="宋体" w:cs="宋体"/>
          <w:color w:val="auto"/>
          <w:kern w:val="2"/>
          <w:sz w:val="22"/>
          <w:szCs w:val="22"/>
          <w:highlight w:val="none"/>
          <w:u w:val="single"/>
          <w:lang w:eastAsia="zh-CN"/>
        </w:rPr>
        <w:t>响应文件</w:t>
      </w:r>
      <w:r>
        <w:rPr>
          <w:rFonts w:hint="eastAsia" w:ascii="宋体" w:hAnsi="宋体" w:eastAsia="宋体" w:cs="宋体"/>
          <w:color w:val="auto"/>
          <w:kern w:val="2"/>
          <w:sz w:val="22"/>
          <w:szCs w:val="22"/>
          <w:highlight w:val="none"/>
          <w:u w:val="single"/>
        </w:rPr>
        <w:t>（如有）等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04C2E844">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份，甲方执_</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_份，乙方执_二_份，具有同等法律效力。</w:t>
      </w:r>
    </w:p>
    <w:p w14:paraId="02A61859">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55F84CBA">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9、本合同自双方签字并盖章之日起生效，合同有效期自生效之日起至至达到供货量止。</w:t>
      </w:r>
    </w:p>
    <w:p w14:paraId="00B9116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w:t>
      </w:r>
      <w:r>
        <w:rPr>
          <w:rFonts w:hint="eastAsia" w:ascii="宋体" w:hAnsi="宋体" w:eastAsia="宋体" w:cs="宋体"/>
          <w:color w:val="auto"/>
          <w:kern w:val="2"/>
          <w:sz w:val="22"/>
          <w:szCs w:val="22"/>
          <w:highlight w:val="none"/>
          <w:u w:val="single"/>
        </w:rPr>
        <w:t>无</w:t>
      </w:r>
      <w:r>
        <w:rPr>
          <w:rFonts w:hint="eastAsia" w:ascii="宋体" w:hAnsi="宋体" w:eastAsia="宋体" w:cs="宋体"/>
          <w:color w:val="auto"/>
          <w:kern w:val="2"/>
          <w:sz w:val="22"/>
          <w:szCs w:val="22"/>
          <w:highlight w:val="none"/>
        </w:rPr>
        <w:t>。</w:t>
      </w:r>
    </w:p>
    <w:p w14:paraId="4DF65511">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p>
    <w:p w14:paraId="1C215FAA">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r>
        <w:rPr>
          <w:rFonts w:hint="eastAsia" w:ascii="宋体" w:hAnsi="宋体" w:eastAsia="宋体" w:cs="宋体"/>
          <w:b/>
          <w:bCs/>
          <w:snapToGrid w:val="0"/>
          <w:color w:val="auto"/>
          <w:kern w:val="2"/>
          <w:sz w:val="22"/>
          <w:szCs w:val="22"/>
          <w:highlight w:val="none"/>
        </w:rPr>
        <w:t>第十七条  附件</w:t>
      </w:r>
    </w:p>
    <w:p w14:paraId="5BC501F8">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w:t>
      </w:r>
      <w:r>
        <w:rPr>
          <w:rFonts w:hint="eastAsia" w:ascii="宋体" w:hAnsi="宋体" w:cs="宋体"/>
          <w:color w:val="auto"/>
          <w:kern w:val="2"/>
          <w:sz w:val="22"/>
          <w:szCs w:val="22"/>
          <w:highlight w:val="none"/>
          <w:lang w:val="en-US" w:eastAsia="zh-CN"/>
        </w:rPr>
        <w:t>用户</w:t>
      </w:r>
      <w:r>
        <w:rPr>
          <w:rFonts w:hint="eastAsia" w:ascii="宋体" w:hAnsi="宋体" w:eastAsia="宋体" w:cs="宋体"/>
          <w:color w:val="auto"/>
          <w:kern w:val="2"/>
          <w:sz w:val="22"/>
          <w:szCs w:val="22"/>
          <w:highlight w:val="none"/>
        </w:rPr>
        <w:t>需求书</w:t>
      </w:r>
    </w:p>
    <w:p w14:paraId="04184ED5">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附件二、阳光协议</w:t>
      </w:r>
    </w:p>
    <w:p w14:paraId="2053756E">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19B81B48">
      <w:pPr>
        <w:pStyle w:val="2"/>
        <w:rPr>
          <w:rFonts w:hint="eastAsia"/>
        </w:rPr>
      </w:pPr>
    </w:p>
    <w:p w14:paraId="07F3A517">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1E00F368">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06D4404">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1A3DBD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甲方：                  </w:t>
      </w:r>
      <w:r>
        <w:rPr>
          <w:rFonts w:hint="eastAsia" w:ascii="宋体" w:hAnsi="宋体" w:cs="宋体"/>
          <w:b/>
          <w:color w:val="auto"/>
          <w:kern w:val="2"/>
          <w:sz w:val="22"/>
          <w:szCs w:val="22"/>
          <w:highlight w:val="none"/>
          <w:lang w:val="en-US" w:eastAsia="zh-CN"/>
        </w:rPr>
        <w:t xml:space="preserve">                     </w:t>
      </w:r>
      <w:r>
        <w:rPr>
          <w:rFonts w:hint="eastAsia" w:ascii="宋体" w:hAnsi="宋体" w:eastAsia="宋体" w:cs="宋体"/>
          <w:b/>
          <w:color w:val="auto"/>
          <w:kern w:val="2"/>
          <w:sz w:val="22"/>
          <w:szCs w:val="22"/>
          <w:highlight w:val="none"/>
        </w:rPr>
        <w:t>乙方：</w:t>
      </w:r>
    </w:p>
    <w:p w14:paraId="404F76DA">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7AEEDC5C">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63F2C64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1AE39151">
      <w:pPr>
        <w:widowControl w:val="0"/>
        <w:adjustRightInd/>
        <w:snapToGrid/>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1CA9A5DC">
      <w:pPr>
        <w:widowControl w:val="0"/>
        <w:adjustRightInd/>
        <w:snapToGrid/>
        <w:spacing w:line="24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4"/>
          <w:highlight w:val="none"/>
        </w:rPr>
        <w:t>附件二：</w:t>
      </w:r>
    </w:p>
    <w:p w14:paraId="17D9BD54">
      <w:pPr>
        <w:spacing w:line="360" w:lineRule="auto"/>
        <w:jc w:val="center"/>
        <w:rPr>
          <w:rFonts w:eastAsia="方正小标宋简体"/>
          <w:b/>
          <w:color w:val="000000"/>
          <w:sz w:val="44"/>
          <w:szCs w:val="44"/>
          <w:highlight w:val="none"/>
        </w:rPr>
      </w:pPr>
      <w:bookmarkStart w:id="36" w:name="_Toc23645_WPSOffice_Level1"/>
      <w:r>
        <w:rPr>
          <w:rFonts w:hint="eastAsia" w:eastAsia="方正小标宋简体"/>
          <w:b/>
          <w:color w:val="000000"/>
          <w:sz w:val="44"/>
          <w:szCs w:val="44"/>
          <w:highlight w:val="none"/>
        </w:rPr>
        <w:t>阳光合作协议</w:t>
      </w:r>
      <w:bookmarkEnd w:id="36"/>
    </w:p>
    <w:p w14:paraId="36B8B901">
      <w:pPr>
        <w:spacing w:line="360" w:lineRule="auto"/>
        <w:rPr>
          <w:b/>
          <w:color w:val="000000"/>
          <w:sz w:val="28"/>
          <w:szCs w:val="28"/>
          <w:highlight w:val="none"/>
        </w:rPr>
      </w:pPr>
    </w:p>
    <w:p w14:paraId="7D0AB04C">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2225A37D">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09440902">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6</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日签署了东莞市海心沙资源综合利用中心环保热电厂2026年度盐酸及硫酸采购项目合同</w:t>
      </w:r>
      <w:r>
        <w:rPr>
          <w:rFonts w:hint="eastAsia" w:ascii="宋体" w:hAnsi="宋体"/>
          <w:color w:val="auto"/>
          <w:highlight w:val="none"/>
        </w:rPr>
        <w:t>，为加强双方阳光合作，保证职员职业安全，甲乙双方经协商签订本协议并作为双方共同遵守的阳光合作行为准则。</w:t>
      </w:r>
    </w:p>
    <w:p w14:paraId="6F88714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31FC9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5DF2335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9260B9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92FE22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B51CB8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3F07EF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3089FD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21A56F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12FA65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DE8262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7384423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098007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0B8CAC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584F113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575D5D1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1DED81C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066D1E3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207CB72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993863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133BB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03ED720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09A73E6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7FB54CC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50399A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Ansi="宋体"/>
          <w:highlight w:val="none"/>
        </w:rPr>
        <w:t>法定代表人（授权代表）：</w:t>
      </w:r>
    </w:p>
    <w:p w14:paraId="3E2022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6515AF28">
      <w:pPr>
        <w:pStyle w:val="6"/>
        <w:ind w:firstLine="420" w:firstLineChars="200"/>
        <w:rPr>
          <w:rFonts w:hint="eastAsia" w:ascii="宋体" w:hAnsi="宋体"/>
          <w:highlight w:val="none"/>
        </w:rPr>
      </w:pP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bookmarkStart w:id="37" w:name="现场签证通知单"/>
      <w:bookmarkEnd w:id="37"/>
      <w:bookmarkStart w:id="38" w:name="设计变更通知单"/>
      <w:bookmarkEnd w:id="38"/>
      <w:r>
        <w:rPr>
          <w:highlight w:val="none"/>
        </w:rPr>
        <w:tab/>
      </w:r>
      <w:r>
        <w:rPr>
          <w:highlight w:val="none"/>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p>
    <w:p w14:paraId="1858CA2E">
      <w:pPr>
        <w:pStyle w:val="7"/>
        <w:rPr>
          <w:rFonts w:hint="eastAsia" w:ascii="宋体" w:hAnsi="宋体"/>
          <w:highlight w:val="none"/>
        </w:rPr>
      </w:pPr>
    </w:p>
    <w:p w14:paraId="3F9320FC">
      <w:pPr>
        <w:pStyle w:val="7"/>
        <w:rPr>
          <w:rFonts w:hint="eastAsia" w:ascii="宋体" w:hAnsi="宋体"/>
          <w:highlight w:val="none"/>
        </w:rPr>
      </w:pPr>
    </w:p>
    <w:p w14:paraId="51165497">
      <w:pPr>
        <w:pStyle w:val="7"/>
        <w:rPr>
          <w:rFonts w:hint="eastAsia" w:ascii="宋体" w:hAnsi="宋体"/>
          <w:highlight w:val="none"/>
        </w:rPr>
      </w:pPr>
    </w:p>
    <w:p w14:paraId="350E9700">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东莞市海心沙资源综合利用中心环保热电厂2026年度盐酸及硫酸</w:t>
      </w:r>
      <w:r>
        <w:rPr>
          <w:rFonts w:hint="eastAsia" w:ascii="仿宋" w:hAnsi="仿宋" w:eastAsia="仿宋"/>
          <w:b/>
          <w:bCs/>
          <w:sz w:val="28"/>
          <w:szCs w:val="44"/>
          <w:highlight w:val="none"/>
          <w:lang w:val="en-US" w:eastAsia="zh-CN"/>
        </w:rPr>
        <w:t>采购项目</w:t>
      </w:r>
      <w:r>
        <w:rPr>
          <w:rFonts w:hint="eastAsia" w:ascii="仿宋" w:hAnsi="仿宋" w:eastAsia="仿宋"/>
          <w:b/>
          <w:bCs/>
          <w:sz w:val="28"/>
          <w:szCs w:val="44"/>
          <w:highlight w:val="none"/>
        </w:rPr>
        <w:t>用户需求书</w:t>
      </w:r>
    </w:p>
    <w:p w14:paraId="28794BFF">
      <w:pPr>
        <w:spacing w:line="360" w:lineRule="auto"/>
        <w:rPr>
          <w:rFonts w:hint="eastAsia" w:ascii="宋体" w:hAnsi="宋体" w:cs="宋体"/>
          <w:b/>
          <w:szCs w:val="21"/>
        </w:rPr>
      </w:pPr>
      <w:r>
        <w:rPr>
          <w:rFonts w:hint="eastAsia" w:ascii="宋体" w:hAnsi="宋体" w:cs="宋体"/>
          <w:b/>
          <w:szCs w:val="21"/>
        </w:rPr>
        <w:t>一、项目概况：</w:t>
      </w:r>
    </w:p>
    <w:p w14:paraId="50654F7A">
      <w:pPr>
        <w:spacing w:line="360" w:lineRule="auto"/>
        <w:ind w:firstLine="420" w:firstLineChars="200"/>
        <w:rPr>
          <w:rFonts w:hint="eastAsia" w:ascii="宋体" w:hAnsi="宋体" w:cs="宋体"/>
          <w:szCs w:val="21"/>
        </w:rPr>
      </w:pPr>
      <w:r>
        <w:rPr>
          <w:rFonts w:hint="eastAsia" w:ascii="宋体" w:hAnsi="宋体" w:cs="宋体"/>
          <w:szCs w:val="21"/>
        </w:rPr>
        <w:t>1、为保障东莞市海心沙资源综合利用中心环保热电厂正常生产运营，东莞市新东元环保投资有限公司采购1家供应商作为盐酸及硫酸供货商。采购人根据项目需求及实际情况通知</w:t>
      </w:r>
      <w:r>
        <w:rPr>
          <w:rFonts w:hint="eastAsia" w:ascii="宋体" w:hAnsi="宋体" w:cs="宋体"/>
          <w:szCs w:val="21"/>
          <w:lang w:eastAsia="zh-CN"/>
        </w:rPr>
        <w:t>成交人</w:t>
      </w:r>
      <w:r>
        <w:rPr>
          <w:rFonts w:hint="eastAsia" w:ascii="宋体" w:hAnsi="宋体" w:cs="宋体"/>
          <w:szCs w:val="21"/>
        </w:rPr>
        <w:t>随时供货，每车次具体供货数量按采购人供货通知为准，</w:t>
      </w:r>
      <w:r>
        <w:rPr>
          <w:rFonts w:hint="eastAsia" w:ascii="宋体" w:hAnsi="宋体" w:cs="宋体"/>
          <w:szCs w:val="21"/>
          <w:lang w:eastAsia="zh-CN"/>
        </w:rPr>
        <w:t>成交人</w:t>
      </w:r>
      <w:r>
        <w:rPr>
          <w:rFonts w:hint="eastAsia" w:ascii="宋体" w:hAnsi="宋体" w:cs="宋体"/>
          <w:szCs w:val="21"/>
        </w:rPr>
        <w:t>在收到采购人通知（以订单形式、短信形式、微信、电子邮件形式均可）送货后2日内交货到厂。</w:t>
      </w:r>
      <w:r>
        <w:rPr>
          <w:rFonts w:hint="eastAsia" w:ascii="宋体" w:hAnsi="宋体" w:cs="宋体"/>
          <w:szCs w:val="21"/>
          <w:lang w:eastAsia="zh-CN"/>
        </w:rPr>
        <w:t>成交人</w:t>
      </w:r>
      <w:r>
        <w:rPr>
          <w:rFonts w:hint="eastAsia" w:ascii="宋体" w:hAnsi="宋体" w:cs="宋体"/>
          <w:szCs w:val="21"/>
        </w:rPr>
        <w:t>应当常备充足的货物，保证采购人无论每批要求供货的数量多少，均可以随时满足供货需求。紧急供货：如采购人的任一项目因突发状况要求紧急供货，</w:t>
      </w:r>
      <w:r>
        <w:rPr>
          <w:rFonts w:hint="eastAsia" w:ascii="宋体" w:hAnsi="宋体" w:cs="宋体"/>
          <w:szCs w:val="21"/>
          <w:lang w:eastAsia="zh-CN"/>
        </w:rPr>
        <w:t>成交人</w:t>
      </w:r>
      <w:r>
        <w:rPr>
          <w:rFonts w:hint="eastAsia" w:ascii="宋体" w:hAnsi="宋体" w:cs="宋体"/>
          <w:szCs w:val="21"/>
        </w:rPr>
        <w:t>应在收到采购人通知后根据采购人订单或电子邮件、短信等要求在10个小时内交货到厂。如不能在约定时间交货到厂，则承担逾期交货相关责任。在采购人的计划采购数量供应完毕后，合同期内采购人有权要求</w:t>
      </w:r>
      <w:r>
        <w:rPr>
          <w:rFonts w:hint="eastAsia" w:ascii="宋体" w:hAnsi="宋体" w:cs="宋体"/>
          <w:szCs w:val="21"/>
          <w:lang w:eastAsia="zh-CN"/>
        </w:rPr>
        <w:t>成交人</w:t>
      </w:r>
      <w:r>
        <w:rPr>
          <w:rFonts w:hint="eastAsia" w:ascii="宋体" w:hAnsi="宋体" w:cs="宋体"/>
          <w:szCs w:val="21"/>
        </w:rPr>
        <w:t>继续供货，</w:t>
      </w:r>
      <w:r>
        <w:rPr>
          <w:rFonts w:hint="eastAsia" w:ascii="宋体" w:hAnsi="宋体" w:cs="宋体"/>
          <w:szCs w:val="21"/>
          <w:lang w:eastAsia="zh-CN"/>
        </w:rPr>
        <w:t>成交人</w:t>
      </w:r>
      <w:r>
        <w:rPr>
          <w:rFonts w:hint="eastAsia" w:ascii="宋体" w:hAnsi="宋体" w:cs="宋体"/>
          <w:szCs w:val="21"/>
        </w:rPr>
        <w:t>不得提出任何异议，也不得要求采购人调整价格、支付任何赔偿或补偿。</w:t>
      </w:r>
      <w:r>
        <w:rPr>
          <w:rFonts w:hint="eastAsia" w:ascii="宋体" w:hAnsi="宋体" w:cs="宋体"/>
          <w:szCs w:val="21"/>
          <w:lang w:eastAsia="zh-CN"/>
        </w:rPr>
        <w:t>成交人</w:t>
      </w:r>
      <w:r>
        <w:rPr>
          <w:rFonts w:hint="eastAsia" w:ascii="宋体" w:hAnsi="宋体" w:cs="宋体"/>
          <w:szCs w:val="21"/>
        </w:rPr>
        <w:t>须自行考虑并承担由此引起的相关风险。</w:t>
      </w:r>
    </w:p>
    <w:p w14:paraId="59A6CCFE">
      <w:pPr>
        <w:spacing w:line="360" w:lineRule="auto"/>
        <w:ind w:firstLine="420" w:firstLineChars="200"/>
        <w:rPr>
          <w:rFonts w:hint="eastAsia" w:ascii="宋体" w:hAnsi="宋体" w:cs="宋体"/>
          <w:b/>
          <w:szCs w:val="21"/>
        </w:rPr>
      </w:pPr>
      <w:r>
        <w:rPr>
          <w:rFonts w:hint="eastAsia" w:ascii="宋体" w:hAnsi="宋体" w:cs="宋体"/>
          <w:szCs w:val="21"/>
        </w:rPr>
        <w:t>2、本技术需求书所提出的是最低限度的技术要求，并未对一切技术细节作出规定，也未充分引述有关标准和规范的条文。本技术需求书所使用的标准，如遇与</w:t>
      </w:r>
      <w:r>
        <w:rPr>
          <w:rFonts w:hint="eastAsia" w:ascii="宋体" w:hAnsi="宋体" w:cs="宋体"/>
          <w:szCs w:val="21"/>
          <w:lang w:eastAsia="zh-CN"/>
        </w:rPr>
        <w:t>成交人</w:t>
      </w:r>
      <w:r>
        <w:rPr>
          <w:rFonts w:hint="eastAsia" w:ascii="宋体" w:hAnsi="宋体" w:cs="宋体"/>
          <w:szCs w:val="21"/>
        </w:rPr>
        <w:t>所执行的标准不一致时，按较高的标准执行。如果本技术协议与现行使用的有关国家标准以及部颁标准有明显抵触的条文，</w:t>
      </w:r>
      <w:r>
        <w:rPr>
          <w:rFonts w:hint="eastAsia" w:ascii="宋体" w:hAnsi="宋体" w:cs="宋体"/>
          <w:szCs w:val="21"/>
          <w:lang w:eastAsia="zh-CN"/>
        </w:rPr>
        <w:t>成交人</w:t>
      </w:r>
      <w:r>
        <w:rPr>
          <w:rFonts w:hint="eastAsia" w:ascii="宋体" w:hAnsi="宋体" w:cs="宋体"/>
          <w:szCs w:val="21"/>
        </w:rPr>
        <w:t>应按较高的标准执行。</w:t>
      </w:r>
    </w:p>
    <w:p w14:paraId="6F1305A9">
      <w:pPr>
        <w:numPr>
          <w:ilvl w:val="0"/>
          <w:numId w:val="3"/>
        </w:numPr>
        <w:spacing w:line="360" w:lineRule="auto"/>
        <w:rPr>
          <w:rFonts w:hint="eastAsia" w:ascii="宋体" w:hAnsi="宋体" w:cs="宋体"/>
          <w:b/>
          <w:szCs w:val="21"/>
        </w:rPr>
      </w:pPr>
      <w:r>
        <w:rPr>
          <w:rFonts w:hint="eastAsia" w:ascii="宋体" w:hAnsi="宋体" w:cs="宋体"/>
          <w:b/>
          <w:szCs w:val="21"/>
        </w:rPr>
        <w:t>供货期限：</w:t>
      </w:r>
    </w:p>
    <w:tbl>
      <w:tblPr>
        <w:tblStyle w:val="16"/>
        <w:tblW w:w="4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5303"/>
      </w:tblGrid>
      <w:tr w14:paraId="58A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pct"/>
            <w:vAlign w:val="center"/>
          </w:tcPr>
          <w:p w14:paraId="2244474D">
            <w:pPr>
              <w:spacing w:line="360" w:lineRule="auto"/>
              <w:jc w:val="center"/>
              <w:rPr>
                <w:rFonts w:hint="eastAsia" w:ascii="宋体" w:hAnsi="宋体" w:cs="宋体"/>
                <w:b/>
                <w:bCs/>
                <w:szCs w:val="21"/>
              </w:rPr>
            </w:pPr>
            <w:r>
              <w:rPr>
                <w:rFonts w:hint="eastAsia" w:ascii="宋体" w:hAnsi="宋体" w:cs="宋体"/>
                <w:b/>
                <w:bCs/>
                <w:szCs w:val="21"/>
              </w:rPr>
              <w:t>货物内容</w:t>
            </w:r>
          </w:p>
        </w:tc>
        <w:tc>
          <w:tcPr>
            <w:tcW w:w="3445" w:type="pct"/>
            <w:vAlign w:val="center"/>
          </w:tcPr>
          <w:p w14:paraId="307020F4">
            <w:pPr>
              <w:spacing w:line="360" w:lineRule="auto"/>
              <w:jc w:val="center"/>
              <w:rPr>
                <w:rFonts w:hint="eastAsia" w:ascii="宋体" w:hAnsi="宋体" w:cs="宋体"/>
                <w:b/>
                <w:bCs/>
                <w:szCs w:val="21"/>
              </w:rPr>
            </w:pPr>
            <w:r>
              <w:rPr>
                <w:rFonts w:hint="eastAsia" w:ascii="宋体" w:hAnsi="宋体" w:cs="宋体"/>
                <w:b/>
                <w:bCs/>
                <w:szCs w:val="21"/>
              </w:rPr>
              <w:t>供货期限</w:t>
            </w:r>
          </w:p>
        </w:tc>
      </w:tr>
      <w:tr w14:paraId="1BA6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pct"/>
            <w:vAlign w:val="center"/>
          </w:tcPr>
          <w:p w14:paraId="165C1221">
            <w:pPr>
              <w:spacing w:line="360" w:lineRule="auto"/>
              <w:jc w:val="center"/>
              <w:rPr>
                <w:rFonts w:hint="eastAsia" w:ascii="宋体" w:hAnsi="宋体" w:cs="宋体"/>
                <w:sz w:val="22"/>
              </w:rPr>
            </w:pPr>
            <w:r>
              <w:rPr>
                <w:rFonts w:hint="eastAsia" w:ascii="宋体" w:hAnsi="宋体" w:cs="宋体"/>
                <w:sz w:val="22"/>
              </w:rPr>
              <w:t>盐酸及硫酸</w:t>
            </w:r>
          </w:p>
        </w:tc>
        <w:tc>
          <w:tcPr>
            <w:tcW w:w="3445" w:type="pct"/>
            <w:vAlign w:val="center"/>
          </w:tcPr>
          <w:p w14:paraId="3EEA235C">
            <w:pPr>
              <w:spacing w:line="360" w:lineRule="auto"/>
              <w:jc w:val="center"/>
              <w:rPr>
                <w:rFonts w:hint="eastAsia" w:ascii="宋体" w:hAnsi="宋体" w:eastAsia="宋体" w:cs="宋体"/>
                <w:sz w:val="22"/>
                <w:lang w:eastAsia="zh-CN"/>
              </w:rPr>
            </w:pPr>
            <w:r>
              <w:rPr>
                <w:rFonts w:hint="eastAsia" w:ascii="宋体" w:hAnsi="宋体" w:cs="宋体"/>
                <w:sz w:val="22"/>
                <w:lang w:val="en-US" w:eastAsia="zh-CN"/>
              </w:rPr>
              <w:t>一年</w:t>
            </w:r>
          </w:p>
        </w:tc>
      </w:tr>
    </w:tbl>
    <w:p w14:paraId="19B898BB">
      <w:pPr>
        <w:numPr>
          <w:ilvl w:val="0"/>
          <w:numId w:val="3"/>
        </w:numPr>
        <w:spacing w:before="156" w:beforeLines="50" w:line="360" w:lineRule="auto"/>
        <w:rPr>
          <w:rFonts w:hint="eastAsia" w:ascii="宋体" w:hAnsi="宋体" w:cs="宋体"/>
          <w:bCs/>
          <w:szCs w:val="21"/>
        </w:rPr>
      </w:pPr>
      <w:r>
        <w:rPr>
          <w:rFonts w:hint="eastAsia" w:ascii="宋体" w:hAnsi="宋体" w:cs="宋体"/>
          <w:b/>
          <w:szCs w:val="21"/>
        </w:rPr>
        <w:t>交货地点：</w:t>
      </w:r>
      <w:r>
        <w:rPr>
          <w:rFonts w:hint="eastAsia" w:ascii="宋体" w:hAnsi="宋体" w:cs="宋体"/>
          <w:bCs/>
          <w:szCs w:val="21"/>
        </w:rPr>
        <w:t>东莞市海心沙资源综合利用中心环保热电厂指定地点。</w:t>
      </w:r>
    </w:p>
    <w:p w14:paraId="59C80484">
      <w:pPr>
        <w:pStyle w:val="6"/>
        <w:spacing w:line="360" w:lineRule="auto"/>
        <w:rPr>
          <w:rFonts w:hint="eastAsia" w:ascii="宋体" w:hAnsi="宋体" w:cs="宋体"/>
          <w:bCs/>
          <w:szCs w:val="21"/>
        </w:rPr>
      </w:pPr>
      <w:r>
        <w:rPr>
          <w:rFonts w:hint="eastAsia" w:ascii="宋体" w:hAnsi="宋体" w:cs="宋体"/>
          <w:b/>
          <w:szCs w:val="21"/>
        </w:rPr>
        <w:t>四、质保期：</w:t>
      </w:r>
      <w:r>
        <w:rPr>
          <w:rFonts w:hint="eastAsia" w:ascii="宋体" w:hAnsi="宋体" w:cs="宋体"/>
          <w:bCs/>
          <w:szCs w:val="21"/>
          <w:lang w:eastAsia="zh-CN"/>
        </w:rPr>
        <w:t>成交人</w:t>
      </w:r>
      <w:r>
        <w:rPr>
          <w:rFonts w:hint="eastAsia" w:ascii="宋体" w:hAnsi="宋体" w:cs="宋体"/>
          <w:bCs/>
          <w:szCs w:val="21"/>
        </w:rPr>
        <w:t>提供自货物交付验收合格之日起，至少6个月质保期。</w:t>
      </w:r>
    </w:p>
    <w:p w14:paraId="696219D6">
      <w:pPr>
        <w:spacing w:line="360" w:lineRule="auto"/>
        <w:rPr>
          <w:rFonts w:hint="eastAsia" w:ascii="宋体" w:hAnsi="宋体" w:cs="宋体"/>
          <w:b/>
          <w:szCs w:val="21"/>
        </w:rPr>
      </w:pPr>
      <w:r>
        <w:rPr>
          <w:rFonts w:hint="eastAsia" w:ascii="宋体" w:hAnsi="宋体" w:cs="宋体"/>
          <w:b/>
          <w:szCs w:val="21"/>
        </w:rPr>
        <w:t>五、付款</w:t>
      </w:r>
      <w:r>
        <w:rPr>
          <w:rFonts w:ascii="宋体" w:hAnsi="宋体" w:cs="宋体"/>
          <w:b/>
          <w:szCs w:val="21"/>
        </w:rPr>
        <w:t>方式</w:t>
      </w:r>
    </w:p>
    <w:p w14:paraId="40D69BE1">
      <w:pPr>
        <w:pStyle w:val="6"/>
        <w:spacing w:line="360" w:lineRule="auto"/>
        <w:ind w:firstLine="420" w:firstLineChars="200"/>
        <w:rPr>
          <w:rFonts w:hint="eastAsia" w:ascii="宋体" w:hAnsi="宋体"/>
        </w:rPr>
      </w:pPr>
      <w:r>
        <w:rPr>
          <w:rFonts w:hint="eastAsia" w:ascii="宋体" w:hAnsi="宋体"/>
        </w:rPr>
        <w:t>1、按月结方式支付，每自然月结束后，</w:t>
      </w:r>
      <w:r>
        <w:rPr>
          <w:rFonts w:hint="eastAsia" w:ascii="宋体" w:hAnsi="宋体"/>
          <w:lang w:eastAsia="zh-CN"/>
        </w:rPr>
        <w:t>成交人</w:t>
      </w:r>
      <w:r>
        <w:rPr>
          <w:rFonts w:hint="eastAsia" w:ascii="宋体" w:hAnsi="宋体"/>
        </w:rPr>
        <w:t>向采购人申请结算上月货物货款。结算数量按上月</w:t>
      </w:r>
      <w:r>
        <w:rPr>
          <w:rFonts w:hint="eastAsia" w:ascii="宋体" w:hAnsi="宋体"/>
          <w:lang w:eastAsia="zh-CN"/>
        </w:rPr>
        <w:t>成交人</w:t>
      </w:r>
      <w:r>
        <w:rPr>
          <w:rFonts w:hint="eastAsia" w:ascii="宋体" w:hAnsi="宋体"/>
        </w:rPr>
        <w:t>标的货物经采购人验收合格的数量（对质量有争议的部分暂时不予结算支付），并且在采购人收到</w:t>
      </w:r>
      <w:r>
        <w:rPr>
          <w:rFonts w:hint="eastAsia" w:ascii="宋体" w:hAnsi="宋体"/>
          <w:lang w:eastAsia="zh-CN"/>
        </w:rPr>
        <w:t>成交人</w:t>
      </w:r>
      <w:r>
        <w:rPr>
          <w:rFonts w:hint="eastAsia" w:ascii="宋体" w:hAnsi="宋体"/>
        </w:rPr>
        <w:t>交付的以下资料后三十个工作日内以电汇/转账方式向</w:t>
      </w:r>
      <w:r>
        <w:rPr>
          <w:rFonts w:hint="eastAsia" w:ascii="宋体" w:hAnsi="宋体"/>
          <w:lang w:eastAsia="zh-CN"/>
        </w:rPr>
        <w:t>成交人</w:t>
      </w:r>
      <w:r>
        <w:rPr>
          <w:rFonts w:hint="eastAsia" w:ascii="宋体" w:hAnsi="宋体"/>
        </w:rPr>
        <w:t>支付：</w:t>
      </w:r>
    </w:p>
    <w:p w14:paraId="4840FB6D">
      <w:pPr>
        <w:pStyle w:val="6"/>
        <w:spacing w:line="360" w:lineRule="auto"/>
        <w:ind w:firstLine="424" w:firstLineChars="202"/>
        <w:rPr>
          <w:rFonts w:hint="eastAsia" w:ascii="宋体" w:hAnsi="宋体"/>
        </w:rPr>
      </w:pPr>
      <w:r>
        <w:rPr>
          <w:rFonts w:hint="eastAsia" w:ascii="宋体" w:hAnsi="宋体"/>
        </w:rPr>
        <w:t>A．（货物的过磅计量清单）标的货物经采购人地磅计量的实际重量；</w:t>
      </w:r>
    </w:p>
    <w:p w14:paraId="2423E529">
      <w:pPr>
        <w:pStyle w:val="6"/>
        <w:spacing w:line="360" w:lineRule="auto"/>
        <w:ind w:firstLine="424" w:firstLineChars="202"/>
        <w:rPr>
          <w:rFonts w:hint="eastAsia" w:ascii="宋体" w:hAnsi="宋体"/>
        </w:rPr>
      </w:pPr>
      <w:r>
        <w:rPr>
          <w:rFonts w:hint="eastAsia" w:ascii="宋体" w:hAnsi="宋体"/>
        </w:rPr>
        <w:t>B．开具金额为该月验收合格货物总价100％的增值税专用发票（在合同履行期间，如遇国家的税率调整，则货款（价税合计）应根据原不含税价和调整后的税率重新计算，相应发票按调整后价格开具）；</w:t>
      </w:r>
    </w:p>
    <w:p w14:paraId="143427A8">
      <w:pPr>
        <w:pStyle w:val="6"/>
        <w:spacing w:line="360" w:lineRule="auto"/>
        <w:ind w:firstLine="424" w:firstLineChars="202"/>
        <w:rPr>
          <w:rFonts w:hint="eastAsia" w:ascii="宋体" w:hAnsi="宋体"/>
        </w:rPr>
      </w:pPr>
      <w:r>
        <w:rPr>
          <w:rFonts w:hint="eastAsia" w:ascii="宋体" w:hAnsi="宋体"/>
        </w:rPr>
        <w:t>C．</w:t>
      </w:r>
      <w:r>
        <w:rPr>
          <w:rFonts w:hint="eastAsia" w:ascii="宋体" w:hAnsi="宋体"/>
          <w:lang w:eastAsia="zh-CN"/>
        </w:rPr>
        <w:t>成交人</w:t>
      </w:r>
      <w:r>
        <w:rPr>
          <w:rFonts w:hint="eastAsia" w:ascii="宋体" w:hAnsi="宋体"/>
        </w:rPr>
        <w:t>向采购人缴纳的履约担保证明资料（首次支付时需要）；</w:t>
      </w:r>
    </w:p>
    <w:p w14:paraId="238CE75F">
      <w:pPr>
        <w:pStyle w:val="6"/>
        <w:spacing w:line="360" w:lineRule="auto"/>
        <w:ind w:firstLine="424" w:firstLineChars="202"/>
        <w:rPr>
          <w:rFonts w:hint="eastAsia" w:ascii="宋体" w:hAnsi="宋体"/>
        </w:rPr>
      </w:pPr>
      <w:r>
        <w:rPr>
          <w:rFonts w:hint="eastAsia" w:ascii="宋体" w:hAnsi="宋体"/>
        </w:rPr>
        <w:t>D．每车次货物采购人实验室初步检验报告及采购人对异议货物要求</w:t>
      </w:r>
      <w:r>
        <w:rPr>
          <w:rFonts w:hint="eastAsia" w:ascii="宋体" w:hAnsi="宋体"/>
          <w:lang w:eastAsia="zh-CN"/>
        </w:rPr>
        <w:t>成交人</w:t>
      </w:r>
      <w:r>
        <w:rPr>
          <w:rFonts w:hint="eastAsia" w:ascii="宋体" w:hAnsi="宋体"/>
        </w:rPr>
        <w:t>委托第三方出具的合格检测报告（如有）；</w:t>
      </w:r>
    </w:p>
    <w:p w14:paraId="7B48250D">
      <w:pPr>
        <w:pStyle w:val="6"/>
        <w:spacing w:line="360" w:lineRule="auto"/>
        <w:ind w:firstLine="424" w:firstLineChars="202"/>
        <w:rPr>
          <w:rFonts w:hint="eastAsia" w:ascii="宋体" w:hAnsi="宋体"/>
        </w:rPr>
      </w:pPr>
      <w:r>
        <w:rPr>
          <w:rFonts w:hint="eastAsia" w:ascii="宋体" w:hAnsi="宋体"/>
        </w:rPr>
        <w:t>E．送货清单（采购人指定收货人签字确认）；</w:t>
      </w:r>
    </w:p>
    <w:p w14:paraId="4BEA3F93">
      <w:pPr>
        <w:pStyle w:val="6"/>
        <w:spacing w:line="360" w:lineRule="auto"/>
        <w:ind w:firstLine="424" w:firstLineChars="202"/>
        <w:rPr>
          <w:rFonts w:hint="eastAsia" w:ascii="宋体" w:hAnsi="宋体"/>
        </w:rPr>
      </w:pPr>
      <w:r>
        <w:rPr>
          <w:rFonts w:hint="eastAsia" w:ascii="宋体" w:hAnsi="宋体"/>
        </w:rPr>
        <w:t>F．每车次货物出厂化验报告；</w:t>
      </w:r>
    </w:p>
    <w:p w14:paraId="343DC9CB">
      <w:pPr>
        <w:pStyle w:val="6"/>
        <w:spacing w:line="360" w:lineRule="auto"/>
        <w:ind w:firstLine="424" w:firstLineChars="202"/>
        <w:rPr>
          <w:rFonts w:hint="eastAsia" w:ascii="宋体" w:hAnsi="宋体"/>
        </w:rPr>
      </w:pPr>
      <w:r>
        <w:rPr>
          <w:rFonts w:hint="eastAsia" w:ascii="宋体" w:hAnsi="宋体"/>
        </w:rPr>
        <w:t>G. 双方盖章确认的月度对账单；</w:t>
      </w:r>
    </w:p>
    <w:p w14:paraId="2EC4A588">
      <w:pPr>
        <w:spacing w:line="360" w:lineRule="auto"/>
        <w:rPr>
          <w:rFonts w:hint="eastAsia" w:ascii="宋体" w:hAnsi="宋体" w:cs="宋体"/>
          <w:b/>
          <w:szCs w:val="21"/>
        </w:rPr>
      </w:pPr>
      <w:r>
        <w:rPr>
          <w:rFonts w:hint="eastAsia" w:ascii="宋体" w:hAnsi="宋体" w:cs="宋体"/>
          <w:b/>
          <w:szCs w:val="21"/>
        </w:rPr>
        <w:t>六</w:t>
      </w:r>
      <w:r>
        <w:rPr>
          <w:rFonts w:ascii="宋体" w:hAnsi="宋体" w:cs="宋体"/>
          <w:b/>
          <w:szCs w:val="21"/>
        </w:rPr>
        <w:t>、</w:t>
      </w:r>
      <w:r>
        <w:rPr>
          <w:rFonts w:hint="eastAsia" w:ascii="宋体" w:hAnsi="宋体" w:cs="宋体"/>
          <w:b/>
          <w:szCs w:val="21"/>
        </w:rPr>
        <w:t>服务质量考核</w:t>
      </w:r>
    </w:p>
    <w:p w14:paraId="490F1F82">
      <w:pPr>
        <w:spacing w:line="360" w:lineRule="auto"/>
        <w:ind w:firstLine="420" w:firstLineChars="200"/>
        <w:jc w:val="left"/>
        <w:rPr>
          <w:rFonts w:hint="eastAsia" w:ascii="宋体" w:hAnsi="宋体" w:cs="宋体"/>
          <w:szCs w:val="21"/>
        </w:rPr>
      </w:pPr>
      <w:r>
        <w:rPr>
          <w:rFonts w:hint="eastAsia" w:ascii="宋体" w:hAnsi="宋体" w:cs="宋体"/>
          <w:szCs w:val="21"/>
        </w:rPr>
        <w:t>1、采购人按《供货考核评分表》（附件）对</w:t>
      </w:r>
      <w:r>
        <w:rPr>
          <w:rFonts w:hint="eastAsia" w:ascii="宋体" w:hAnsi="宋体" w:cs="宋体"/>
          <w:szCs w:val="21"/>
          <w:lang w:eastAsia="zh-CN"/>
        </w:rPr>
        <w:t>成交人</w:t>
      </w:r>
      <w:r>
        <w:rPr>
          <w:rFonts w:hint="eastAsia" w:ascii="宋体" w:hAnsi="宋体" w:cs="宋体"/>
          <w:szCs w:val="21"/>
        </w:rPr>
        <w:t>供货质量、服务情况等进行季度考核。季度考核综合得分≥80分，</w:t>
      </w:r>
      <w:r>
        <w:rPr>
          <w:rFonts w:hint="eastAsia" w:ascii="宋体" w:hAnsi="宋体" w:cs="宋体"/>
          <w:szCs w:val="21"/>
          <w:lang w:eastAsia="zh-CN"/>
        </w:rPr>
        <w:t>成交人</w:t>
      </w:r>
      <w:r>
        <w:rPr>
          <w:rFonts w:hint="eastAsia" w:ascii="宋体" w:hAnsi="宋体" w:cs="宋体"/>
          <w:szCs w:val="21"/>
        </w:rPr>
        <w:t>继续履行合同；季度考核综合得分＜80分，采购人有权解除合同。</w:t>
      </w:r>
    </w:p>
    <w:p w14:paraId="6438948B">
      <w:pPr>
        <w:spacing w:line="360" w:lineRule="auto"/>
        <w:ind w:firstLine="420" w:firstLineChars="200"/>
        <w:jc w:val="left"/>
        <w:rPr>
          <w:rFonts w:hint="eastAsia" w:ascii="宋体" w:hAnsi="宋体" w:cs="宋体"/>
          <w:szCs w:val="21"/>
        </w:rPr>
      </w:pPr>
      <w:r>
        <w:rPr>
          <w:rFonts w:hint="eastAsia" w:ascii="宋体" w:hAnsi="宋体" w:cs="宋体"/>
          <w:szCs w:val="21"/>
        </w:rPr>
        <w:t>2、季度总评考核结果：</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941"/>
        <w:gridCol w:w="3529"/>
      </w:tblGrid>
      <w:tr w14:paraId="22C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69A77BEC">
            <w:pPr>
              <w:spacing w:line="360" w:lineRule="auto"/>
              <w:jc w:val="center"/>
              <w:rPr>
                <w:rFonts w:hint="eastAsia" w:ascii="宋体" w:hAnsi="宋体" w:cs="宋体"/>
                <w:b/>
                <w:bCs/>
                <w:szCs w:val="21"/>
              </w:rPr>
            </w:pPr>
            <w:r>
              <w:rPr>
                <w:rFonts w:hint="eastAsia" w:ascii="宋体" w:hAnsi="宋体" w:cs="宋体"/>
                <w:b/>
                <w:bCs/>
                <w:szCs w:val="21"/>
              </w:rPr>
              <w:t>考核结果</w:t>
            </w:r>
          </w:p>
        </w:tc>
        <w:tc>
          <w:tcPr>
            <w:tcW w:w="1727" w:type="pct"/>
            <w:vAlign w:val="center"/>
          </w:tcPr>
          <w:p w14:paraId="594A0E5C">
            <w:pPr>
              <w:spacing w:line="360" w:lineRule="auto"/>
              <w:jc w:val="center"/>
              <w:rPr>
                <w:rFonts w:hint="eastAsia" w:ascii="宋体" w:hAnsi="宋体" w:cs="宋体"/>
                <w:b/>
                <w:bCs/>
                <w:szCs w:val="21"/>
              </w:rPr>
            </w:pPr>
            <w:r>
              <w:rPr>
                <w:rFonts w:hint="eastAsia" w:ascii="宋体" w:hAnsi="宋体" w:cs="宋体"/>
                <w:b/>
                <w:bCs/>
                <w:szCs w:val="21"/>
              </w:rPr>
              <w:t>分值区间</w:t>
            </w:r>
          </w:p>
        </w:tc>
        <w:tc>
          <w:tcPr>
            <w:tcW w:w="2072" w:type="pct"/>
            <w:vAlign w:val="center"/>
          </w:tcPr>
          <w:p w14:paraId="0915C268">
            <w:pPr>
              <w:spacing w:line="360" w:lineRule="auto"/>
              <w:jc w:val="center"/>
              <w:rPr>
                <w:rFonts w:hint="eastAsia" w:ascii="宋体" w:hAnsi="宋体" w:cs="宋体"/>
                <w:b/>
                <w:bCs/>
                <w:szCs w:val="21"/>
              </w:rPr>
            </w:pPr>
            <w:r>
              <w:rPr>
                <w:rFonts w:hint="eastAsia" w:ascii="宋体" w:hAnsi="宋体" w:cs="宋体"/>
                <w:b/>
                <w:bCs/>
                <w:szCs w:val="21"/>
              </w:rPr>
              <w:t>是否继续执行合同</w:t>
            </w:r>
          </w:p>
        </w:tc>
      </w:tr>
      <w:tr w14:paraId="29C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1734F025">
            <w:pPr>
              <w:spacing w:line="360" w:lineRule="auto"/>
              <w:jc w:val="center"/>
              <w:rPr>
                <w:rFonts w:hint="eastAsia" w:ascii="宋体" w:hAnsi="宋体" w:cs="宋体"/>
                <w:szCs w:val="21"/>
              </w:rPr>
            </w:pPr>
            <w:r>
              <w:rPr>
                <w:rFonts w:hint="eastAsia" w:ascii="宋体" w:hAnsi="宋体" w:cs="宋体"/>
                <w:szCs w:val="21"/>
              </w:rPr>
              <w:t>合格</w:t>
            </w:r>
          </w:p>
        </w:tc>
        <w:tc>
          <w:tcPr>
            <w:tcW w:w="1727" w:type="pct"/>
            <w:vAlign w:val="center"/>
          </w:tcPr>
          <w:p w14:paraId="64ED6AA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0321266B">
            <w:pPr>
              <w:spacing w:line="360" w:lineRule="auto"/>
              <w:jc w:val="center"/>
              <w:rPr>
                <w:rFonts w:hint="eastAsia" w:ascii="宋体" w:hAnsi="宋体" w:cs="宋体"/>
                <w:szCs w:val="21"/>
              </w:rPr>
            </w:pPr>
            <w:r>
              <w:rPr>
                <w:rFonts w:hint="eastAsia" w:ascii="宋体" w:hAnsi="宋体" w:cs="宋体"/>
                <w:szCs w:val="21"/>
              </w:rPr>
              <w:t>继续执行</w:t>
            </w:r>
          </w:p>
        </w:tc>
      </w:tr>
      <w:tr w14:paraId="2C0B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012B22A4">
            <w:pPr>
              <w:spacing w:line="360" w:lineRule="auto"/>
              <w:jc w:val="center"/>
              <w:rPr>
                <w:rFonts w:hint="eastAsia" w:ascii="宋体" w:hAnsi="宋体" w:cs="宋体"/>
                <w:szCs w:val="21"/>
              </w:rPr>
            </w:pPr>
            <w:r>
              <w:rPr>
                <w:rFonts w:hint="eastAsia" w:ascii="宋体" w:hAnsi="宋体" w:cs="宋体"/>
                <w:szCs w:val="21"/>
              </w:rPr>
              <w:t>不合格</w:t>
            </w:r>
          </w:p>
        </w:tc>
        <w:tc>
          <w:tcPr>
            <w:tcW w:w="1727" w:type="pct"/>
            <w:vAlign w:val="center"/>
          </w:tcPr>
          <w:p w14:paraId="6EDC8C8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1E07CB32">
            <w:pPr>
              <w:spacing w:line="360" w:lineRule="auto"/>
              <w:jc w:val="center"/>
              <w:rPr>
                <w:rFonts w:hint="eastAsia" w:ascii="宋体" w:hAnsi="宋体" w:cs="宋体"/>
                <w:szCs w:val="21"/>
              </w:rPr>
            </w:pPr>
            <w:r>
              <w:rPr>
                <w:rFonts w:hint="eastAsia" w:ascii="宋体" w:hAnsi="宋体" w:cs="宋体"/>
                <w:szCs w:val="21"/>
              </w:rPr>
              <w:t>任一次不合格采购人有权解除合同</w:t>
            </w:r>
          </w:p>
        </w:tc>
      </w:tr>
    </w:tbl>
    <w:p w14:paraId="3EE62566">
      <w:pPr>
        <w:spacing w:before="156" w:beforeLines="50" w:line="360" w:lineRule="auto"/>
        <w:rPr>
          <w:rFonts w:hint="eastAsia" w:ascii="宋体" w:hAnsi="宋体" w:cs="宋体"/>
          <w:szCs w:val="21"/>
        </w:rPr>
      </w:pPr>
      <w:r>
        <w:rPr>
          <w:rFonts w:hint="eastAsia" w:ascii="宋体" w:hAnsi="宋体" w:cs="宋体"/>
          <w:b/>
          <w:bCs/>
          <w:szCs w:val="21"/>
        </w:rPr>
        <w:t>附件《供货考核评分表》</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01"/>
        <w:gridCol w:w="757"/>
        <w:gridCol w:w="5201"/>
        <w:gridCol w:w="639"/>
        <w:gridCol w:w="665"/>
        <w:gridCol w:w="957"/>
      </w:tblGrid>
      <w:tr w14:paraId="581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vAlign w:val="center"/>
          </w:tcPr>
          <w:p w14:paraId="1E359D30">
            <w:pPr>
              <w:spacing w:line="360" w:lineRule="auto"/>
              <w:jc w:val="center"/>
              <w:rPr>
                <w:rFonts w:hint="eastAsia" w:ascii="宋体" w:hAnsi="宋体" w:cs="宋体"/>
                <w:b/>
                <w:szCs w:val="21"/>
              </w:rPr>
            </w:pPr>
            <w:r>
              <w:rPr>
                <w:rFonts w:hint="eastAsia" w:ascii="宋体" w:hAnsi="宋体" w:cs="宋体"/>
                <w:b/>
                <w:szCs w:val="21"/>
              </w:rPr>
              <w:t>序号</w:t>
            </w:r>
          </w:p>
        </w:tc>
        <w:tc>
          <w:tcPr>
            <w:tcW w:w="701" w:type="dxa"/>
            <w:vAlign w:val="center"/>
          </w:tcPr>
          <w:p w14:paraId="09DBF9D5">
            <w:pPr>
              <w:spacing w:line="360" w:lineRule="auto"/>
              <w:jc w:val="center"/>
              <w:rPr>
                <w:rFonts w:hint="eastAsia" w:ascii="宋体" w:hAnsi="宋体" w:cs="宋体"/>
                <w:b/>
                <w:szCs w:val="21"/>
              </w:rPr>
            </w:pPr>
            <w:r>
              <w:rPr>
                <w:rFonts w:hint="eastAsia" w:ascii="宋体" w:hAnsi="宋体" w:cs="宋体"/>
                <w:b/>
                <w:szCs w:val="21"/>
              </w:rPr>
              <w:t>类别</w:t>
            </w:r>
          </w:p>
        </w:tc>
        <w:tc>
          <w:tcPr>
            <w:tcW w:w="757" w:type="dxa"/>
            <w:vAlign w:val="center"/>
          </w:tcPr>
          <w:p w14:paraId="570C071E">
            <w:pPr>
              <w:spacing w:line="360" w:lineRule="auto"/>
              <w:jc w:val="center"/>
              <w:rPr>
                <w:rFonts w:hint="eastAsia" w:ascii="宋体" w:hAnsi="宋体" w:cs="宋体"/>
                <w:b/>
                <w:szCs w:val="21"/>
              </w:rPr>
            </w:pPr>
            <w:r>
              <w:rPr>
                <w:rFonts w:hint="eastAsia" w:ascii="宋体" w:hAnsi="宋体" w:cs="宋体"/>
                <w:b/>
                <w:szCs w:val="21"/>
              </w:rPr>
              <w:t>细分项目</w:t>
            </w:r>
          </w:p>
        </w:tc>
        <w:tc>
          <w:tcPr>
            <w:tcW w:w="5201" w:type="dxa"/>
            <w:vAlign w:val="center"/>
          </w:tcPr>
          <w:p w14:paraId="0379E038">
            <w:pPr>
              <w:spacing w:line="360" w:lineRule="auto"/>
              <w:jc w:val="center"/>
              <w:rPr>
                <w:rFonts w:hint="eastAsia" w:ascii="宋体" w:hAnsi="宋体" w:cs="宋体"/>
                <w:b/>
                <w:szCs w:val="21"/>
              </w:rPr>
            </w:pPr>
            <w:r>
              <w:rPr>
                <w:rFonts w:hint="eastAsia" w:ascii="宋体" w:hAnsi="宋体" w:cs="宋体"/>
                <w:b/>
                <w:szCs w:val="21"/>
              </w:rPr>
              <w:t>评分细则</w:t>
            </w:r>
          </w:p>
        </w:tc>
        <w:tc>
          <w:tcPr>
            <w:tcW w:w="639" w:type="dxa"/>
            <w:vAlign w:val="center"/>
          </w:tcPr>
          <w:p w14:paraId="759B8168">
            <w:pPr>
              <w:spacing w:line="360" w:lineRule="auto"/>
              <w:jc w:val="center"/>
              <w:rPr>
                <w:rFonts w:hint="eastAsia" w:ascii="宋体" w:hAnsi="宋体" w:cs="宋体"/>
                <w:b/>
                <w:szCs w:val="21"/>
              </w:rPr>
            </w:pPr>
            <w:r>
              <w:rPr>
                <w:rFonts w:hint="eastAsia" w:ascii="宋体" w:hAnsi="宋体" w:cs="宋体"/>
                <w:b/>
                <w:szCs w:val="21"/>
              </w:rPr>
              <w:t>满分</w:t>
            </w:r>
          </w:p>
        </w:tc>
        <w:tc>
          <w:tcPr>
            <w:tcW w:w="665" w:type="dxa"/>
            <w:vAlign w:val="center"/>
          </w:tcPr>
          <w:p w14:paraId="69C07468">
            <w:pPr>
              <w:spacing w:line="360" w:lineRule="auto"/>
              <w:jc w:val="center"/>
              <w:rPr>
                <w:rFonts w:hint="eastAsia" w:ascii="宋体" w:hAnsi="宋体" w:cs="宋体"/>
                <w:b/>
                <w:szCs w:val="21"/>
              </w:rPr>
            </w:pPr>
            <w:r>
              <w:rPr>
                <w:rFonts w:hint="eastAsia" w:ascii="宋体" w:hAnsi="宋体" w:cs="宋体"/>
                <w:b/>
                <w:szCs w:val="21"/>
              </w:rPr>
              <w:t>评分</w:t>
            </w:r>
          </w:p>
        </w:tc>
        <w:tc>
          <w:tcPr>
            <w:tcW w:w="957" w:type="dxa"/>
          </w:tcPr>
          <w:p w14:paraId="173E9CEA">
            <w:pPr>
              <w:spacing w:line="360" w:lineRule="auto"/>
              <w:jc w:val="center"/>
              <w:rPr>
                <w:rFonts w:hint="eastAsia" w:ascii="宋体" w:hAnsi="宋体" w:cs="宋体"/>
                <w:b/>
                <w:szCs w:val="21"/>
              </w:rPr>
            </w:pPr>
            <w:r>
              <w:rPr>
                <w:rFonts w:hint="eastAsia" w:ascii="宋体" w:hAnsi="宋体" w:cs="宋体"/>
                <w:b/>
                <w:szCs w:val="21"/>
              </w:rPr>
              <w:t>扣分/加分事由</w:t>
            </w:r>
          </w:p>
        </w:tc>
      </w:tr>
      <w:tr w14:paraId="03DE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vAlign w:val="center"/>
          </w:tcPr>
          <w:p w14:paraId="71AF2227">
            <w:pPr>
              <w:spacing w:line="360" w:lineRule="auto"/>
              <w:jc w:val="center"/>
              <w:rPr>
                <w:rFonts w:hint="eastAsia" w:ascii="宋体" w:hAnsi="宋体" w:cs="宋体"/>
                <w:szCs w:val="21"/>
              </w:rPr>
            </w:pPr>
            <w:r>
              <w:rPr>
                <w:rFonts w:hint="eastAsia" w:ascii="宋体" w:hAnsi="宋体" w:cs="宋体"/>
                <w:szCs w:val="21"/>
              </w:rPr>
              <w:t>1</w:t>
            </w:r>
          </w:p>
        </w:tc>
        <w:tc>
          <w:tcPr>
            <w:tcW w:w="701" w:type="dxa"/>
            <w:vMerge w:val="restart"/>
            <w:vAlign w:val="center"/>
          </w:tcPr>
          <w:p w14:paraId="66BE2ED9">
            <w:pPr>
              <w:spacing w:line="360" w:lineRule="auto"/>
              <w:jc w:val="center"/>
              <w:rPr>
                <w:rFonts w:hint="eastAsia" w:ascii="宋体" w:hAnsi="宋体" w:cs="宋体"/>
                <w:szCs w:val="21"/>
              </w:rPr>
            </w:pPr>
            <w:r>
              <w:rPr>
                <w:rFonts w:hint="eastAsia" w:ascii="宋体" w:hAnsi="宋体" w:cs="宋体"/>
                <w:szCs w:val="21"/>
              </w:rPr>
              <w:t>送货质量</w:t>
            </w:r>
          </w:p>
        </w:tc>
        <w:tc>
          <w:tcPr>
            <w:tcW w:w="757" w:type="dxa"/>
            <w:vAlign w:val="center"/>
          </w:tcPr>
          <w:p w14:paraId="29181E43">
            <w:pPr>
              <w:spacing w:line="360" w:lineRule="auto"/>
              <w:jc w:val="center"/>
              <w:rPr>
                <w:rFonts w:hint="eastAsia" w:ascii="宋体" w:hAnsi="宋体" w:cs="宋体"/>
                <w:szCs w:val="21"/>
              </w:rPr>
            </w:pPr>
            <w:r>
              <w:rPr>
                <w:rFonts w:hint="eastAsia" w:ascii="宋体" w:hAnsi="宋体" w:cs="宋体"/>
                <w:szCs w:val="21"/>
              </w:rPr>
              <w:t>交货及时</w:t>
            </w:r>
          </w:p>
        </w:tc>
        <w:tc>
          <w:tcPr>
            <w:tcW w:w="5201" w:type="dxa"/>
            <w:vAlign w:val="center"/>
          </w:tcPr>
          <w:p w14:paraId="1D4DCB9B">
            <w:pPr>
              <w:spacing w:line="360" w:lineRule="auto"/>
              <w:jc w:val="left"/>
              <w:rPr>
                <w:rFonts w:hint="eastAsia" w:ascii="宋体" w:hAnsi="宋体" w:cs="宋体"/>
                <w:szCs w:val="21"/>
              </w:rPr>
            </w:pPr>
            <w:r>
              <w:rPr>
                <w:rFonts w:hint="eastAsia" w:ascii="宋体" w:hAnsi="宋体" w:cs="宋体"/>
                <w:szCs w:val="21"/>
              </w:rPr>
              <w:t>每逾期1天交货扣3分，逾期达3天及以上交货扣10分，扣至0分为止。</w:t>
            </w:r>
          </w:p>
        </w:tc>
        <w:tc>
          <w:tcPr>
            <w:tcW w:w="639" w:type="dxa"/>
            <w:vAlign w:val="center"/>
          </w:tcPr>
          <w:p w14:paraId="4C88B5ED">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33B81CEA">
            <w:pPr>
              <w:spacing w:line="360" w:lineRule="auto"/>
              <w:jc w:val="center"/>
              <w:rPr>
                <w:rFonts w:hint="eastAsia" w:ascii="宋体" w:hAnsi="宋体" w:cs="宋体"/>
                <w:szCs w:val="21"/>
              </w:rPr>
            </w:pPr>
          </w:p>
        </w:tc>
        <w:tc>
          <w:tcPr>
            <w:tcW w:w="957" w:type="dxa"/>
            <w:vAlign w:val="center"/>
          </w:tcPr>
          <w:p w14:paraId="393A125A">
            <w:pPr>
              <w:spacing w:line="360" w:lineRule="auto"/>
              <w:jc w:val="center"/>
              <w:rPr>
                <w:rFonts w:hint="eastAsia" w:ascii="宋体" w:hAnsi="宋体" w:cs="宋体"/>
                <w:szCs w:val="21"/>
              </w:rPr>
            </w:pPr>
          </w:p>
        </w:tc>
      </w:tr>
      <w:tr w14:paraId="249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17B4E0D1">
            <w:pPr>
              <w:spacing w:line="360" w:lineRule="auto"/>
              <w:jc w:val="center"/>
              <w:rPr>
                <w:rFonts w:hint="eastAsia" w:ascii="宋体" w:hAnsi="宋体" w:cs="宋体"/>
                <w:szCs w:val="21"/>
              </w:rPr>
            </w:pPr>
            <w:r>
              <w:rPr>
                <w:rFonts w:hint="eastAsia" w:ascii="宋体" w:hAnsi="宋体" w:cs="宋体"/>
                <w:szCs w:val="21"/>
              </w:rPr>
              <w:t>2</w:t>
            </w:r>
          </w:p>
        </w:tc>
        <w:tc>
          <w:tcPr>
            <w:tcW w:w="701" w:type="dxa"/>
            <w:vMerge w:val="continue"/>
            <w:vAlign w:val="center"/>
          </w:tcPr>
          <w:p w14:paraId="112169AD">
            <w:pPr>
              <w:widowControl/>
              <w:spacing w:line="360" w:lineRule="auto"/>
              <w:jc w:val="left"/>
              <w:rPr>
                <w:rFonts w:hint="eastAsia" w:ascii="宋体" w:hAnsi="宋体" w:cs="宋体"/>
                <w:szCs w:val="21"/>
              </w:rPr>
            </w:pPr>
          </w:p>
        </w:tc>
        <w:tc>
          <w:tcPr>
            <w:tcW w:w="757" w:type="dxa"/>
            <w:vAlign w:val="center"/>
          </w:tcPr>
          <w:p w14:paraId="49DFCAB8">
            <w:pPr>
              <w:spacing w:line="360" w:lineRule="auto"/>
              <w:jc w:val="center"/>
              <w:rPr>
                <w:rFonts w:hint="eastAsia" w:ascii="宋体" w:hAnsi="宋体" w:cs="宋体"/>
                <w:szCs w:val="21"/>
              </w:rPr>
            </w:pPr>
            <w:r>
              <w:rPr>
                <w:rFonts w:hint="eastAsia" w:ascii="宋体" w:hAnsi="宋体" w:cs="宋体"/>
                <w:szCs w:val="21"/>
              </w:rPr>
              <w:t>现场整洁</w:t>
            </w:r>
          </w:p>
        </w:tc>
        <w:tc>
          <w:tcPr>
            <w:tcW w:w="5201" w:type="dxa"/>
            <w:vAlign w:val="center"/>
          </w:tcPr>
          <w:p w14:paraId="2970C984">
            <w:pPr>
              <w:spacing w:line="360" w:lineRule="auto"/>
              <w:jc w:val="left"/>
              <w:rPr>
                <w:rFonts w:hint="eastAsia" w:ascii="宋体" w:hAnsi="宋体" w:cs="宋体"/>
                <w:szCs w:val="21"/>
              </w:rPr>
            </w:pPr>
            <w:r>
              <w:rPr>
                <w:rFonts w:hint="eastAsia" w:ascii="宋体" w:hAnsi="宋体" w:cs="宋体"/>
                <w:szCs w:val="21"/>
              </w:rPr>
              <w:t>卸货范围内的卫生保持整洁，全月无投诉得10分，每次投诉扣3分，扣至0分为止。</w:t>
            </w:r>
          </w:p>
        </w:tc>
        <w:tc>
          <w:tcPr>
            <w:tcW w:w="639" w:type="dxa"/>
            <w:vAlign w:val="center"/>
          </w:tcPr>
          <w:p w14:paraId="66EF8A2B">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E947CD3">
            <w:pPr>
              <w:spacing w:line="360" w:lineRule="auto"/>
              <w:jc w:val="center"/>
              <w:rPr>
                <w:rFonts w:hint="eastAsia" w:ascii="宋体" w:hAnsi="宋体" w:cs="宋体"/>
                <w:szCs w:val="21"/>
              </w:rPr>
            </w:pPr>
          </w:p>
        </w:tc>
        <w:tc>
          <w:tcPr>
            <w:tcW w:w="957" w:type="dxa"/>
            <w:vAlign w:val="center"/>
          </w:tcPr>
          <w:p w14:paraId="71855F06">
            <w:pPr>
              <w:spacing w:line="360" w:lineRule="auto"/>
              <w:jc w:val="center"/>
              <w:rPr>
                <w:rFonts w:hint="eastAsia" w:ascii="宋体" w:hAnsi="宋体" w:cs="宋体"/>
                <w:szCs w:val="21"/>
              </w:rPr>
            </w:pPr>
          </w:p>
        </w:tc>
      </w:tr>
      <w:tr w14:paraId="1E8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8F5C89E">
            <w:pPr>
              <w:spacing w:line="360" w:lineRule="auto"/>
              <w:jc w:val="center"/>
              <w:rPr>
                <w:rFonts w:hint="eastAsia" w:ascii="宋体" w:hAnsi="宋体" w:cs="宋体"/>
                <w:szCs w:val="21"/>
              </w:rPr>
            </w:pPr>
            <w:r>
              <w:rPr>
                <w:rFonts w:hint="eastAsia" w:ascii="宋体" w:hAnsi="宋体" w:cs="宋体"/>
                <w:szCs w:val="21"/>
              </w:rPr>
              <w:t>4</w:t>
            </w:r>
          </w:p>
        </w:tc>
        <w:tc>
          <w:tcPr>
            <w:tcW w:w="701" w:type="dxa"/>
            <w:vMerge w:val="restart"/>
            <w:vAlign w:val="center"/>
          </w:tcPr>
          <w:p w14:paraId="081E5C6C">
            <w:pPr>
              <w:spacing w:line="360" w:lineRule="auto"/>
              <w:jc w:val="center"/>
              <w:rPr>
                <w:rFonts w:hint="eastAsia" w:ascii="宋体" w:hAnsi="宋体" w:cs="宋体"/>
                <w:szCs w:val="21"/>
              </w:rPr>
            </w:pPr>
            <w:r>
              <w:rPr>
                <w:rFonts w:hint="eastAsia" w:ascii="宋体" w:hAnsi="宋体" w:cs="宋体"/>
                <w:szCs w:val="21"/>
              </w:rPr>
              <w:t>产品质量</w:t>
            </w:r>
          </w:p>
        </w:tc>
        <w:tc>
          <w:tcPr>
            <w:tcW w:w="757" w:type="dxa"/>
          </w:tcPr>
          <w:p w14:paraId="0FCC5B00">
            <w:pPr>
              <w:spacing w:line="360" w:lineRule="auto"/>
              <w:jc w:val="center"/>
              <w:rPr>
                <w:rFonts w:hint="eastAsia" w:ascii="宋体" w:hAnsi="宋体" w:cs="宋体"/>
                <w:szCs w:val="21"/>
              </w:rPr>
            </w:pPr>
            <w:r>
              <w:rPr>
                <w:rFonts w:hint="eastAsia" w:ascii="宋体" w:hAnsi="宋体" w:cs="宋体"/>
                <w:szCs w:val="21"/>
              </w:rPr>
              <w:t>现场检测</w:t>
            </w:r>
          </w:p>
        </w:tc>
        <w:tc>
          <w:tcPr>
            <w:tcW w:w="5201" w:type="dxa"/>
            <w:vAlign w:val="center"/>
          </w:tcPr>
          <w:p w14:paraId="2DCBD895">
            <w:pPr>
              <w:spacing w:line="360" w:lineRule="auto"/>
              <w:jc w:val="left"/>
              <w:rPr>
                <w:rFonts w:hint="eastAsia" w:ascii="宋体" w:hAnsi="宋体" w:cs="宋体"/>
                <w:szCs w:val="21"/>
              </w:rPr>
            </w:pPr>
            <w:r>
              <w:rPr>
                <w:rFonts w:hint="eastAsia" w:ascii="宋体" w:hAnsi="宋体" w:cs="宋体"/>
                <w:szCs w:val="21"/>
              </w:rPr>
              <w:t>产品现场检验如出现不合格情况，每次扣3分，扣至0分为止。</w:t>
            </w:r>
          </w:p>
        </w:tc>
        <w:tc>
          <w:tcPr>
            <w:tcW w:w="639" w:type="dxa"/>
            <w:vAlign w:val="center"/>
          </w:tcPr>
          <w:p w14:paraId="00408DD8">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478E5669">
            <w:pPr>
              <w:spacing w:line="360" w:lineRule="auto"/>
              <w:jc w:val="center"/>
              <w:rPr>
                <w:rFonts w:hint="eastAsia" w:ascii="宋体" w:hAnsi="宋体" w:cs="宋体"/>
                <w:szCs w:val="21"/>
              </w:rPr>
            </w:pPr>
          </w:p>
        </w:tc>
        <w:tc>
          <w:tcPr>
            <w:tcW w:w="957" w:type="dxa"/>
            <w:vAlign w:val="center"/>
          </w:tcPr>
          <w:p w14:paraId="3A95C3CD">
            <w:pPr>
              <w:spacing w:line="360" w:lineRule="auto"/>
              <w:jc w:val="center"/>
              <w:rPr>
                <w:rFonts w:hint="eastAsia" w:ascii="宋体" w:hAnsi="宋体" w:cs="宋体"/>
                <w:szCs w:val="21"/>
              </w:rPr>
            </w:pPr>
          </w:p>
        </w:tc>
      </w:tr>
      <w:tr w14:paraId="7ED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EBB9884">
            <w:pPr>
              <w:spacing w:line="360" w:lineRule="auto"/>
              <w:jc w:val="center"/>
              <w:rPr>
                <w:rFonts w:hint="eastAsia" w:ascii="宋体" w:hAnsi="宋体" w:cs="宋体"/>
                <w:szCs w:val="21"/>
              </w:rPr>
            </w:pPr>
            <w:r>
              <w:rPr>
                <w:rFonts w:hint="eastAsia" w:ascii="宋体" w:hAnsi="宋体" w:cs="宋体"/>
                <w:szCs w:val="21"/>
              </w:rPr>
              <w:t>5</w:t>
            </w:r>
          </w:p>
        </w:tc>
        <w:tc>
          <w:tcPr>
            <w:tcW w:w="701" w:type="dxa"/>
            <w:vMerge w:val="continue"/>
            <w:vAlign w:val="center"/>
          </w:tcPr>
          <w:p w14:paraId="7DD6FEBA">
            <w:pPr>
              <w:widowControl/>
              <w:spacing w:line="360" w:lineRule="auto"/>
              <w:jc w:val="left"/>
              <w:rPr>
                <w:rFonts w:hint="eastAsia" w:ascii="宋体" w:hAnsi="宋体" w:cs="宋体"/>
                <w:szCs w:val="21"/>
              </w:rPr>
            </w:pPr>
          </w:p>
        </w:tc>
        <w:tc>
          <w:tcPr>
            <w:tcW w:w="757" w:type="dxa"/>
          </w:tcPr>
          <w:p w14:paraId="3BF732A9">
            <w:pPr>
              <w:spacing w:line="360" w:lineRule="auto"/>
              <w:jc w:val="center"/>
              <w:rPr>
                <w:rFonts w:hint="eastAsia" w:ascii="宋体" w:hAnsi="宋体" w:cs="宋体"/>
                <w:szCs w:val="21"/>
              </w:rPr>
            </w:pPr>
            <w:r>
              <w:rPr>
                <w:rFonts w:hint="eastAsia" w:ascii="宋体" w:hAnsi="宋体" w:cs="宋体"/>
                <w:szCs w:val="21"/>
              </w:rPr>
              <w:t>换货及时</w:t>
            </w:r>
          </w:p>
        </w:tc>
        <w:tc>
          <w:tcPr>
            <w:tcW w:w="5201" w:type="dxa"/>
            <w:vAlign w:val="center"/>
          </w:tcPr>
          <w:p w14:paraId="155F586F">
            <w:pPr>
              <w:spacing w:line="360" w:lineRule="auto"/>
              <w:jc w:val="left"/>
              <w:rPr>
                <w:rFonts w:hint="eastAsia" w:ascii="宋体" w:hAnsi="宋体" w:cs="宋体"/>
                <w:szCs w:val="21"/>
              </w:rPr>
            </w:pPr>
            <w:r>
              <w:rPr>
                <w:rFonts w:hint="eastAsia" w:ascii="宋体" w:hAnsi="宋体" w:cs="宋体"/>
                <w:szCs w:val="21"/>
              </w:rPr>
              <w:t>产品不合格换货情况，需按采购人要求在10个小时内完成换货，每超出一次扣3分，扣至0分为止。</w:t>
            </w:r>
          </w:p>
        </w:tc>
        <w:tc>
          <w:tcPr>
            <w:tcW w:w="639" w:type="dxa"/>
            <w:vAlign w:val="center"/>
          </w:tcPr>
          <w:p w14:paraId="05D06867">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2741F53C">
            <w:pPr>
              <w:spacing w:line="360" w:lineRule="auto"/>
              <w:jc w:val="center"/>
              <w:rPr>
                <w:rFonts w:hint="eastAsia" w:ascii="宋体" w:hAnsi="宋体" w:cs="宋体"/>
                <w:szCs w:val="21"/>
              </w:rPr>
            </w:pPr>
          </w:p>
        </w:tc>
        <w:tc>
          <w:tcPr>
            <w:tcW w:w="957" w:type="dxa"/>
            <w:vAlign w:val="center"/>
          </w:tcPr>
          <w:p w14:paraId="2869D305">
            <w:pPr>
              <w:spacing w:line="360" w:lineRule="auto"/>
              <w:jc w:val="center"/>
              <w:rPr>
                <w:rFonts w:hint="eastAsia" w:ascii="宋体" w:hAnsi="宋体" w:cs="宋体"/>
                <w:szCs w:val="21"/>
              </w:rPr>
            </w:pPr>
          </w:p>
        </w:tc>
      </w:tr>
      <w:tr w14:paraId="4EB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7DBF60E">
            <w:pPr>
              <w:spacing w:line="360" w:lineRule="auto"/>
              <w:jc w:val="center"/>
              <w:rPr>
                <w:rFonts w:hint="eastAsia" w:ascii="宋体" w:hAnsi="宋体" w:cs="宋体"/>
                <w:szCs w:val="21"/>
              </w:rPr>
            </w:pPr>
            <w:r>
              <w:rPr>
                <w:rFonts w:hint="eastAsia" w:ascii="宋体" w:hAnsi="宋体" w:cs="宋体"/>
                <w:szCs w:val="21"/>
              </w:rPr>
              <w:t>6</w:t>
            </w:r>
          </w:p>
        </w:tc>
        <w:tc>
          <w:tcPr>
            <w:tcW w:w="701" w:type="dxa"/>
            <w:vMerge w:val="continue"/>
            <w:vAlign w:val="center"/>
          </w:tcPr>
          <w:p w14:paraId="0C7B4FBB">
            <w:pPr>
              <w:widowControl/>
              <w:spacing w:line="360" w:lineRule="auto"/>
              <w:jc w:val="left"/>
              <w:rPr>
                <w:rFonts w:hint="eastAsia" w:ascii="宋体" w:hAnsi="宋体" w:cs="宋体"/>
                <w:szCs w:val="21"/>
              </w:rPr>
            </w:pPr>
          </w:p>
        </w:tc>
        <w:tc>
          <w:tcPr>
            <w:tcW w:w="757" w:type="dxa"/>
          </w:tcPr>
          <w:p w14:paraId="71AE67D6">
            <w:pPr>
              <w:spacing w:line="360" w:lineRule="auto"/>
              <w:jc w:val="center"/>
              <w:rPr>
                <w:rFonts w:hint="eastAsia" w:ascii="宋体" w:hAnsi="宋体" w:cs="宋体"/>
                <w:szCs w:val="21"/>
              </w:rPr>
            </w:pPr>
            <w:r>
              <w:rPr>
                <w:rFonts w:hint="eastAsia" w:ascii="宋体" w:hAnsi="宋体" w:cs="宋体"/>
                <w:szCs w:val="21"/>
              </w:rPr>
              <w:t>质量异议</w:t>
            </w:r>
          </w:p>
        </w:tc>
        <w:tc>
          <w:tcPr>
            <w:tcW w:w="5201" w:type="dxa"/>
            <w:vAlign w:val="center"/>
          </w:tcPr>
          <w:p w14:paraId="4AD271B4">
            <w:pPr>
              <w:spacing w:line="360" w:lineRule="auto"/>
              <w:jc w:val="left"/>
              <w:rPr>
                <w:rFonts w:hint="eastAsia" w:ascii="宋体" w:hAnsi="宋体" w:cs="宋体"/>
                <w:szCs w:val="21"/>
              </w:rPr>
            </w:pPr>
            <w:r>
              <w:rPr>
                <w:rFonts w:hint="eastAsia" w:ascii="宋体" w:hAnsi="宋体" w:cs="宋体"/>
                <w:szCs w:val="21"/>
              </w:rPr>
              <w:t>如出现质量异议问题，送第三方检测后发生一次不合格扣10分，发生二次及以上不合格扣20分，扣至0分为止。</w:t>
            </w:r>
          </w:p>
        </w:tc>
        <w:tc>
          <w:tcPr>
            <w:tcW w:w="639" w:type="dxa"/>
            <w:vAlign w:val="center"/>
          </w:tcPr>
          <w:p w14:paraId="0660F510">
            <w:pPr>
              <w:spacing w:line="360" w:lineRule="auto"/>
              <w:jc w:val="center"/>
              <w:rPr>
                <w:rFonts w:hint="eastAsia" w:ascii="宋体" w:hAnsi="宋体" w:cs="宋体"/>
                <w:szCs w:val="21"/>
              </w:rPr>
            </w:pPr>
            <w:r>
              <w:rPr>
                <w:rFonts w:hint="eastAsia" w:ascii="宋体" w:hAnsi="宋体" w:cs="宋体"/>
                <w:szCs w:val="21"/>
              </w:rPr>
              <w:t>20</w:t>
            </w:r>
          </w:p>
        </w:tc>
        <w:tc>
          <w:tcPr>
            <w:tcW w:w="665" w:type="dxa"/>
            <w:vAlign w:val="center"/>
          </w:tcPr>
          <w:p w14:paraId="50A62527">
            <w:pPr>
              <w:spacing w:line="360" w:lineRule="auto"/>
              <w:jc w:val="center"/>
              <w:rPr>
                <w:rFonts w:hint="eastAsia" w:ascii="宋体" w:hAnsi="宋体" w:cs="宋体"/>
                <w:szCs w:val="21"/>
              </w:rPr>
            </w:pPr>
          </w:p>
        </w:tc>
        <w:tc>
          <w:tcPr>
            <w:tcW w:w="957" w:type="dxa"/>
            <w:vAlign w:val="center"/>
          </w:tcPr>
          <w:p w14:paraId="10EC27CE">
            <w:pPr>
              <w:spacing w:line="360" w:lineRule="auto"/>
              <w:jc w:val="center"/>
              <w:rPr>
                <w:rFonts w:hint="eastAsia" w:ascii="宋体" w:hAnsi="宋体" w:cs="宋体"/>
                <w:szCs w:val="21"/>
              </w:rPr>
            </w:pPr>
          </w:p>
        </w:tc>
      </w:tr>
      <w:tr w14:paraId="585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F2CFC73">
            <w:pPr>
              <w:spacing w:line="360" w:lineRule="auto"/>
              <w:jc w:val="center"/>
              <w:rPr>
                <w:rFonts w:hint="eastAsia" w:ascii="宋体" w:hAnsi="宋体" w:cs="宋体"/>
                <w:szCs w:val="21"/>
              </w:rPr>
            </w:pPr>
            <w:r>
              <w:rPr>
                <w:rFonts w:hint="eastAsia" w:ascii="宋体" w:hAnsi="宋体" w:cs="宋体"/>
                <w:szCs w:val="21"/>
              </w:rPr>
              <w:t>7</w:t>
            </w:r>
          </w:p>
        </w:tc>
        <w:tc>
          <w:tcPr>
            <w:tcW w:w="701" w:type="dxa"/>
            <w:vMerge w:val="restart"/>
            <w:vAlign w:val="center"/>
          </w:tcPr>
          <w:p w14:paraId="6BDD879D">
            <w:pPr>
              <w:spacing w:line="360" w:lineRule="auto"/>
              <w:jc w:val="center"/>
              <w:rPr>
                <w:rFonts w:hint="eastAsia" w:ascii="宋体" w:hAnsi="宋体" w:cs="宋体"/>
                <w:szCs w:val="21"/>
              </w:rPr>
            </w:pPr>
            <w:r>
              <w:rPr>
                <w:rFonts w:hint="eastAsia" w:ascii="宋体" w:hAnsi="宋体" w:cs="宋体"/>
                <w:szCs w:val="21"/>
              </w:rPr>
              <w:t>技术服务</w:t>
            </w:r>
          </w:p>
        </w:tc>
        <w:tc>
          <w:tcPr>
            <w:tcW w:w="757" w:type="dxa"/>
            <w:vAlign w:val="center"/>
          </w:tcPr>
          <w:p w14:paraId="2CA888F3">
            <w:pPr>
              <w:spacing w:line="360" w:lineRule="auto"/>
              <w:jc w:val="center"/>
              <w:rPr>
                <w:rFonts w:hint="eastAsia" w:ascii="宋体" w:hAnsi="宋体" w:cs="宋体"/>
                <w:szCs w:val="21"/>
              </w:rPr>
            </w:pPr>
            <w:r>
              <w:rPr>
                <w:rFonts w:hint="eastAsia" w:ascii="宋体" w:hAnsi="宋体" w:cs="宋体"/>
                <w:szCs w:val="21"/>
              </w:rPr>
              <w:t>技术咨询</w:t>
            </w:r>
          </w:p>
        </w:tc>
        <w:tc>
          <w:tcPr>
            <w:tcW w:w="5201" w:type="dxa"/>
            <w:vAlign w:val="center"/>
          </w:tcPr>
          <w:p w14:paraId="589A8FF1">
            <w:pPr>
              <w:spacing w:line="360" w:lineRule="auto"/>
              <w:jc w:val="left"/>
              <w:rPr>
                <w:rFonts w:hint="eastAsia" w:ascii="宋体" w:hAnsi="宋体" w:cs="宋体"/>
                <w:szCs w:val="21"/>
              </w:rPr>
            </w:pPr>
            <w:r>
              <w:rPr>
                <w:rFonts w:hint="eastAsia" w:ascii="宋体" w:hAnsi="宋体" w:cs="宋体"/>
                <w:szCs w:val="21"/>
              </w:rPr>
              <w:t>技术咨询及时反馈，未及时反馈（通常指一天内）一次扣2分，扣至0分为止。</w:t>
            </w:r>
          </w:p>
        </w:tc>
        <w:tc>
          <w:tcPr>
            <w:tcW w:w="639" w:type="dxa"/>
            <w:vAlign w:val="center"/>
          </w:tcPr>
          <w:p w14:paraId="3C90FD33">
            <w:pPr>
              <w:spacing w:line="360" w:lineRule="auto"/>
              <w:jc w:val="center"/>
              <w:rPr>
                <w:rFonts w:hint="eastAsia" w:ascii="宋体" w:hAnsi="宋体" w:cs="宋体"/>
                <w:szCs w:val="21"/>
              </w:rPr>
            </w:pPr>
            <w:r>
              <w:rPr>
                <w:rFonts w:hint="eastAsia" w:ascii="宋体" w:hAnsi="宋体" w:cs="宋体"/>
                <w:szCs w:val="21"/>
              </w:rPr>
              <w:t>5</w:t>
            </w:r>
          </w:p>
        </w:tc>
        <w:tc>
          <w:tcPr>
            <w:tcW w:w="665" w:type="dxa"/>
            <w:vAlign w:val="center"/>
          </w:tcPr>
          <w:p w14:paraId="214E4F8B">
            <w:pPr>
              <w:spacing w:line="360" w:lineRule="auto"/>
              <w:jc w:val="center"/>
              <w:rPr>
                <w:rFonts w:hint="eastAsia" w:ascii="宋体" w:hAnsi="宋体" w:cs="宋体"/>
                <w:szCs w:val="21"/>
              </w:rPr>
            </w:pPr>
          </w:p>
        </w:tc>
        <w:tc>
          <w:tcPr>
            <w:tcW w:w="957" w:type="dxa"/>
            <w:vAlign w:val="center"/>
          </w:tcPr>
          <w:p w14:paraId="544E3BF2">
            <w:pPr>
              <w:spacing w:line="360" w:lineRule="auto"/>
              <w:jc w:val="center"/>
              <w:rPr>
                <w:rFonts w:hint="eastAsia" w:ascii="宋体" w:hAnsi="宋体" w:cs="宋体"/>
                <w:szCs w:val="21"/>
              </w:rPr>
            </w:pPr>
          </w:p>
        </w:tc>
      </w:tr>
      <w:tr w14:paraId="553D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F250FF5">
            <w:pPr>
              <w:spacing w:line="360" w:lineRule="auto"/>
              <w:jc w:val="center"/>
              <w:rPr>
                <w:rFonts w:hint="eastAsia" w:ascii="宋体" w:hAnsi="宋体" w:cs="宋体"/>
                <w:szCs w:val="21"/>
              </w:rPr>
            </w:pPr>
            <w:r>
              <w:rPr>
                <w:rFonts w:hint="eastAsia" w:ascii="宋体" w:hAnsi="宋体" w:cs="宋体"/>
                <w:szCs w:val="21"/>
              </w:rPr>
              <w:t>8</w:t>
            </w:r>
          </w:p>
        </w:tc>
        <w:tc>
          <w:tcPr>
            <w:tcW w:w="701" w:type="dxa"/>
            <w:vMerge w:val="continue"/>
            <w:vAlign w:val="center"/>
          </w:tcPr>
          <w:p w14:paraId="0BE1FD1A">
            <w:pPr>
              <w:widowControl/>
              <w:spacing w:line="360" w:lineRule="auto"/>
              <w:jc w:val="left"/>
              <w:rPr>
                <w:rFonts w:hint="eastAsia" w:ascii="宋体" w:hAnsi="宋体" w:cs="宋体"/>
                <w:szCs w:val="21"/>
              </w:rPr>
            </w:pPr>
          </w:p>
        </w:tc>
        <w:tc>
          <w:tcPr>
            <w:tcW w:w="757" w:type="dxa"/>
            <w:vAlign w:val="center"/>
          </w:tcPr>
          <w:p w14:paraId="77B792C7">
            <w:pPr>
              <w:spacing w:line="360" w:lineRule="auto"/>
              <w:jc w:val="center"/>
              <w:rPr>
                <w:rFonts w:hint="eastAsia" w:ascii="宋体" w:hAnsi="宋体" w:cs="宋体"/>
                <w:szCs w:val="21"/>
              </w:rPr>
            </w:pPr>
            <w:r>
              <w:rPr>
                <w:rFonts w:hint="eastAsia" w:ascii="宋体" w:hAnsi="宋体" w:cs="宋体"/>
                <w:szCs w:val="21"/>
              </w:rPr>
              <w:t>现场服务</w:t>
            </w:r>
          </w:p>
        </w:tc>
        <w:tc>
          <w:tcPr>
            <w:tcW w:w="5201" w:type="dxa"/>
            <w:vAlign w:val="center"/>
          </w:tcPr>
          <w:p w14:paraId="5886CF4F">
            <w:pPr>
              <w:spacing w:line="360" w:lineRule="auto"/>
              <w:jc w:val="left"/>
              <w:rPr>
                <w:rFonts w:hint="eastAsia" w:ascii="宋体" w:hAnsi="宋体" w:cs="宋体"/>
                <w:szCs w:val="21"/>
              </w:rPr>
            </w:pPr>
            <w:r>
              <w:rPr>
                <w:rFonts w:hint="eastAsia" w:ascii="宋体" w:hAnsi="宋体" w:cs="宋体"/>
                <w:szCs w:val="21"/>
              </w:rPr>
              <w:t>如甲方需要提供现场服务，未按需求及时到达现场（通常指2天内）一次扣3分，扣至0分为止。</w:t>
            </w:r>
          </w:p>
        </w:tc>
        <w:tc>
          <w:tcPr>
            <w:tcW w:w="639" w:type="dxa"/>
            <w:vAlign w:val="center"/>
          </w:tcPr>
          <w:p w14:paraId="46CBDCA5">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15DC82B5">
            <w:pPr>
              <w:spacing w:line="360" w:lineRule="auto"/>
              <w:jc w:val="center"/>
              <w:rPr>
                <w:rFonts w:hint="eastAsia" w:ascii="宋体" w:hAnsi="宋体" w:cs="宋体"/>
                <w:szCs w:val="21"/>
              </w:rPr>
            </w:pPr>
          </w:p>
        </w:tc>
        <w:tc>
          <w:tcPr>
            <w:tcW w:w="957" w:type="dxa"/>
            <w:vAlign w:val="center"/>
          </w:tcPr>
          <w:p w14:paraId="478F0849">
            <w:pPr>
              <w:spacing w:line="360" w:lineRule="auto"/>
              <w:jc w:val="center"/>
              <w:rPr>
                <w:rFonts w:hint="eastAsia" w:ascii="宋体" w:hAnsi="宋体" w:cs="宋体"/>
                <w:szCs w:val="21"/>
              </w:rPr>
            </w:pPr>
          </w:p>
        </w:tc>
      </w:tr>
      <w:tr w14:paraId="5F3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9C8326A">
            <w:pPr>
              <w:spacing w:line="360" w:lineRule="auto"/>
              <w:jc w:val="center"/>
              <w:rPr>
                <w:rFonts w:hint="eastAsia" w:ascii="宋体" w:hAnsi="宋体" w:cs="宋体"/>
                <w:szCs w:val="21"/>
              </w:rPr>
            </w:pPr>
            <w:r>
              <w:rPr>
                <w:rFonts w:hint="eastAsia" w:ascii="宋体" w:hAnsi="宋体" w:cs="宋体"/>
                <w:szCs w:val="21"/>
              </w:rPr>
              <w:t>9</w:t>
            </w:r>
          </w:p>
        </w:tc>
        <w:tc>
          <w:tcPr>
            <w:tcW w:w="701" w:type="dxa"/>
            <w:vMerge w:val="restart"/>
            <w:vAlign w:val="center"/>
          </w:tcPr>
          <w:p w14:paraId="5042E85F">
            <w:pPr>
              <w:spacing w:line="360" w:lineRule="auto"/>
              <w:jc w:val="center"/>
              <w:rPr>
                <w:rFonts w:hint="eastAsia" w:ascii="宋体" w:hAnsi="宋体" w:cs="宋体"/>
                <w:szCs w:val="21"/>
              </w:rPr>
            </w:pPr>
            <w:r>
              <w:rPr>
                <w:rFonts w:hint="eastAsia" w:ascii="宋体" w:hAnsi="宋体" w:cs="宋体"/>
                <w:szCs w:val="21"/>
              </w:rPr>
              <w:t>服务质量水平</w:t>
            </w:r>
          </w:p>
        </w:tc>
        <w:tc>
          <w:tcPr>
            <w:tcW w:w="757" w:type="dxa"/>
            <w:vAlign w:val="center"/>
          </w:tcPr>
          <w:p w14:paraId="31D95283">
            <w:pPr>
              <w:spacing w:line="360" w:lineRule="auto"/>
              <w:jc w:val="center"/>
              <w:rPr>
                <w:rFonts w:hint="eastAsia" w:ascii="宋体" w:hAnsi="宋体" w:cs="宋体"/>
                <w:szCs w:val="21"/>
              </w:rPr>
            </w:pPr>
            <w:r>
              <w:rPr>
                <w:rFonts w:hint="eastAsia" w:ascii="宋体" w:hAnsi="宋体" w:cs="宋体"/>
                <w:szCs w:val="21"/>
              </w:rPr>
              <w:t>服务整改</w:t>
            </w:r>
          </w:p>
        </w:tc>
        <w:tc>
          <w:tcPr>
            <w:tcW w:w="5201" w:type="dxa"/>
            <w:vAlign w:val="center"/>
          </w:tcPr>
          <w:p w14:paraId="793F48CC">
            <w:pPr>
              <w:spacing w:line="360" w:lineRule="auto"/>
              <w:jc w:val="left"/>
              <w:rPr>
                <w:rFonts w:hint="eastAsia" w:ascii="宋体" w:hAnsi="宋体" w:cs="宋体"/>
                <w:szCs w:val="21"/>
              </w:rPr>
            </w:pPr>
            <w:r>
              <w:rPr>
                <w:rFonts w:hint="eastAsia" w:ascii="宋体" w:hAnsi="宋体" w:cs="宋体"/>
                <w:szCs w:val="21"/>
              </w:rPr>
              <w:t>每次因收到各种途径的投诉下发的整改单扣5分，如整改后效果明显改善可免除扣分，该项扣至0分为止。</w:t>
            </w:r>
          </w:p>
        </w:tc>
        <w:tc>
          <w:tcPr>
            <w:tcW w:w="639" w:type="dxa"/>
            <w:vAlign w:val="center"/>
          </w:tcPr>
          <w:p w14:paraId="0BD8B8D1">
            <w:pPr>
              <w:spacing w:line="360" w:lineRule="auto"/>
              <w:jc w:val="center"/>
              <w:rPr>
                <w:rFonts w:hint="eastAsia" w:ascii="宋体" w:hAnsi="宋体" w:cs="宋体"/>
                <w:szCs w:val="21"/>
              </w:rPr>
            </w:pPr>
            <w:r>
              <w:rPr>
                <w:rFonts w:hint="eastAsia" w:ascii="宋体" w:hAnsi="宋体" w:cs="宋体"/>
                <w:szCs w:val="21"/>
              </w:rPr>
              <w:t>15</w:t>
            </w:r>
          </w:p>
        </w:tc>
        <w:tc>
          <w:tcPr>
            <w:tcW w:w="665" w:type="dxa"/>
            <w:vAlign w:val="center"/>
          </w:tcPr>
          <w:p w14:paraId="1436E366">
            <w:pPr>
              <w:spacing w:line="360" w:lineRule="auto"/>
              <w:jc w:val="center"/>
              <w:rPr>
                <w:rFonts w:hint="eastAsia" w:ascii="宋体" w:hAnsi="宋体" w:cs="宋体"/>
                <w:szCs w:val="21"/>
              </w:rPr>
            </w:pPr>
          </w:p>
        </w:tc>
        <w:tc>
          <w:tcPr>
            <w:tcW w:w="957" w:type="dxa"/>
            <w:vAlign w:val="center"/>
          </w:tcPr>
          <w:p w14:paraId="18BE7FBF">
            <w:pPr>
              <w:spacing w:line="360" w:lineRule="auto"/>
              <w:jc w:val="center"/>
              <w:rPr>
                <w:rFonts w:hint="eastAsia" w:ascii="宋体" w:hAnsi="宋体" w:cs="宋体"/>
                <w:szCs w:val="21"/>
              </w:rPr>
            </w:pPr>
          </w:p>
        </w:tc>
      </w:tr>
      <w:tr w14:paraId="59E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FF616D5">
            <w:pPr>
              <w:spacing w:line="360" w:lineRule="auto"/>
              <w:jc w:val="center"/>
              <w:rPr>
                <w:rFonts w:hint="eastAsia" w:ascii="宋体" w:hAnsi="宋体" w:cs="宋体"/>
                <w:szCs w:val="21"/>
              </w:rPr>
            </w:pPr>
            <w:r>
              <w:rPr>
                <w:rFonts w:hint="eastAsia" w:ascii="宋体" w:hAnsi="宋体" w:cs="宋体"/>
                <w:szCs w:val="21"/>
              </w:rPr>
              <w:t>10</w:t>
            </w:r>
          </w:p>
        </w:tc>
        <w:tc>
          <w:tcPr>
            <w:tcW w:w="701" w:type="dxa"/>
            <w:vMerge w:val="continue"/>
            <w:vAlign w:val="center"/>
          </w:tcPr>
          <w:p w14:paraId="4ED6CE4F">
            <w:pPr>
              <w:widowControl/>
              <w:spacing w:line="360" w:lineRule="auto"/>
              <w:jc w:val="left"/>
              <w:rPr>
                <w:rFonts w:hint="eastAsia" w:ascii="宋体" w:hAnsi="宋体" w:cs="宋体"/>
                <w:szCs w:val="21"/>
              </w:rPr>
            </w:pPr>
          </w:p>
        </w:tc>
        <w:tc>
          <w:tcPr>
            <w:tcW w:w="757" w:type="dxa"/>
            <w:vAlign w:val="center"/>
          </w:tcPr>
          <w:p w14:paraId="21B579F4">
            <w:pPr>
              <w:spacing w:line="360" w:lineRule="auto"/>
              <w:jc w:val="center"/>
              <w:rPr>
                <w:rFonts w:hint="eastAsia" w:ascii="宋体" w:hAnsi="宋体" w:cs="宋体"/>
                <w:szCs w:val="21"/>
              </w:rPr>
            </w:pPr>
            <w:r>
              <w:rPr>
                <w:rFonts w:hint="eastAsia" w:ascii="宋体" w:hAnsi="宋体" w:cs="宋体"/>
                <w:szCs w:val="21"/>
              </w:rPr>
              <w:t>整改逾期</w:t>
            </w:r>
          </w:p>
        </w:tc>
        <w:tc>
          <w:tcPr>
            <w:tcW w:w="5201" w:type="dxa"/>
            <w:vAlign w:val="center"/>
          </w:tcPr>
          <w:p w14:paraId="4A144388">
            <w:pPr>
              <w:spacing w:line="360" w:lineRule="auto"/>
              <w:jc w:val="left"/>
              <w:rPr>
                <w:rFonts w:hint="eastAsia" w:ascii="宋体" w:hAnsi="宋体" w:cs="宋体"/>
                <w:szCs w:val="21"/>
              </w:rPr>
            </w:pPr>
            <w:r>
              <w:rPr>
                <w:rFonts w:hint="eastAsia" w:ascii="宋体" w:hAnsi="宋体" w:cs="宋体"/>
                <w:szCs w:val="21"/>
              </w:rPr>
              <w:t>每次服务整改逾期扣5分，如在整改规定日期前完成可免除扣分，该项扣至0分为止。</w:t>
            </w:r>
          </w:p>
        </w:tc>
        <w:tc>
          <w:tcPr>
            <w:tcW w:w="639" w:type="dxa"/>
            <w:vAlign w:val="center"/>
          </w:tcPr>
          <w:p w14:paraId="066F9399">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17E0A3C">
            <w:pPr>
              <w:spacing w:line="360" w:lineRule="auto"/>
              <w:jc w:val="center"/>
              <w:rPr>
                <w:rFonts w:hint="eastAsia" w:ascii="宋体" w:hAnsi="宋体" w:cs="宋体"/>
                <w:szCs w:val="21"/>
              </w:rPr>
            </w:pPr>
          </w:p>
        </w:tc>
        <w:tc>
          <w:tcPr>
            <w:tcW w:w="957" w:type="dxa"/>
            <w:vAlign w:val="center"/>
          </w:tcPr>
          <w:p w14:paraId="5B5B555F">
            <w:pPr>
              <w:spacing w:line="360" w:lineRule="auto"/>
              <w:jc w:val="center"/>
              <w:rPr>
                <w:rFonts w:hint="eastAsia" w:ascii="宋体" w:hAnsi="宋体" w:cs="宋体"/>
                <w:szCs w:val="21"/>
              </w:rPr>
            </w:pPr>
          </w:p>
        </w:tc>
      </w:tr>
      <w:tr w14:paraId="6A12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0BF13D3E">
            <w:pPr>
              <w:spacing w:line="360" w:lineRule="auto"/>
              <w:jc w:val="center"/>
              <w:rPr>
                <w:rFonts w:hint="eastAsia" w:ascii="宋体" w:hAnsi="宋体" w:cs="宋体"/>
                <w:szCs w:val="21"/>
              </w:rPr>
            </w:pPr>
          </w:p>
        </w:tc>
        <w:tc>
          <w:tcPr>
            <w:tcW w:w="701" w:type="dxa"/>
            <w:vMerge w:val="restart"/>
            <w:vAlign w:val="center"/>
          </w:tcPr>
          <w:p w14:paraId="40C71DDC">
            <w:pPr>
              <w:widowControl/>
              <w:spacing w:line="360" w:lineRule="auto"/>
              <w:jc w:val="left"/>
              <w:rPr>
                <w:rFonts w:hint="eastAsia" w:ascii="宋体" w:hAnsi="宋体" w:cs="宋体"/>
                <w:szCs w:val="21"/>
              </w:rPr>
            </w:pPr>
            <w:r>
              <w:rPr>
                <w:rFonts w:hint="eastAsia" w:ascii="宋体" w:hAnsi="宋体" w:cs="宋体"/>
                <w:szCs w:val="21"/>
              </w:rPr>
              <w:t>加分项</w:t>
            </w:r>
          </w:p>
        </w:tc>
        <w:tc>
          <w:tcPr>
            <w:tcW w:w="757" w:type="dxa"/>
            <w:vAlign w:val="center"/>
          </w:tcPr>
          <w:p w14:paraId="31D14C73">
            <w:pPr>
              <w:spacing w:line="360" w:lineRule="auto"/>
              <w:jc w:val="center"/>
              <w:rPr>
                <w:rFonts w:hint="eastAsia" w:ascii="宋体" w:hAnsi="宋体" w:cs="宋体"/>
                <w:szCs w:val="21"/>
              </w:rPr>
            </w:pPr>
            <w:r>
              <w:rPr>
                <w:rFonts w:hint="eastAsia" w:ascii="宋体" w:hAnsi="宋体" w:cs="宋体"/>
                <w:szCs w:val="21"/>
              </w:rPr>
              <w:t>紧急供货</w:t>
            </w:r>
          </w:p>
        </w:tc>
        <w:tc>
          <w:tcPr>
            <w:tcW w:w="5201" w:type="dxa"/>
            <w:vAlign w:val="center"/>
          </w:tcPr>
          <w:p w14:paraId="456EB537">
            <w:pPr>
              <w:spacing w:line="360" w:lineRule="auto"/>
              <w:jc w:val="left"/>
              <w:rPr>
                <w:rFonts w:hint="eastAsia" w:ascii="宋体" w:hAnsi="宋体" w:cs="宋体"/>
                <w:szCs w:val="21"/>
              </w:rPr>
            </w:pPr>
            <w:r>
              <w:rPr>
                <w:rFonts w:hint="eastAsia" w:ascii="宋体" w:hAnsi="宋体" w:cs="宋体"/>
                <w:szCs w:val="21"/>
              </w:rPr>
              <w:t>节假日或紧急采购等特殊时期，乙方保证甲方货源充足和供货及时稳定等，可酌情适当加分，如无则为0分</w:t>
            </w:r>
          </w:p>
        </w:tc>
        <w:tc>
          <w:tcPr>
            <w:tcW w:w="639" w:type="dxa"/>
            <w:vAlign w:val="center"/>
          </w:tcPr>
          <w:p w14:paraId="432AC5DD">
            <w:pPr>
              <w:spacing w:line="360" w:lineRule="auto"/>
              <w:jc w:val="center"/>
              <w:rPr>
                <w:rFonts w:hint="eastAsia" w:ascii="宋体" w:hAnsi="宋体" w:cs="宋体"/>
                <w:szCs w:val="21"/>
              </w:rPr>
            </w:pPr>
            <w:r>
              <w:rPr>
                <w:rFonts w:hint="eastAsia" w:ascii="宋体" w:hAnsi="宋体" w:cs="宋体"/>
                <w:szCs w:val="21"/>
              </w:rPr>
              <w:t>4</w:t>
            </w:r>
          </w:p>
        </w:tc>
        <w:tc>
          <w:tcPr>
            <w:tcW w:w="665" w:type="dxa"/>
            <w:vAlign w:val="center"/>
          </w:tcPr>
          <w:p w14:paraId="5AF582AE">
            <w:pPr>
              <w:spacing w:line="360" w:lineRule="auto"/>
              <w:jc w:val="center"/>
              <w:rPr>
                <w:rFonts w:hint="eastAsia" w:ascii="宋体" w:hAnsi="宋体" w:cs="宋体"/>
                <w:szCs w:val="21"/>
              </w:rPr>
            </w:pPr>
          </w:p>
        </w:tc>
        <w:tc>
          <w:tcPr>
            <w:tcW w:w="957" w:type="dxa"/>
            <w:vAlign w:val="center"/>
          </w:tcPr>
          <w:p w14:paraId="17A32D6C">
            <w:pPr>
              <w:spacing w:line="360" w:lineRule="auto"/>
              <w:jc w:val="center"/>
              <w:rPr>
                <w:rFonts w:hint="eastAsia" w:ascii="宋体" w:hAnsi="宋体" w:cs="宋体"/>
                <w:szCs w:val="21"/>
              </w:rPr>
            </w:pPr>
          </w:p>
        </w:tc>
      </w:tr>
      <w:tr w14:paraId="38C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9D6F7C9">
            <w:pPr>
              <w:spacing w:line="360" w:lineRule="auto"/>
              <w:jc w:val="center"/>
              <w:rPr>
                <w:rFonts w:hint="eastAsia" w:ascii="宋体" w:hAnsi="宋体" w:cs="宋体"/>
                <w:szCs w:val="21"/>
              </w:rPr>
            </w:pPr>
          </w:p>
        </w:tc>
        <w:tc>
          <w:tcPr>
            <w:tcW w:w="701" w:type="dxa"/>
            <w:vMerge w:val="continue"/>
            <w:vAlign w:val="center"/>
          </w:tcPr>
          <w:p w14:paraId="26ECC817">
            <w:pPr>
              <w:widowControl/>
              <w:spacing w:line="360" w:lineRule="auto"/>
              <w:jc w:val="left"/>
              <w:rPr>
                <w:rFonts w:hint="eastAsia" w:ascii="宋体" w:hAnsi="宋体" w:cs="宋体"/>
                <w:szCs w:val="21"/>
              </w:rPr>
            </w:pPr>
          </w:p>
        </w:tc>
        <w:tc>
          <w:tcPr>
            <w:tcW w:w="757" w:type="dxa"/>
            <w:vAlign w:val="center"/>
          </w:tcPr>
          <w:p w14:paraId="64C4EDAC">
            <w:pPr>
              <w:spacing w:line="360" w:lineRule="auto"/>
              <w:jc w:val="center"/>
              <w:rPr>
                <w:rFonts w:hint="eastAsia" w:ascii="宋体" w:hAnsi="宋体" w:cs="宋体"/>
                <w:szCs w:val="21"/>
              </w:rPr>
            </w:pPr>
            <w:r>
              <w:rPr>
                <w:rFonts w:hint="eastAsia" w:ascii="宋体" w:hAnsi="宋体" w:cs="宋体"/>
                <w:szCs w:val="21"/>
              </w:rPr>
              <w:t>质量稳定</w:t>
            </w:r>
          </w:p>
        </w:tc>
        <w:tc>
          <w:tcPr>
            <w:tcW w:w="5201" w:type="dxa"/>
            <w:vAlign w:val="center"/>
          </w:tcPr>
          <w:p w14:paraId="71DEDF16">
            <w:pPr>
              <w:spacing w:line="360" w:lineRule="auto"/>
              <w:jc w:val="left"/>
              <w:rPr>
                <w:rFonts w:hint="eastAsia" w:ascii="宋体" w:hAnsi="宋体" w:cs="宋体"/>
                <w:szCs w:val="21"/>
              </w:rPr>
            </w:pPr>
            <w:r>
              <w:rPr>
                <w:rFonts w:hint="eastAsia" w:ascii="宋体" w:hAnsi="宋体" w:cs="宋体"/>
                <w:szCs w:val="21"/>
              </w:rPr>
              <w:t>乙方每次供货质量优于或满足甲方要求，连续一个月加2分，连续两个月加4分，连续三个月加6分。</w:t>
            </w:r>
          </w:p>
        </w:tc>
        <w:tc>
          <w:tcPr>
            <w:tcW w:w="639" w:type="dxa"/>
            <w:vAlign w:val="center"/>
          </w:tcPr>
          <w:p w14:paraId="0E2135A6">
            <w:pPr>
              <w:spacing w:line="360" w:lineRule="auto"/>
              <w:jc w:val="center"/>
              <w:rPr>
                <w:rFonts w:hint="eastAsia" w:ascii="宋体" w:hAnsi="宋体" w:cs="宋体"/>
                <w:szCs w:val="21"/>
              </w:rPr>
            </w:pPr>
            <w:r>
              <w:rPr>
                <w:rFonts w:hint="eastAsia" w:ascii="宋体" w:hAnsi="宋体" w:cs="宋体"/>
                <w:szCs w:val="21"/>
              </w:rPr>
              <w:t>6</w:t>
            </w:r>
          </w:p>
        </w:tc>
        <w:tc>
          <w:tcPr>
            <w:tcW w:w="665" w:type="dxa"/>
            <w:vAlign w:val="center"/>
          </w:tcPr>
          <w:p w14:paraId="2B13CF16">
            <w:pPr>
              <w:spacing w:line="360" w:lineRule="auto"/>
              <w:jc w:val="center"/>
              <w:rPr>
                <w:rFonts w:hint="eastAsia" w:ascii="宋体" w:hAnsi="宋体" w:cs="宋体"/>
                <w:szCs w:val="21"/>
              </w:rPr>
            </w:pPr>
          </w:p>
        </w:tc>
        <w:tc>
          <w:tcPr>
            <w:tcW w:w="957" w:type="dxa"/>
            <w:vAlign w:val="center"/>
          </w:tcPr>
          <w:p w14:paraId="31FC5828">
            <w:pPr>
              <w:spacing w:line="360" w:lineRule="auto"/>
              <w:jc w:val="center"/>
              <w:rPr>
                <w:rFonts w:hint="eastAsia" w:ascii="宋体" w:hAnsi="宋体" w:cs="宋体"/>
                <w:szCs w:val="21"/>
              </w:rPr>
            </w:pPr>
          </w:p>
        </w:tc>
      </w:tr>
      <w:tr w14:paraId="12D9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1" w:type="dxa"/>
            <w:gridSpan w:val="4"/>
            <w:vAlign w:val="center"/>
          </w:tcPr>
          <w:p w14:paraId="71FCD418">
            <w:pPr>
              <w:spacing w:line="360" w:lineRule="auto"/>
              <w:jc w:val="center"/>
              <w:rPr>
                <w:rFonts w:hint="eastAsia" w:ascii="宋体" w:hAnsi="宋体" w:cs="宋体"/>
                <w:szCs w:val="21"/>
              </w:rPr>
            </w:pPr>
            <w:r>
              <w:rPr>
                <w:rFonts w:hint="eastAsia" w:ascii="宋体" w:hAnsi="宋体" w:cs="宋体"/>
                <w:szCs w:val="21"/>
              </w:rPr>
              <w:t>合计</w:t>
            </w:r>
          </w:p>
        </w:tc>
        <w:tc>
          <w:tcPr>
            <w:tcW w:w="639" w:type="dxa"/>
            <w:vAlign w:val="center"/>
          </w:tcPr>
          <w:p w14:paraId="0B618DF0">
            <w:pPr>
              <w:spacing w:line="360" w:lineRule="auto"/>
              <w:jc w:val="center"/>
              <w:rPr>
                <w:rFonts w:hint="eastAsia" w:ascii="宋体" w:hAnsi="宋体" w:cs="宋体"/>
                <w:szCs w:val="21"/>
              </w:rPr>
            </w:pPr>
            <w:r>
              <w:rPr>
                <w:rFonts w:hint="eastAsia" w:ascii="宋体" w:hAnsi="宋体" w:cs="宋体"/>
                <w:szCs w:val="21"/>
              </w:rPr>
              <w:t>110</w:t>
            </w:r>
          </w:p>
        </w:tc>
        <w:tc>
          <w:tcPr>
            <w:tcW w:w="665" w:type="dxa"/>
            <w:vAlign w:val="center"/>
          </w:tcPr>
          <w:p w14:paraId="388EF559">
            <w:pPr>
              <w:spacing w:line="360" w:lineRule="auto"/>
              <w:jc w:val="center"/>
              <w:rPr>
                <w:rFonts w:hint="eastAsia" w:ascii="宋体" w:hAnsi="宋体" w:cs="宋体"/>
                <w:szCs w:val="21"/>
              </w:rPr>
            </w:pPr>
          </w:p>
        </w:tc>
        <w:tc>
          <w:tcPr>
            <w:tcW w:w="957" w:type="dxa"/>
            <w:vAlign w:val="center"/>
          </w:tcPr>
          <w:p w14:paraId="5F6723E8">
            <w:pPr>
              <w:spacing w:line="360" w:lineRule="auto"/>
              <w:jc w:val="center"/>
              <w:rPr>
                <w:rFonts w:hint="eastAsia" w:ascii="宋体" w:hAnsi="宋体" w:cs="宋体"/>
                <w:szCs w:val="21"/>
              </w:rPr>
            </w:pPr>
          </w:p>
        </w:tc>
      </w:tr>
    </w:tbl>
    <w:p w14:paraId="3A4C6DC6">
      <w:pPr>
        <w:pStyle w:val="8"/>
        <w:spacing w:before="156" w:beforeLines="50" w:line="360" w:lineRule="auto"/>
        <w:ind w:left="0" w:leftChars="0" w:firstLine="480" w:firstLineChars="200"/>
        <w:jc w:val="left"/>
        <w:rPr>
          <w:rFonts w:cs="宋体"/>
          <w:szCs w:val="21"/>
        </w:rPr>
      </w:pPr>
      <w:r>
        <w:rPr>
          <w:rFonts w:hint="eastAsia" w:cs="宋体"/>
          <w:szCs w:val="21"/>
        </w:rPr>
        <w:t xml:space="preserve">采购人：经办人签字：                               </w:t>
      </w:r>
      <w:r>
        <w:rPr>
          <w:rFonts w:hint="eastAsia" w:cs="宋体"/>
          <w:szCs w:val="21"/>
          <w:lang w:eastAsia="zh-CN"/>
        </w:rPr>
        <w:t>成交人</w:t>
      </w:r>
      <w:r>
        <w:rPr>
          <w:rFonts w:hint="eastAsia" w:cs="宋体"/>
          <w:szCs w:val="21"/>
        </w:rPr>
        <w:t>： 经办人签字：</w:t>
      </w:r>
    </w:p>
    <w:p w14:paraId="211C1D92">
      <w:pPr>
        <w:pStyle w:val="8"/>
        <w:spacing w:before="156" w:beforeLines="50" w:line="360" w:lineRule="auto"/>
        <w:ind w:left="0" w:leftChars="0" w:firstLine="480" w:firstLineChars="200"/>
        <w:jc w:val="left"/>
        <w:rPr>
          <w:rFonts w:cs="宋体"/>
          <w:szCs w:val="21"/>
        </w:rPr>
      </w:pPr>
      <w:r>
        <w:rPr>
          <w:rFonts w:hint="eastAsia" w:cs="宋体"/>
          <w:szCs w:val="21"/>
        </w:rPr>
        <w:t xml:space="preserve">        部门负责人签字：                                    项目负责人签字：</w:t>
      </w:r>
    </w:p>
    <w:p w14:paraId="4EA73F4F">
      <w:pPr>
        <w:pStyle w:val="8"/>
        <w:spacing w:before="156" w:beforeLines="50" w:line="360" w:lineRule="auto"/>
        <w:ind w:left="0" w:leftChars="0" w:firstLine="1440" w:firstLineChars="600"/>
        <w:jc w:val="left"/>
        <w:rPr>
          <w:rFonts w:cs="宋体"/>
          <w:szCs w:val="21"/>
        </w:rPr>
      </w:pPr>
      <w:r>
        <w:rPr>
          <w:rFonts w:hint="eastAsia" w:cs="宋体"/>
          <w:szCs w:val="21"/>
        </w:rPr>
        <w:t xml:space="preserve">项目负责人签字：                                      </w:t>
      </w:r>
    </w:p>
    <w:p w14:paraId="0134884E">
      <w:pPr>
        <w:pStyle w:val="8"/>
        <w:spacing w:before="156" w:beforeLines="50" w:line="360" w:lineRule="auto"/>
        <w:ind w:left="0" w:leftChars="0" w:firstLine="1440" w:firstLineChars="600"/>
        <w:jc w:val="left"/>
        <w:rPr>
          <w:rFonts w:cs="宋体"/>
          <w:b/>
          <w:szCs w:val="21"/>
        </w:rPr>
      </w:pPr>
      <w:r>
        <w:rPr>
          <w:rFonts w:hint="eastAsia" w:cs="宋体"/>
          <w:szCs w:val="21"/>
        </w:rPr>
        <w:t>日期：                                               日期：</w:t>
      </w:r>
      <w:r>
        <w:rPr>
          <w:rFonts w:hint="eastAsia" w:cs="宋体"/>
          <w:szCs w:val="21"/>
        </w:rPr>
        <w:br w:type="page"/>
      </w:r>
    </w:p>
    <w:p w14:paraId="575DBA34">
      <w:pPr>
        <w:pBdr>
          <w:bottom w:val="double" w:color="auto" w:sz="4" w:space="1"/>
        </w:pBdr>
        <w:spacing w:line="360" w:lineRule="auto"/>
        <w:jc w:val="center"/>
        <w:rPr>
          <w:rFonts w:hint="eastAsia" w:ascii="宋体" w:hAnsi="宋体" w:cs="宋体"/>
          <w:b/>
          <w:szCs w:val="21"/>
        </w:rPr>
      </w:pPr>
      <w:r>
        <w:rPr>
          <w:rFonts w:hint="eastAsia" w:ascii="宋体" w:hAnsi="宋体" w:cs="宋体"/>
          <w:b/>
          <w:szCs w:val="21"/>
        </w:rPr>
        <w:t>技术服务要求</w:t>
      </w:r>
    </w:p>
    <w:p w14:paraId="41BD3AA1">
      <w:pPr>
        <w:spacing w:line="360" w:lineRule="auto"/>
        <w:jc w:val="center"/>
        <w:rPr>
          <w:rFonts w:hint="eastAsia" w:ascii="宋体" w:hAnsi="宋体" w:cs="宋体"/>
          <w:b/>
          <w:szCs w:val="21"/>
        </w:rPr>
      </w:pPr>
    </w:p>
    <w:p w14:paraId="2AE4FF0F">
      <w:pPr>
        <w:pStyle w:val="6"/>
        <w:spacing w:line="360" w:lineRule="auto"/>
        <w:rPr>
          <w:rFonts w:hint="eastAsia" w:ascii="宋体" w:hAnsi="宋体" w:cs="宋体"/>
          <w:b/>
          <w:bCs/>
          <w:szCs w:val="21"/>
        </w:rPr>
      </w:pPr>
      <w:r>
        <w:rPr>
          <w:rFonts w:hint="eastAsia" w:ascii="宋体" w:hAnsi="宋体" w:cs="宋体"/>
          <w:b/>
          <w:bCs/>
          <w:szCs w:val="21"/>
        </w:rPr>
        <w:t>盐酸</w:t>
      </w:r>
      <w:r>
        <w:rPr>
          <w:rFonts w:ascii="宋体" w:hAnsi="宋体" w:cs="宋体"/>
          <w:b/>
          <w:bCs/>
          <w:szCs w:val="21"/>
        </w:rPr>
        <w:t>、硫酸</w:t>
      </w:r>
    </w:p>
    <w:p w14:paraId="6A82BF8D">
      <w:pPr>
        <w:spacing w:line="360" w:lineRule="auto"/>
        <w:rPr>
          <w:rFonts w:hint="eastAsia" w:ascii="宋体" w:hAnsi="宋体" w:cs="宋体"/>
          <w:b/>
          <w:szCs w:val="21"/>
        </w:rPr>
      </w:pPr>
      <w:r>
        <w:rPr>
          <w:rFonts w:hint="eastAsia" w:ascii="宋体" w:hAnsi="宋体" w:cs="宋体"/>
          <w:b/>
          <w:szCs w:val="21"/>
        </w:rPr>
        <w:t>一、采购清单</w:t>
      </w:r>
    </w:p>
    <w:tbl>
      <w:tblPr>
        <w:tblStyle w:val="16"/>
        <w:tblpPr w:leftFromText="180" w:rightFromText="180" w:vertAnchor="text" w:horzAnchor="page" w:tblpXSpec="center" w:tblpY="499"/>
        <w:tblOverlap w:val="never"/>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73"/>
        <w:gridCol w:w="985"/>
        <w:gridCol w:w="1720"/>
        <w:gridCol w:w="1506"/>
        <w:gridCol w:w="2408"/>
      </w:tblGrid>
      <w:tr w14:paraId="334B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3AA7D206">
            <w:pPr>
              <w:spacing w:line="360" w:lineRule="auto"/>
              <w:jc w:val="center"/>
              <w:rPr>
                <w:rFonts w:hint="eastAsia" w:ascii="宋体" w:hAnsi="宋体" w:cs="宋体"/>
                <w:b/>
                <w:szCs w:val="21"/>
              </w:rPr>
            </w:pPr>
            <w:r>
              <w:rPr>
                <w:rFonts w:hint="eastAsia" w:ascii="宋体" w:hAnsi="宋体" w:cs="宋体"/>
                <w:b/>
                <w:szCs w:val="21"/>
              </w:rPr>
              <w:t>辅料名称</w:t>
            </w:r>
          </w:p>
        </w:tc>
        <w:tc>
          <w:tcPr>
            <w:tcW w:w="1573" w:type="dxa"/>
            <w:tcBorders>
              <w:top w:val="single" w:color="auto" w:sz="4" w:space="0"/>
              <w:left w:val="single" w:color="auto" w:sz="4" w:space="0"/>
              <w:bottom w:val="single" w:color="auto" w:sz="4" w:space="0"/>
              <w:right w:val="single" w:color="auto" w:sz="4" w:space="0"/>
            </w:tcBorders>
            <w:noWrap/>
            <w:vAlign w:val="center"/>
          </w:tcPr>
          <w:p w14:paraId="014A1FE5">
            <w:pPr>
              <w:spacing w:line="360" w:lineRule="auto"/>
              <w:jc w:val="center"/>
              <w:rPr>
                <w:rFonts w:hint="eastAsia" w:ascii="宋体" w:hAnsi="宋体" w:cs="宋体"/>
                <w:b/>
                <w:szCs w:val="21"/>
              </w:rPr>
            </w:pPr>
            <w:r>
              <w:rPr>
                <w:rFonts w:hint="eastAsia" w:ascii="宋体" w:hAnsi="宋体" w:cs="宋体"/>
                <w:b/>
                <w:szCs w:val="21"/>
              </w:rPr>
              <w:t>计划采购供货量</w:t>
            </w:r>
          </w:p>
        </w:tc>
        <w:tc>
          <w:tcPr>
            <w:tcW w:w="985" w:type="dxa"/>
            <w:tcBorders>
              <w:top w:val="single" w:color="auto" w:sz="4" w:space="0"/>
              <w:left w:val="single" w:color="auto" w:sz="4" w:space="0"/>
              <w:bottom w:val="single" w:color="auto" w:sz="4" w:space="0"/>
              <w:right w:val="single" w:color="auto" w:sz="4" w:space="0"/>
            </w:tcBorders>
            <w:noWrap/>
            <w:vAlign w:val="center"/>
          </w:tcPr>
          <w:p w14:paraId="49ABD9CA">
            <w:pPr>
              <w:spacing w:line="360" w:lineRule="auto"/>
              <w:jc w:val="center"/>
              <w:rPr>
                <w:rFonts w:hint="eastAsia" w:ascii="宋体" w:hAnsi="宋体" w:cs="宋体"/>
                <w:b/>
                <w:szCs w:val="21"/>
              </w:rPr>
            </w:pPr>
            <w:r>
              <w:rPr>
                <w:rFonts w:hint="eastAsia" w:ascii="宋体" w:hAnsi="宋体" w:cs="宋体"/>
                <w:b/>
                <w:szCs w:val="21"/>
              </w:rPr>
              <w:t>计量单位</w:t>
            </w:r>
          </w:p>
        </w:tc>
        <w:tc>
          <w:tcPr>
            <w:tcW w:w="1720" w:type="dxa"/>
            <w:tcBorders>
              <w:top w:val="single" w:color="auto" w:sz="4" w:space="0"/>
              <w:left w:val="single" w:color="auto" w:sz="4" w:space="0"/>
              <w:bottom w:val="single" w:color="auto" w:sz="4" w:space="0"/>
              <w:right w:val="single" w:color="auto" w:sz="4" w:space="0"/>
            </w:tcBorders>
            <w:noWrap/>
            <w:vAlign w:val="center"/>
          </w:tcPr>
          <w:p w14:paraId="19E07168">
            <w:pPr>
              <w:spacing w:line="360" w:lineRule="auto"/>
              <w:jc w:val="center"/>
              <w:rPr>
                <w:rFonts w:hint="eastAsia" w:ascii="宋体" w:hAnsi="宋体" w:cs="宋体"/>
                <w:b/>
                <w:szCs w:val="21"/>
              </w:rPr>
            </w:pPr>
            <w:r>
              <w:rPr>
                <w:rFonts w:hint="eastAsia" w:ascii="宋体" w:hAnsi="宋体" w:cs="宋体"/>
                <w:b/>
                <w:szCs w:val="21"/>
              </w:rPr>
              <w:t>单价最高限价（元/吨）</w:t>
            </w:r>
          </w:p>
        </w:tc>
        <w:tc>
          <w:tcPr>
            <w:tcW w:w="1506" w:type="dxa"/>
            <w:tcBorders>
              <w:top w:val="single" w:color="auto" w:sz="4" w:space="0"/>
              <w:left w:val="single" w:color="auto" w:sz="4" w:space="0"/>
              <w:bottom w:val="single" w:color="auto" w:sz="4" w:space="0"/>
              <w:right w:val="single" w:color="auto" w:sz="4" w:space="0"/>
            </w:tcBorders>
            <w:noWrap/>
            <w:vAlign w:val="center"/>
          </w:tcPr>
          <w:p w14:paraId="468D82A1">
            <w:pPr>
              <w:spacing w:line="360" w:lineRule="auto"/>
              <w:jc w:val="center"/>
              <w:rPr>
                <w:rFonts w:hint="eastAsia" w:ascii="宋体" w:hAnsi="宋体" w:cs="宋体"/>
                <w:b/>
                <w:szCs w:val="21"/>
              </w:rPr>
            </w:pPr>
            <w:r>
              <w:rPr>
                <w:rFonts w:hint="eastAsia" w:ascii="宋体" w:hAnsi="宋体" w:cs="宋体"/>
                <w:b/>
                <w:szCs w:val="21"/>
              </w:rPr>
              <w:t>用途</w:t>
            </w:r>
          </w:p>
        </w:tc>
        <w:tc>
          <w:tcPr>
            <w:tcW w:w="2408" w:type="dxa"/>
            <w:tcBorders>
              <w:top w:val="single" w:color="auto" w:sz="4" w:space="0"/>
              <w:left w:val="single" w:color="auto" w:sz="4" w:space="0"/>
              <w:bottom w:val="single" w:color="auto" w:sz="4" w:space="0"/>
              <w:right w:val="single" w:color="auto" w:sz="4" w:space="0"/>
            </w:tcBorders>
            <w:noWrap/>
            <w:vAlign w:val="center"/>
          </w:tcPr>
          <w:p w14:paraId="45656981">
            <w:pPr>
              <w:spacing w:line="360" w:lineRule="auto"/>
              <w:jc w:val="center"/>
              <w:rPr>
                <w:rFonts w:hint="eastAsia" w:ascii="宋体" w:hAnsi="宋体" w:cs="宋体"/>
                <w:b/>
                <w:szCs w:val="21"/>
              </w:rPr>
            </w:pPr>
            <w:r>
              <w:rPr>
                <w:rFonts w:hint="eastAsia" w:ascii="宋体" w:hAnsi="宋体" w:cs="宋体"/>
                <w:b/>
                <w:szCs w:val="21"/>
              </w:rPr>
              <w:t>送货要求</w:t>
            </w:r>
          </w:p>
        </w:tc>
      </w:tr>
      <w:tr w14:paraId="3E53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576F80A5">
            <w:pPr>
              <w:spacing w:line="360" w:lineRule="auto"/>
              <w:jc w:val="center"/>
              <w:rPr>
                <w:rFonts w:hint="eastAsia" w:ascii="宋体" w:hAnsi="宋体" w:cs="宋体"/>
                <w:bCs/>
                <w:szCs w:val="21"/>
              </w:rPr>
            </w:pPr>
            <w:r>
              <w:rPr>
                <w:rFonts w:hint="eastAsia" w:ascii="宋体" w:hAnsi="宋体" w:cs="宋体"/>
                <w:bCs/>
                <w:szCs w:val="21"/>
              </w:rPr>
              <w:t>盐酸</w:t>
            </w:r>
          </w:p>
        </w:tc>
        <w:tc>
          <w:tcPr>
            <w:tcW w:w="1573" w:type="dxa"/>
            <w:tcBorders>
              <w:top w:val="single" w:color="auto" w:sz="4" w:space="0"/>
              <w:left w:val="single" w:color="auto" w:sz="4" w:space="0"/>
              <w:bottom w:val="single" w:color="auto" w:sz="4" w:space="0"/>
              <w:right w:val="single" w:color="auto" w:sz="4" w:space="0"/>
            </w:tcBorders>
            <w:noWrap/>
            <w:vAlign w:val="center"/>
          </w:tcPr>
          <w:p w14:paraId="09FA3B13">
            <w:pPr>
              <w:spacing w:line="360" w:lineRule="auto"/>
              <w:jc w:val="center"/>
              <w:rPr>
                <w:rFonts w:hint="eastAsia" w:ascii="宋体" w:hAnsi="宋体" w:cs="宋体"/>
                <w:bCs/>
                <w:szCs w:val="21"/>
              </w:rPr>
            </w:pPr>
            <w:r>
              <w:rPr>
                <w:rFonts w:hint="eastAsia" w:ascii="宋体" w:hAnsi="宋体" w:cs="宋体"/>
                <w:bCs/>
                <w:szCs w:val="21"/>
              </w:rPr>
              <w:t>约30</w:t>
            </w:r>
          </w:p>
        </w:tc>
        <w:tc>
          <w:tcPr>
            <w:tcW w:w="985" w:type="dxa"/>
            <w:tcBorders>
              <w:top w:val="single" w:color="auto" w:sz="4" w:space="0"/>
              <w:left w:val="single" w:color="auto" w:sz="4" w:space="0"/>
              <w:bottom w:val="single" w:color="auto" w:sz="4" w:space="0"/>
              <w:right w:val="single" w:color="auto" w:sz="4" w:space="0"/>
            </w:tcBorders>
            <w:noWrap/>
            <w:vAlign w:val="center"/>
          </w:tcPr>
          <w:p w14:paraId="17A12865">
            <w:pPr>
              <w:spacing w:line="360" w:lineRule="auto"/>
              <w:jc w:val="center"/>
              <w:rPr>
                <w:rFonts w:hint="eastAsia" w:ascii="宋体" w:hAnsi="宋体" w:cs="宋体"/>
                <w:bCs/>
                <w:szCs w:val="21"/>
              </w:rPr>
            </w:pPr>
            <w:r>
              <w:rPr>
                <w:rFonts w:hint="eastAsia" w:ascii="宋体" w:hAnsi="宋体" w:cs="宋体"/>
                <w:bCs/>
                <w:szCs w:val="21"/>
              </w:rPr>
              <w:t>吨</w:t>
            </w:r>
          </w:p>
        </w:tc>
        <w:tc>
          <w:tcPr>
            <w:tcW w:w="1720" w:type="dxa"/>
            <w:tcBorders>
              <w:top w:val="single" w:color="auto" w:sz="4" w:space="0"/>
              <w:left w:val="single" w:color="auto" w:sz="4" w:space="0"/>
              <w:bottom w:val="single" w:color="auto" w:sz="4" w:space="0"/>
              <w:right w:val="single" w:color="auto" w:sz="4" w:space="0"/>
            </w:tcBorders>
            <w:noWrap/>
            <w:vAlign w:val="center"/>
          </w:tcPr>
          <w:p w14:paraId="334A0435">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600</w:t>
            </w:r>
          </w:p>
        </w:tc>
        <w:tc>
          <w:tcPr>
            <w:tcW w:w="1506" w:type="dxa"/>
            <w:tcBorders>
              <w:top w:val="single" w:color="auto" w:sz="4" w:space="0"/>
              <w:left w:val="single" w:color="auto" w:sz="4" w:space="0"/>
              <w:bottom w:val="single" w:color="auto" w:sz="4" w:space="0"/>
              <w:right w:val="single" w:color="auto" w:sz="4" w:space="0"/>
            </w:tcBorders>
            <w:noWrap/>
            <w:vAlign w:val="center"/>
          </w:tcPr>
          <w:p w14:paraId="7109DC22">
            <w:pPr>
              <w:spacing w:line="360" w:lineRule="auto"/>
              <w:jc w:val="center"/>
              <w:rPr>
                <w:rFonts w:hint="eastAsia" w:ascii="宋体" w:hAnsi="宋体" w:cs="宋体"/>
                <w:bCs/>
                <w:szCs w:val="21"/>
              </w:rPr>
            </w:pPr>
            <w:r>
              <w:rPr>
                <w:rFonts w:hint="eastAsia" w:ascii="宋体" w:hAnsi="宋体" w:cs="宋体"/>
                <w:bCs/>
                <w:szCs w:val="21"/>
              </w:rPr>
              <w:t>洗烟废水处理用</w:t>
            </w:r>
          </w:p>
        </w:tc>
        <w:tc>
          <w:tcPr>
            <w:tcW w:w="2408" w:type="dxa"/>
            <w:tcBorders>
              <w:top w:val="single" w:color="auto" w:sz="4" w:space="0"/>
              <w:left w:val="single" w:color="auto" w:sz="4" w:space="0"/>
              <w:bottom w:val="single" w:color="auto" w:sz="4" w:space="0"/>
              <w:right w:val="single" w:color="auto" w:sz="4" w:space="0"/>
            </w:tcBorders>
            <w:noWrap/>
            <w:vAlign w:val="center"/>
          </w:tcPr>
          <w:p w14:paraId="276AC08F">
            <w:pPr>
              <w:spacing w:line="360" w:lineRule="auto"/>
              <w:jc w:val="center"/>
              <w:rPr>
                <w:rFonts w:hint="eastAsia" w:ascii="宋体" w:hAnsi="宋体" w:cs="宋体"/>
                <w:bCs/>
                <w:szCs w:val="21"/>
              </w:rPr>
            </w:pPr>
            <w:r>
              <w:rPr>
                <w:rFonts w:hint="eastAsia" w:ascii="宋体" w:hAnsi="宋体" w:cs="宋体"/>
                <w:bCs/>
                <w:szCs w:val="21"/>
              </w:rPr>
              <w:t>现场储罐为5m</w:t>
            </w:r>
            <w:r>
              <w:rPr>
                <w:rFonts w:hint="eastAsia" w:ascii="宋体" w:hAnsi="宋体" w:cs="宋体"/>
                <w:bCs/>
                <w:szCs w:val="21"/>
                <w:vertAlign w:val="superscript"/>
              </w:rPr>
              <w:t>3</w:t>
            </w:r>
            <w:r>
              <w:rPr>
                <w:rFonts w:hint="eastAsia" w:ascii="宋体" w:hAnsi="宋体" w:cs="宋体"/>
                <w:bCs/>
                <w:szCs w:val="21"/>
              </w:rPr>
              <w:t>一个，按现场需求分批送货</w:t>
            </w:r>
          </w:p>
        </w:tc>
      </w:tr>
      <w:tr w14:paraId="39B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85" w:type="dxa"/>
            <w:tcBorders>
              <w:top w:val="single" w:color="auto" w:sz="4" w:space="0"/>
              <w:left w:val="single" w:color="auto" w:sz="4" w:space="0"/>
              <w:right w:val="single" w:color="auto" w:sz="4" w:space="0"/>
            </w:tcBorders>
            <w:noWrap/>
            <w:vAlign w:val="center"/>
          </w:tcPr>
          <w:p w14:paraId="5D9F7E36">
            <w:pPr>
              <w:spacing w:line="360" w:lineRule="auto"/>
              <w:jc w:val="center"/>
              <w:rPr>
                <w:rFonts w:hint="eastAsia" w:ascii="宋体" w:hAnsi="宋体" w:cs="宋体"/>
                <w:bCs/>
                <w:szCs w:val="21"/>
              </w:rPr>
            </w:pPr>
            <w:r>
              <w:rPr>
                <w:rFonts w:hint="eastAsia" w:ascii="宋体" w:hAnsi="宋体" w:cs="宋体"/>
                <w:bCs/>
                <w:szCs w:val="21"/>
              </w:rPr>
              <w:t>硫酸</w:t>
            </w:r>
          </w:p>
        </w:tc>
        <w:tc>
          <w:tcPr>
            <w:tcW w:w="1573" w:type="dxa"/>
            <w:tcBorders>
              <w:top w:val="single" w:color="auto" w:sz="4" w:space="0"/>
              <w:left w:val="single" w:color="auto" w:sz="4" w:space="0"/>
              <w:right w:val="single" w:color="auto" w:sz="4" w:space="0"/>
            </w:tcBorders>
            <w:noWrap/>
            <w:vAlign w:val="center"/>
          </w:tcPr>
          <w:p w14:paraId="61DCC18D">
            <w:pPr>
              <w:spacing w:line="360" w:lineRule="auto"/>
              <w:jc w:val="center"/>
              <w:rPr>
                <w:rFonts w:hint="eastAsia" w:ascii="宋体" w:hAnsi="宋体" w:cs="宋体"/>
                <w:bCs/>
                <w:szCs w:val="21"/>
              </w:rPr>
            </w:pPr>
            <w:r>
              <w:rPr>
                <w:rFonts w:hint="eastAsia" w:ascii="宋体" w:hAnsi="宋体" w:cs="宋体"/>
                <w:bCs/>
                <w:szCs w:val="21"/>
              </w:rPr>
              <w:t>约150</w:t>
            </w:r>
          </w:p>
        </w:tc>
        <w:tc>
          <w:tcPr>
            <w:tcW w:w="985" w:type="dxa"/>
            <w:tcBorders>
              <w:top w:val="single" w:color="auto" w:sz="4" w:space="0"/>
              <w:left w:val="single" w:color="auto" w:sz="4" w:space="0"/>
              <w:bottom w:val="single" w:color="auto" w:sz="4" w:space="0"/>
              <w:right w:val="single" w:color="auto" w:sz="4" w:space="0"/>
            </w:tcBorders>
            <w:noWrap/>
            <w:vAlign w:val="center"/>
          </w:tcPr>
          <w:p w14:paraId="304EFA30">
            <w:pPr>
              <w:spacing w:line="360" w:lineRule="auto"/>
              <w:jc w:val="center"/>
              <w:rPr>
                <w:rFonts w:hint="eastAsia" w:ascii="宋体" w:hAnsi="宋体" w:cs="宋体"/>
                <w:bCs/>
                <w:szCs w:val="21"/>
              </w:rPr>
            </w:pPr>
            <w:r>
              <w:rPr>
                <w:rFonts w:hint="eastAsia" w:ascii="宋体" w:hAnsi="宋体" w:cs="宋体"/>
                <w:bCs/>
                <w:szCs w:val="21"/>
              </w:rPr>
              <w:t>吨</w:t>
            </w:r>
          </w:p>
        </w:tc>
        <w:tc>
          <w:tcPr>
            <w:tcW w:w="1720" w:type="dxa"/>
            <w:tcBorders>
              <w:top w:val="single" w:color="auto" w:sz="4" w:space="0"/>
              <w:left w:val="single" w:color="auto" w:sz="4" w:space="0"/>
              <w:right w:val="single" w:color="auto" w:sz="4" w:space="0"/>
            </w:tcBorders>
            <w:noWrap/>
            <w:vAlign w:val="center"/>
          </w:tcPr>
          <w:p w14:paraId="486AB6DB">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1500</w:t>
            </w:r>
          </w:p>
        </w:tc>
        <w:tc>
          <w:tcPr>
            <w:tcW w:w="1506" w:type="dxa"/>
            <w:tcBorders>
              <w:top w:val="single" w:color="auto" w:sz="4" w:space="0"/>
              <w:left w:val="single" w:color="auto" w:sz="4" w:space="0"/>
              <w:right w:val="single" w:color="auto" w:sz="4" w:space="0"/>
            </w:tcBorders>
            <w:noWrap/>
            <w:vAlign w:val="center"/>
          </w:tcPr>
          <w:p w14:paraId="6384BAF0">
            <w:pPr>
              <w:spacing w:line="360" w:lineRule="auto"/>
              <w:jc w:val="center"/>
              <w:rPr>
                <w:rFonts w:hint="eastAsia" w:ascii="宋体" w:hAnsi="宋体" w:cs="宋体"/>
                <w:bCs/>
                <w:szCs w:val="21"/>
              </w:rPr>
            </w:pPr>
            <w:r>
              <w:rPr>
                <w:rFonts w:hint="eastAsia" w:ascii="宋体" w:hAnsi="宋体" w:cs="宋体"/>
                <w:bCs/>
                <w:szCs w:val="21"/>
              </w:rPr>
              <w:t>渗滤液处理用</w:t>
            </w:r>
          </w:p>
        </w:tc>
        <w:tc>
          <w:tcPr>
            <w:tcW w:w="2408" w:type="dxa"/>
            <w:tcBorders>
              <w:top w:val="single" w:color="auto" w:sz="4" w:space="0"/>
              <w:left w:val="single" w:color="auto" w:sz="4" w:space="0"/>
              <w:right w:val="single" w:color="auto" w:sz="4" w:space="0"/>
            </w:tcBorders>
            <w:noWrap/>
            <w:vAlign w:val="center"/>
          </w:tcPr>
          <w:p w14:paraId="3437DF2B">
            <w:pPr>
              <w:spacing w:line="360" w:lineRule="auto"/>
              <w:jc w:val="center"/>
              <w:rPr>
                <w:rFonts w:hint="eastAsia" w:ascii="宋体" w:hAnsi="宋体" w:cs="宋体"/>
                <w:bCs/>
                <w:szCs w:val="21"/>
              </w:rPr>
            </w:pPr>
            <w:r>
              <w:rPr>
                <w:rFonts w:hint="eastAsia" w:ascii="宋体" w:hAnsi="宋体" w:cs="宋体"/>
                <w:bCs/>
                <w:szCs w:val="21"/>
              </w:rPr>
              <w:t>现场储罐为5m</w:t>
            </w:r>
            <w:r>
              <w:rPr>
                <w:rFonts w:hint="eastAsia" w:ascii="宋体" w:hAnsi="宋体" w:cs="宋体"/>
                <w:bCs/>
                <w:szCs w:val="21"/>
                <w:vertAlign w:val="superscript"/>
              </w:rPr>
              <w:t>3</w:t>
            </w:r>
            <w:r>
              <w:rPr>
                <w:rFonts w:hint="eastAsia" w:ascii="宋体" w:hAnsi="宋体" w:cs="宋体"/>
                <w:bCs/>
                <w:szCs w:val="21"/>
              </w:rPr>
              <w:t>一个，按现场需求分批送货</w:t>
            </w:r>
          </w:p>
        </w:tc>
      </w:tr>
    </w:tbl>
    <w:p w14:paraId="55553C4C">
      <w:pPr>
        <w:spacing w:line="240" w:lineRule="auto"/>
        <w:rPr>
          <w:rFonts w:hint="eastAsia" w:ascii="宋体" w:hAnsi="宋体" w:cs="宋体"/>
          <w:szCs w:val="21"/>
        </w:rPr>
      </w:pPr>
    </w:p>
    <w:p w14:paraId="1AE86C5F">
      <w:pPr>
        <w:spacing w:line="360" w:lineRule="auto"/>
        <w:rPr>
          <w:rFonts w:hint="eastAsia" w:ascii="宋体" w:hAnsi="宋体" w:cs="宋体"/>
          <w:szCs w:val="21"/>
        </w:rPr>
      </w:pPr>
      <w:r>
        <w:rPr>
          <w:rFonts w:hint="eastAsia" w:ascii="宋体" w:hAnsi="宋体" w:cs="宋体"/>
          <w:szCs w:val="21"/>
        </w:rPr>
        <w:t>备注：</w:t>
      </w:r>
    </w:p>
    <w:p w14:paraId="622BB22F">
      <w:pPr>
        <w:pStyle w:val="37"/>
        <w:numPr>
          <w:ilvl w:val="0"/>
          <w:numId w:val="4"/>
        </w:numPr>
        <w:spacing w:line="360" w:lineRule="auto"/>
        <w:ind w:firstLineChars="0"/>
        <w:rPr>
          <w:rFonts w:ascii="宋体" w:hAnsi="宋体" w:cs="宋体"/>
          <w:szCs w:val="21"/>
        </w:rPr>
      </w:pPr>
      <w:r>
        <w:rPr>
          <w:rFonts w:hint="eastAsia" w:ascii="宋体" w:hAnsi="宋体" w:cs="宋体"/>
          <w:szCs w:val="21"/>
        </w:rPr>
        <w:t>年度计划采购总量只是参考数量，实际按采购期限供应。</w:t>
      </w:r>
    </w:p>
    <w:p w14:paraId="5FA4C525">
      <w:pPr>
        <w:spacing w:line="360" w:lineRule="auto"/>
        <w:rPr>
          <w:rFonts w:hint="eastAsia" w:ascii="宋体" w:hAnsi="宋体" w:cs="宋体"/>
          <w:szCs w:val="21"/>
        </w:rPr>
      </w:pPr>
      <w:r>
        <w:rPr>
          <w:rFonts w:hint="eastAsia" w:ascii="宋体" w:hAnsi="宋体" w:cs="宋体"/>
          <w:szCs w:val="21"/>
        </w:rPr>
        <w:t>2、硫酸采用调价方式：</w:t>
      </w:r>
    </w:p>
    <w:p w14:paraId="1DF8AF28">
      <w:pPr>
        <w:spacing w:line="360" w:lineRule="auto"/>
        <w:rPr>
          <w:rFonts w:hint="eastAsia" w:ascii="宋体" w:hAnsi="宋体" w:cs="宋体"/>
          <w:szCs w:val="21"/>
        </w:rPr>
      </w:pPr>
      <w:r>
        <w:rPr>
          <w:rFonts w:hint="eastAsia" w:ascii="宋体" w:hAnsi="宋体" w:cs="宋体"/>
          <w:szCs w:val="21"/>
        </w:rPr>
        <w:t>(1)合同有效期内，硫酸市场价格涨跌幅度超过10%的（价格以卓创网（http：//www.sci99.com/）的华南市场韶关冶炼硫酸（冶炼酸98%）月平均价格为参考依据），双方均可提出调价申请，调整后价格，在下月执行。</w:t>
      </w:r>
    </w:p>
    <w:p w14:paraId="5F23BA08">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成交人</w:t>
      </w:r>
      <w:r>
        <w:rPr>
          <w:rFonts w:hint="eastAsia" w:ascii="宋体" w:hAnsi="宋体" w:cs="宋体"/>
          <w:szCs w:val="21"/>
        </w:rPr>
        <w:t>需调价时，必须提前30天以书面的形式通知采购人，征得采购人同意后方可生效；当满足价格下调条件时，采购人书面通知</w:t>
      </w:r>
      <w:r>
        <w:rPr>
          <w:rFonts w:hint="eastAsia" w:ascii="宋体" w:hAnsi="宋体" w:cs="宋体"/>
          <w:szCs w:val="21"/>
          <w:lang w:eastAsia="zh-CN"/>
        </w:rPr>
        <w:t>成交人</w:t>
      </w:r>
      <w:r>
        <w:rPr>
          <w:rFonts w:hint="eastAsia" w:ascii="宋体" w:hAnsi="宋体" w:cs="宋体"/>
          <w:szCs w:val="21"/>
        </w:rPr>
        <w:t>调价后生效，在下月执行。</w:t>
      </w:r>
    </w:p>
    <w:p w14:paraId="6496762D">
      <w:pPr>
        <w:spacing w:line="360" w:lineRule="auto"/>
        <w:rPr>
          <w:rFonts w:hint="eastAsia" w:ascii="宋体" w:hAnsi="宋体" w:cs="宋体"/>
          <w:szCs w:val="21"/>
        </w:rPr>
      </w:pPr>
      <w:r>
        <w:rPr>
          <w:rFonts w:hint="eastAsia" w:ascii="宋体" w:hAnsi="宋体" w:cs="宋体"/>
          <w:szCs w:val="21"/>
        </w:rPr>
        <w:t>(3)变动价格的计算方式：基准价±华南市场韶关冶炼硫酸（冶炼酸98%）当月平均价格×华南市场韶关冶炼硫酸（冶炼酸98%）当月平均价格波动比例。（基准价为中标价）</w:t>
      </w:r>
    </w:p>
    <w:p w14:paraId="6886DC40">
      <w:pPr>
        <w:rPr>
          <w:rFonts w:ascii="宋体" w:hAnsi="宋体" w:cs="宋体"/>
          <w:szCs w:val="21"/>
        </w:rPr>
      </w:pPr>
      <w:r>
        <w:rPr>
          <w:rFonts w:hint="eastAsia" w:ascii="宋体" w:hAnsi="宋体" w:cs="宋体"/>
          <w:szCs w:val="21"/>
        </w:rPr>
        <w:t>(4) 华南市场韶关冶炼硫酸（冶炼酸98%）当月平均价格波动比例=（当月平均价-基准月平均价）/基准月平均价×100%（注：本次合同以卓创网上华南市场韶关冶炼硫酸（冶炼酸98%）</w:t>
      </w:r>
      <w:r>
        <w:rPr>
          <w:rFonts w:hint="eastAsia" w:ascii="宋体" w:hAnsi="宋体" w:cs="宋体"/>
          <w:szCs w:val="21"/>
          <w:highlight w:val="yellow"/>
        </w:rPr>
        <w:t>2026年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rPr>
        <w:t>平均价格为月基准平均价，当月平均价为卓创网上华南市场韶关冶炼硫酸（冶炼酸98%）的当月价）。</w:t>
      </w:r>
    </w:p>
    <w:p w14:paraId="0FDA63A6">
      <w:pPr>
        <w:rPr>
          <w:rFonts w:hint="eastAsia"/>
        </w:rPr>
      </w:pPr>
      <w:r>
        <w:rPr>
          <w:rFonts w:hint="eastAsia"/>
        </w:rPr>
        <w:t>5、盐酸不调价。</w:t>
      </w:r>
    </w:p>
    <w:p w14:paraId="21AC22ED">
      <w:pPr>
        <w:spacing w:line="360" w:lineRule="auto"/>
        <w:rPr>
          <w:rFonts w:hint="eastAsia" w:ascii="宋体" w:hAnsi="宋体" w:cs="宋体"/>
          <w:b/>
          <w:szCs w:val="21"/>
        </w:rPr>
      </w:pPr>
      <w:r>
        <w:rPr>
          <w:rFonts w:hint="eastAsia" w:ascii="宋体" w:hAnsi="宋体" w:cs="宋体"/>
          <w:b/>
          <w:szCs w:val="21"/>
        </w:rPr>
        <w:t xml:space="preserve">二、技术标准 、 </w:t>
      </w:r>
    </w:p>
    <w:p w14:paraId="2A1E6747">
      <w:pPr>
        <w:pStyle w:val="6"/>
        <w:spacing w:line="360" w:lineRule="auto"/>
        <w:ind w:firstLine="420" w:firstLineChars="200"/>
        <w:rPr>
          <w:rFonts w:hint="eastAsia" w:ascii="宋体" w:hAnsi="宋体"/>
          <w:szCs w:val="21"/>
        </w:rPr>
      </w:pPr>
      <w:r>
        <w:rPr>
          <w:rFonts w:hint="eastAsia" w:ascii="宋体" w:hAnsi="宋体"/>
          <w:szCs w:val="21"/>
        </w:rPr>
        <w:t>1、盐酸技术标准</w:t>
      </w:r>
    </w:p>
    <w:p w14:paraId="6B6CE256">
      <w:pPr>
        <w:pStyle w:val="6"/>
        <w:spacing w:line="360" w:lineRule="auto"/>
        <w:ind w:firstLine="420" w:firstLineChars="200"/>
        <w:rPr>
          <w:rFonts w:hint="eastAsia" w:ascii="宋体" w:hAnsi="宋体"/>
          <w:szCs w:val="21"/>
        </w:rPr>
      </w:pPr>
      <w:r>
        <w:rPr>
          <w:rFonts w:hint="eastAsia" w:ascii="宋体" w:hAnsi="宋体"/>
          <w:szCs w:val="21"/>
        </w:rPr>
        <w:t>满足《工业用合成盐酸》（GB/T 320-2025）标准中合格品指标，总酸度（以HCl计）的质量分数≥31.0。</w:t>
      </w:r>
    </w:p>
    <w:p w14:paraId="4B33EB63">
      <w:pPr>
        <w:pStyle w:val="6"/>
        <w:spacing w:line="360" w:lineRule="auto"/>
        <w:ind w:firstLine="420" w:firstLineChars="200"/>
        <w:rPr>
          <w:rFonts w:hint="eastAsia" w:ascii="宋体" w:hAnsi="宋体"/>
          <w:szCs w:val="21"/>
        </w:rPr>
      </w:pPr>
      <w:r>
        <w:rPr>
          <w:rFonts w:hint="eastAsia" w:ascii="宋体" w:hAnsi="宋体"/>
          <w:szCs w:val="21"/>
        </w:rPr>
        <w:t>2、硫酸技术标准</w:t>
      </w:r>
    </w:p>
    <w:p w14:paraId="21DA0F68">
      <w:pPr>
        <w:pStyle w:val="6"/>
        <w:spacing w:line="360" w:lineRule="auto"/>
        <w:ind w:left="420"/>
        <w:rPr>
          <w:rFonts w:hint="eastAsia" w:ascii="宋体" w:hAnsi="宋体"/>
          <w:szCs w:val="21"/>
        </w:rPr>
      </w:pPr>
      <w:r>
        <w:rPr>
          <w:rFonts w:hint="eastAsia" w:ascii="宋体" w:hAnsi="宋体"/>
          <w:szCs w:val="21"/>
        </w:rPr>
        <w:t>满足《工业硫酸》（</w:t>
      </w:r>
      <w:r>
        <w:rPr>
          <w:rFonts w:hint="eastAsia" w:ascii="宋体" w:hAnsi="宋体" w:cs="宋体"/>
          <w:szCs w:val="21"/>
        </w:rPr>
        <w:t>‌GB/T 534-2024</w:t>
      </w:r>
      <w:r>
        <w:rPr>
          <w:rFonts w:hint="eastAsia" w:ascii="宋体" w:hAnsi="宋体"/>
          <w:szCs w:val="21"/>
        </w:rPr>
        <w:t>），含量98%，合格品。</w:t>
      </w:r>
    </w:p>
    <w:p w14:paraId="327B6220">
      <w:pPr>
        <w:spacing w:line="360" w:lineRule="auto"/>
        <w:rPr>
          <w:rFonts w:hint="eastAsia" w:ascii="宋体" w:hAnsi="宋体" w:cs="宋体"/>
          <w:b/>
          <w:szCs w:val="21"/>
        </w:rPr>
      </w:pPr>
      <w:r>
        <w:rPr>
          <w:rFonts w:hint="eastAsia" w:ascii="宋体" w:hAnsi="宋体" w:cs="宋体"/>
          <w:b/>
          <w:szCs w:val="21"/>
        </w:rPr>
        <w:t>三、包装</w:t>
      </w:r>
      <w:r>
        <w:rPr>
          <w:rFonts w:hint="eastAsia" w:ascii="宋体" w:hAnsi="宋体" w:cs="宋体"/>
          <w:b/>
          <w:bCs/>
          <w:szCs w:val="21"/>
        </w:rPr>
        <w:t>、运输方式</w:t>
      </w:r>
      <w:r>
        <w:rPr>
          <w:rFonts w:hint="eastAsia" w:ascii="宋体" w:hAnsi="宋体" w:cs="宋体"/>
          <w:b/>
          <w:szCs w:val="21"/>
        </w:rPr>
        <w:t>及费用承担</w:t>
      </w:r>
    </w:p>
    <w:p w14:paraId="499486FF">
      <w:pPr>
        <w:spacing w:line="360" w:lineRule="auto"/>
        <w:ind w:firstLine="420" w:firstLineChars="200"/>
        <w:rPr>
          <w:rFonts w:hint="eastAsia" w:ascii="宋体" w:hAnsi="宋体" w:cs="宋体"/>
          <w:bCs/>
          <w:szCs w:val="21"/>
        </w:rPr>
      </w:pPr>
      <w:r>
        <w:rPr>
          <w:rFonts w:hint="eastAsia" w:ascii="宋体" w:hAnsi="宋体" w:cs="宋体"/>
          <w:bCs/>
          <w:szCs w:val="21"/>
        </w:rPr>
        <w:t>1、货物的包装：化学品的包装必须满足国家标准《化学试剂包装及标志》</w:t>
      </w:r>
      <w:r>
        <w:rPr>
          <w:rFonts w:ascii="宋体" w:hAnsi="宋体" w:cs="宋体"/>
          <w:bCs/>
          <w:szCs w:val="21"/>
        </w:rPr>
        <w:t>GB 15346-2012</w:t>
      </w:r>
      <w:r>
        <w:rPr>
          <w:rFonts w:hint="eastAsia" w:ascii="宋体" w:hAnsi="宋体" w:cs="宋体"/>
          <w:bCs/>
          <w:szCs w:val="21"/>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14:paraId="62BFA028">
      <w:pPr>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eastAsia="zh-CN"/>
        </w:rPr>
        <w:t>成交人</w:t>
      </w:r>
      <w:r>
        <w:rPr>
          <w:rFonts w:hint="eastAsia" w:ascii="宋体" w:hAnsi="宋体" w:cs="宋体"/>
          <w:bCs/>
          <w:szCs w:val="21"/>
        </w:rPr>
        <w:t>应根据货物的特点，用符合规格密封良好的槽罐车送至采购人厂区指定的地点，槽罐必须注意防泄漏，车身干净整洁,注意环境保护。槽罐车实际容量可根据采购人实际送货需求调整。按最新交通运输法，载货后整车总质量必须＜49吨。以上由</w:t>
      </w:r>
      <w:r>
        <w:rPr>
          <w:rFonts w:hint="eastAsia" w:ascii="宋体" w:hAnsi="宋体" w:cs="宋体"/>
          <w:bCs/>
          <w:szCs w:val="21"/>
          <w:lang w:eastAsia="zh-CN"/>
        </w:rPr>
        <w:t>成交人</w:t>
      </w:r>
      <w:r>
        <w:rPr>
          <w:rFonts w:hint="eastAsia" w:ascii="宋体" w:hAnsi="宋体" w:cs="宋体"/>
          <w:bCs/>
          <w:szCs w:val="21"/>
        </w:rPr>
        <w:t>承担运输及装卸等费用，自行卸货。</w:t>
      </w:r>
    </w:p>
    <w:p w14:paraId="37FB0E23">
      <w:pPr>
        <w:spacing w:line="360" w:lineRule="auto"/>
        <w:ind w:firstLine="420" w:firstLineChars="200"/>
        <w:rPr>
          <w:rFonts w:hint="eastAsia" w:ascii="宋体" w:hAnsi="宋体" w:cs="宋体"/>
          <w:b/>
          <w:bCs/>
          <w:szCs w:val="21"/>
        </w:rPr>
      </w:pPr>
      <w:r>
        <w:rPr>
          <w:rFonts w:hint="eastAsia" w:ascii="宋体" w:hAnsi="宋体" w:cs="宋体"/>
          <w:bCs/>
          <w:szCs w:val="21"/>
        </w:rPr>
        <w:t>3、</w:t>
      </w:r>
      <w:r>
        <w:rPr>
          <w:rFonts w:hint="eastAsia" w:ascii="宋体" w:hAnsi="宋体" w:cs="宋体"/>
          <w:bCs/>
          <w:szCs w:val="21"/>
          <w:lang w:eastAsia="zh-CN"/>
        </w:rPr>
        <w:t>成交人</w:t>
      </w:r>
      <w:r>
        <w:rPr>
          <w:rFonts w:hint="eastAsia" w:ascii="宋体" w:hAnsi="宋体" w:cs="宋体"/>
          <w:bCs/>
          <w:szCs w:val="21"/>
        </w:rPr>
        <w:t>负责将每车次货物运抵采购人指定的厂区地点，货到后</w:t>
      </w:r>
      <w:r>
        <w:rPr>
          <w:rFonts w:hint="eastAsia" w:ascii="宋体" w:hAnsi="宋体" w:cs="宋体"/>
          <w:bCs/>
          <w:szCs w:val="21"/>
          <w:lang w:eastAsia="zh-CN"/>
        </w:rPr>
        <w:t>成交人</w:t>
      </w:r>
      <w:r>
        <w:rPr>
          <w:rFonts w:hint="eastAsia" w:ascii="宋体" w:hAnsi="宋体" w:cs="宋体"/>
          <w:bCs/>
          <w:szCs w:val="21"/>
        </w:rPr>
        <w:t>需到采购人地磅过磅，并提供该车次产品的签字盖章的出厂化验报告及送货单，过磅后货到采购人指定地点，在采购人完成取样后，方可卸货。卸货后</w:t>
      </w:r>
      <w:r>
        <w:rPr>
          <w:rFonts w:hint="eastAsia" w:ascii="宋体" w:hAnsi="宋体" w:cs="宋体"/>
          <w:bCs/>
          <w:szCs w:val="21"/>
          <w:lang w:eastAsia="zh-CN"/>
        </w:rPr>
        <w:t>成交人</w:t>
      </w:r>
      <w:r>
        <w:rPr>
          <w:rFonts w:hint="eastAsia" w:ascii="宋体" w:hAnsi="宋体" w:cs="宋体"/>
          <w:bCs/>
          <w:szCs w:val="21"/>
        </w:rPr>
        <w:t>必须再次到采购人地磅过空磅，签字确认并拿取过磅单后，方可离厂。项目指定两人进行收货验收。</w:t>
      </w:r>
    </w:p>
    <w:p w14:paraId="5B18FAB6">
      <w:pPr>
        <w:spacing w:line="360" w:lineRule="auto"/>
        <w:rPr>
          <w:rFonts w:hint="eastAsia" w:ascii="宋体" w:hAnsi="宋体" w:cs="宋体"/>
          <w:b/>
          <w:szCs w:val="21"/>
        </w:rPr>
      </w:pPr>
      <w:r>
        <w:rPr>
          <w:rFonts w:hint="eastAsia" w:ascii="宋体" w:hAnsi="宋体" w:cs="宋体"/>
          <w:b/>
          <w:szCs w:val="21"/>
        </w:rPr>
        <w:t>四、检验标准</w:t>
      </w:r>
    </w:p>
    <w:p w14:paraId="6B4EC62A">
      <w:pPr>
        <w:spacing w:line="360" w:lineRule="auto"/>
        <w:ind w:firstLine="420" w:firstLineChars="200"/>
        <w:rPr>
          <w:rFonts w:hint="eastAsia" w:ascii="宋体" w:hAnsi="宋体" w:cs="宋体"/>
          <w:szCs w:val="21"/>
        </w:rPr>
      </w:pPr>
      <w:r>
        <w:rPr>
          <w:rFonts w:hint="eastAsia" w:ascii="宋体" w:hAnsi="宋体" w:cs="宋体"/>
          <w:szCs w:val="21"/>
        </w:rPr>
        <w:t>《工业用合成盐酸》GB/T 320-2025、《工业硫酸》 ‌GB/T 534-2024‌。</w:t>
      </w:r>
    </w:p>
    <w:p w14:paraId="0EC39B80">
      <w:pPr>
        <w:spacing w:line="360" w:lineRule="auto"/>
        <w:rPr>
          <w:rFonts w:hint="eastAsia" w:ascii="宋体" w:hAnsi="宋体" w:cs="宋体"/>
          <w:b/>
          <w:szCs w:val="21"/>
        </w:rPr>
      </w:pPr>
      <w:r>
        <w:rPr>
          <w:rFonts w:hint="eastAsia" w:ascii="宋体" w:hAnsi="宋体" w:cs="宋体"/>
          <w:b/>
          <w:szCs w:val="21"/>
        </w:rPr>
        <w:t>五、验收及质量要求</w:t>
      </w:r>
    </w:p>
    <w:p w14:paraId="34B8C62D">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成交人</w:t>
      </w:r>
      <w:r>
        <w:rPr>
          <w:rFonts w:hint="eastAsia" w:ascii="宋体" w:hAnsi="宋体" w:cs="宋体"/>
          <w:bCs/>
          <w:szCs w:val="21"/>
        </w:rPr>
        <w:t>在送货时，必须提供每一批货物的产品有效成分的检验报告、合格证明等相关质量证明文件及送货单，要求必须签字盖章。否则，禁止过磅。</w:t>
      </w:r>
    </w:p>
    <w:p w14:paraId="10ADE8A6">
      <w:pPr>
        <w:spacing w:line="360" w:lineRule="auto"/>
        <w:ind w:firstLine="420" w:firstLineChars="200"/>
        <w:rPr>
          <w:rFonts w:hint="eastAsia" w:ascii="宋体" w:hAnsi="宋体" w:cs="宋体"/>
          <w:bCs/>
          <w:szCs w:val="21"/>
        </w:rPr>
      </w:pPr>
      <w:r>
        <w:rPr>
          <w:rFonts w:hint="eastAsia" w:ascii="宋体" w:hAnsi="宋体" w:cs="宋体"/>
          <w:bCs/>
          <w:szCs w:val="21"/>
        </w:rPr>
        <w:t>2、车次过磅后</w:t>
      </w:r>
      <w:r>
        <w:rPr>
          <w:rFonts w:hint="eastAsia" w:ascii="宋体" w:hAnsi="宋体" w:cs="宋体"/>
          <w:bCs/>
          <w:szCs w:val="21"/>
          <w:lang w:eastAsia="zh-CN"/>
        </w:rPr>
        <w:t>成交人</w:t>
      </w:r>
      <w:r>
        <w:rPr>
          <w:rFonts w:hint="eastAsia" w:ascii="宋体" w:hAnsi="宋体" w:cs="宋体"/>
          <w:bCs/>
          <w:szCs w:val="21"/>
        </w:rPr>
        <w:t>送达产品到采购人指定地点进行抽样取样，每次取样时，供需双方应当共同见证取样，且取样单须经供需双方共同签字签章确认（</w:t>
      </w:r>
      <w:r>
        <w:rPr>
          <w:rFonts w:hint="eastAsia" w:ascii="宋体" w:hAnsi="宋体" w:cs="宋体"/>
          <w:bCs/>
          <w:szCs w:val="21"/>
          <w:lang w:eastAsia="zh-CN"/>
        </w:rPr>
        <w:t>成交人</w:t>
      </w:r>
      <w:r>
        <w:rPr>
          <w:rFonts w:hint="eastAsia" w:ascii="宋体" w:hAnsi="宋体" w:cs="宋体"/>
          <w:bCs/>
          <w:szCs w:val="21"/>
        </w:rPr>
        <w:t>拒绝派人参加取样或者拒绝签字盖章确认的，不影响采购人取样的效力）。采购人完成取样并且实验室检测合格后，由</w:t>
      </w:r>
      <w:r>
        <w:rPr>
          <w:rFonts w:hint="eastAsia" w:ascii="宋体" w:hAnsi="宋体" w:cs="宋体"/>
          <w:bCs/>
          <w:szCs w:val="21"/>
          <w:lang w:eastAsia="zh-CN"/>
        </w:rPr>
        <w:t>成交人</w:t>
      </w:r>
      <w:r>
        <w:rPr>
          <w:rFonts w:hint="eastAsia" w:ascii="宋体" w:hAnsi="宋体" w:cs="宋体"/>
          <w:bCs/>
          <w:szCs w:val="21"/>
        </w:rPr>
        <w:t>负责卸货至采购人指定地点，卸货费用已经包含在合同价款中。卸货后</w:t>
      </w:r>
      <w:r>
        <w:rPr>
          <w:rFonts w:hint="eastAsia" w:ascii="宋体" w:hAnsi="宋体" w:cs="宋体"/>
          <w:bCs/>
          <w:szCs w:val="21"/>
          <w:lang w:eastAsia="zh-CN"/>
        </w:rPr>
        <w:t>成交人</w:t>
      </w:r>
      <w:r>
        <w:rPr>
          <w:rFonts w:hint="eastAsia" w:ascii="宋体" w:hAnsi="宋体" w:cs="宋体"/>
          <w:bCs/>
          <w:szCs w:val="21"/>
        </w:rPr>
        <w:t>必须再次到采购人地磅过空磅，签字确认并拿取过磅单后，方可离厂。如退货，</w:t>
      </w:r>
      <w:r>
        <w:rPr>
          <w:rFonts w:hint="eastAsia" w:ascii="宋体" w:hAnsi="宋体" w:cs="宋体"/>
          <w:bCs/>
          <w:szCs w:val="21"/>
          <w:lang w:eastAsia="zh-CN"/>
        </w:rPr>
        <w:t>成交人</w:t>
      </w:r>
      <w:r>
        <w:rPr>
          <w:rFonts w:hint="eastAsia" w:ascii="宋体" w:hAnsi="宋体" w:cs="宋体"/>
          <w:bCs/>
          <w:szCs w:val="21"/>
        </w:rPr>
        <w:t>必须在10小时内将第二车送货到厂。</w:t>
      </w:r>
    </w:p>
    <w:p w14:paraId="738EE13C">
      <w:pPr>
        <w:spacing w:line="360" w:lineRule="auto"/>
        <w:ind w:firstLine="420" w:firstLineChars="200"/>
        <w:rPr>
          <w:rFonts w:hint="eastAsia" w:ascii="宋体" w:hAnsi="宋体" w:cs="宋体"/>
          <w:bCs/>
          <w:szCs w:val="21"/>
        </w:rPr>
      </w:pPr>
      <w:r>
        <w:rPr>
          <w:rFonts w:hint="eastAsia" w:ascii="宋体" w:hAnsi="宋体" w:cs="宋体"/>
          <w:bCs/>
          <w:szCs w:val="21"/>
        </w:rPr>
        <w:t>3、双方代表在验收中不能取得一致意见时，可提请双方认可的国家权威检验部门进行检验，其出具的检验证书是具有法律效力的最终检验结果，对双方都有约束力，检验费由责任方负担。</w:t>
      </w:r>
    </w:p>
    <w:p w14:paraId="7B26385B">
      <w:pPr>
        <w:spacing w:line="360" w:lineRule="auto"/>
        <w:ind w:firstLine="420" w:firstLineChars="200"/>
        <w:rPr>
          <w:rFonts w:hint="eastAsia" w:ascii="宋体" w:hAnsi="宋体" w:cs="宋体"/>
          <w:bCs/>
          <w:szCs w:val="21"/>
        </w:rPr>
      </w:pPr>
      <w:r>
        <w:rPr>
          <w:rFonts w:hint="eastAsia" w:ascii="宋体" w:hAnsi="宋体" w:cs="宋体"/>
          <w:bCs/>
          <w:szCs w:val="21"/>
        </w:rPr>
        <w:t>4、不予收货：</w:t>
      </w:r>
      <w:r>
        <w:rPr>
          <w:rFonts w:hint="eastAsia" w:ascii="宋体" w:hAnsi="宋体" w:cs="宋体"/>
          <w:bCs/>
          <w:szCs w:val="21"/>
          <w:lang w:eastAsia="zh-CN"/>
        </w:rPr>
        <w:t>成交人</w:t>
      </w:r>
      <w:r>
        <w:rPr>
          <w:rFonts w:hint="eastAsia" w:ascii="宋体" w:hAnsi="宋体" w:cs="宋体"/>
          <w:bCs/>
          <w:szCs w:val="21"/>
        </w:rPr>
        <w:t>货物经采购人分析检测室检验确认且确认为本车次产品不合格。</w:t>
      </w:r>
    </w:p>
    <w:p w14:paraId="655589CE">
      <w:pPr>
        <w:spacing w:before="0" w:line="360" w:lineRule="auto"/>
        <w:ind w:firstLine="420" w:firstLineChars="200"/>
      </w:pPr>
      <w:r>
        <w:rPr>
          <w:rFonts w:hint="eastAsia" w:ascii="宋体" w:hAnsi="宋体" w:cs="宋体"/>
          <w:bCs/>
          <w:szCs w:val="21"/>
        </w:rPr>
        <w:t>5、若采购人在运行生产使用过程中，</w:t>
      </w:r>
      <w:r>
        <w:rPr>
          <w:rFonts w:hint="eastAsia" w:ascii="宋体" w:hAnsi="宋体" w:cs="宋体"/>
          <w:bCs/>
          <w:szCs w:val="21"/>
          <w:lang w:eastAsia="zh-CN"/>
        </w:rPr>
        <w:t>成交人</w:t>
      </w:r>
      <w:r>
        <w:rPr>
          <w:rFonts w:hint="eastAsia" w:ascii="宋体" w:hAnsi="宋体" w:cs="宋体"/>
          <w:bCs/>
          <w:szCs w:val="21"/>
        </w:rPr>
        <w:t>的产品被采购人上级主管部门检查质量不合格，并对采购人进行做出相关处罚，由此所产生的责任及采购人损失全由</w:t>
      </w:r>
      <w:r>
        <w:rPr>
          <w:rFonts w:hint="eastAsia" w:ascii="宋体" w:hAnsi="宋体" w:cs="宋体"/>
          <w:bCs/>
          <w:szCs w:val="21"/>
          <w:lang w:eastAsia="zh-CN"/>
        </w:rPr>
        <w:t>成交人</w:t>
      </w:r>
      <w:r>
        <w:rPr>
          <w:rFonts w:hint="eastAsia" w:ascii="宋体" w:hAnsi="宋体" w:cs="宋体"/>
          <w:bCs/>
          <w:szCs w:val="21"/>
        </w:rPr>
        <w:t>承担。</w:t>
      </w:r>
    </w:p>
    <w:p w14:paraId="4EEAE3D2">
      <w:pPr>
        <w:spacing w:line="360" w:lineRule="auto"/>
        <w:ind w:firstLine="420" w:firstLineChars="200"/>
        <w:rPr>
          <w:rFonts w:hint="eastAsia" w:ascii="宋体" w:hAnsi="宋体" w:cs="宋体"/>
          <w:bCs/>
          <w:szCs w:val="21"/>
        </w:rPr>
      </w:pPr>
    </w:p>
    <w:p w14:paraId="472A192D">
      <w:pPr>
        <w:pStyle w:val="29"/>
        <w:numPr>
          <w:ilvl w:val="0"/>
          <w:numId w:val="0"/>
        </w:numPr>
        <w:spacing w:line="360" w:lineRule="auto"/>
        <w:ind w:leftChars="0"/>
        <w:outlineLvl w:val="1"/>
        <w:rPr>
          <w:rFonts w:ascii="仿宋" w:hAnsi="仿宋" w:eastAsia="仿宋"/>
          <w:b/>
          <w:bCs/>
          <w:sz w:val="28"/>
          <w:szCs w:val="44"/>
          <w:highlight w:val="none"/>
        </w:rPr>
      </w:pPr>
    </w:p>
    <w:p w14:paraId="34AA6A89">
      <w:pPr>
        <w:pStyle w:val="7"/>
        <w:rPr>
          <w:rFonts w:hint="default" w:ascii="宋体" w:hAnsi="宋体"/>
          <w:highlight w:val="none"/>
          <w:lang w:val="en-US" w:eastAsia="zh-C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1C48D63A">
        <w:pPr>
          <w:pStyle w:val="11"/>
          <w:spacing w:before="120"/>
          <w:jc w:val="center"/>
        </w:pPr>
      </w:p>
    </w:sdtContent>
  </w:sdt>
  <w:p w14:paraId="765C0D25">
    <w:pPr>
      <w:pStyle w:val="1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816">
    <w:pPr>
      <w:pStyle w:val="1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722">
    <w:pPr>
      <w:pStyle w:val="11"/>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1F75">
    <w:pPr>
      <w:pStyle w:val="1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9943">
    <w:pPr>
      <w:pStyle w:val="1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B37">
    <w:pPr>
      <w:pStyle w:val="1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9B9933"/>
    <w:multiLevelType w:val="singleLevel"/>
    <w:tmpl w:val="1E9B9933"/>
    <w:lvl w:ilvl="0" w:tentative="0">
      <w:start w:val="2"/>
      <w:numFmt w:val="chineseCounting"/>
      <w:suff w:val="nothing"/>
      <w:lvlText w:val="%1、"/>
      <w:lvlJc w:val="left"/>
      <w:rPr>
        <w:rFonts w:hint="eastAsia"/>
      </w:rPr>
    </w:lvl>
  </w:abstractNum>
  <w:abstractNum w:abstractNumId="2">
    <w:nsid w:val="2B8246DB"/>
    <w:multiLevelType w:val="multilevel"/>
    <w:tmpl w:val="2B8246D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099A159"/>
    <w:multiLevelType w:val="singleLevel"/>
    <w:tmpl w:val="6099A159"/>
    <w:lvl w:ilvl="0" w:tentative="0">
      <w:start w:val="1"/>
      <w:numFmt w:val="decimal"/>
      <w:suff w:val="nothing"/>
      <w:lvlText w:val="%1、"/>
      <w:lvlJc w:val="left"/>
      <w:pPr>
        <w:ind w:left="-1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A6F63"/>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785B98"/>
    <w:rsid w:val="018A2978"/>
    <w:rsid w:val="01A53138"/>
    <w:rsid w:val="01D033E4"/>
    <w:rsid w:val="01E9256F"/>
    <w:rsid w:val="01F91325"/>
    <w:rsid w:val="0204131B"/>
    <w:rsid w:val="02063739"/>
    <w:rsid w:val="026D3223"/>
    <w:rsid w:val="028770D3"/>
    <w:rsid w:val="028B66D5"/>
    <w:rsid w:val="02AC173E"/>
    <w:rsid w:val="02BE582C"/>
    <w:rsid w:val="02CF3119"/>
    <w:rsid w:val="02D5471B"/>
    <w:rsid w:val="02E42C65"/>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38726B"/>
    <w:rsid w:val="04480FC7"/>
    <w:rsid w:val="045022DD"/>
    <w:rsid w:val="045D36CC"/>
    <w:rsid w:val="04981731"/>
    <w:rsid w:val="049B023E"/>
    <w:rsid w:val="049F0C1B"/>
    <w:rsid w:val="04A5035F"/>
    <w:rsid w:val="04A649F6"/>
    <w:rsid w:val="04AC637A"/>
    <w:rsid w:val="04C85B77"/>
    <w:rsid w:val="04CF6E29"/>
    <w:rsid w:val="04E43B75"/>
    <w:rsid w:val="04EE6171"/>
    <w:rsid w:val="04F73278"/>
    <w:rsid w:val="05082192"/>
    <w:rsid w:val="050C59EA"/>
    <w:rsid w:val="050D2A9B"/>
    <w:rsid w:val="050E411D"/>
    <w:rsid w:val="052D580A"/>
    <w:rsid w:val="054C4B13"/>
    <w:rsid w:val="0566036B"/>
    <w:rsid w:val="05663D21"/>
    <w:rsid w:val="056A0D08"/>
    <w:rsid w:val="059366CF"/>
    <w:rsid w:val="05B005E5"/>
    <w:rsid w:val="05B87B12"/>
    <w:rsid w:val="05BB0E27"/>
    <w:rsid w:val="05D00163"/>
    <w:rsid w:val="05D70DB9"/>
    <w:rsid w:val="06091A7D"/>
    <w:rsid w:val="0641664A"/>
    <w:rsid w:val="06460246"/>
    <w:rsid w:val="065E42CE"/>
    <w:rsid w:val="06856661"/>
    <w:rsid w:val="068816E8"/>
    <w:rsid w:val="069C6DD5"/>
    <w:rsid w:val="06A236FF"/>
    <w:rsid w:val="06B7358F"/>
    <w:rsid w:val="06F21F49"/>
    <w:rsid w:val="06F539DE"/>
    <w:rsid w:val="070111DD"/>
    <w:rsid w:val="07347967"/>
    <w:rsid w:val="074320E7"/>
    <w:rsid w:val="074C7D90"/>
    <w:rsid w:val="0770520B"/>
    <w:rsid w:val="077C34B8"/>
    <w:rsid w:val="0790350F"/>
    <w:rsid w:val="07A209C4"/>
    <w:rsid w:val="07EA5E2D"/>
    <w:rsid w:val="07EC261C"/>
    <w:rsid w:val="07EF0711"/>
    <w:rsid w:val="080D26DA"/>
    <w:rsid w:val="080F6B2A"/>
    <w:rsid w:val="081C7E5D"/>
    <w:rsid w:val="08283642"/>
    <w:rsid w:val="08284245"/>
    <w:rsid w:val="08391181"/>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B83AB4"/>
    <w:rsid w:val="09C40CDA"/>
    <w:rsid w:val="09F61AD0"/>
    <w:rsid w:val="0A2D58D3"/>
    <w:rsid w:val="0A4E47C8"/>
    <w:rsid w:val="0A51342A"/>
    <w:rsid w:val="0A6F3D19"/>
    <w:rsid w:val="0A887FBA"/>
    <w:rsid w:val="0A9578EA"/>
    <w:rsid w:val="0A9855FA"/>
    <w:rsid w:val="0A9B4FED"/>
    <w:rsid w:val="0AB811A5"/>
    <w:rsid w:val="0AEC7127"/>
    <w:rsid w:val="0AF916E2"/>
    <w:rsid w:val="0B063FF5"/>
    <w:rsid w:val="0B0C0A79"/>
    <w:rsid w:val="0B343C32"/>
    <w:rsid w:val="0B451F6A"/>
    <w:rsid w:val="0B636CD4"/>
    <w:rsid w:val="0B705BE3"/>
    <w:rsid w:val="0B7E1688"/>
    <w:rsid w:val="0B93537C"/>
    <w:rsid w:val="0BC11154"/>
    <w:rsid w:val="0BF02B82"/>
    <w:rsid w:val="0BFD6020"/>
    <w:rsid w:val="0C020C38"/>
    <w:rsid w:val="0C227AFE"/>
    <w:rsid w:val="0C2F6EB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DF33F8"/>
    <w:rsid w:val="0DE07B58"/>
    <w:rsid w:val="0DE142CB"/>
    <w:rsid w:val="0E115CD5"/>
    <w:rsid w:val="0E1B7D40"/>
    <w:rsid w:val="0E2750D5"/>
    <w:rsid w:val="0E456A4A"/>
    <w:rsid w:val="0E513654"/>
    <w:rsid w:val="0E6447C9"/>
    <w:rsid w:val="0E701143"/>
    <w:rsid w:val="0E820056"/>
    <w:rsid w:val="0E96765D"/>
    <w:rsid w:val="0EAD2BF9"/>
    <w:rsid w:val="0EC2618A"/>
    <w:rsid w:val="0EC42418"/>
    <w:rsid w:val="0ED341EB"/>
    <w:rsid w:val="0F136F00"/>
    <w:rsid w:val="0F1727CE"/>
    <w:rsid w:val="0F173921"/>
    <w:rsid w:val="0F2733BC"/>
    <w:rsid w:val="0F3235D9"/>
    <w:rsid w:val="0F543E57"/>
    <w:rsid w:val="0F5B223F"/>
    <w:rsid w:val="0F621F40"/>
    <w:rsid w:val="0F8C6CB2"/>
    <w:rsid w:val="0FDC1CDC"/>
    <w:rsid w:val="0FFA012C"/>
    <w:rsid w:val="0FFE25F6"/>
    <w:rsid w:val="10223C48"/>
    <w:rsid w:val="1030496E"/>
    <w:rsid w:val="104826E0"/>
    <w:rsid w:val="1058205D"/>
    <w:rsid w:val="1081066D"/>
    <w:rsid w:val="1094767D"/>
    <w:rsid w:val="109617B2"/>
    <w:rsid w:val="109A050C"/>
    <w:rsid w:val="109B4883"/>
    <w:rsid w:val="10B93D1B"/>
    <w:rsid w:val="10CA6A02"/>
    <w:rsid w:val="10DF7BBC"/>
    <w:rsid w:val="11117E67"/>
    <w:rsid w:val="11182730"/>
    <w:rsid w:val="11293521"/>
    <w:rsid w:val="112A50BA"/>
    <w:rsid w:val="11375345"/>
    <w:rsid w:val="114619CE"/>
    <w:rsid w:val="11465FF5"/>
    <w:rsid w:val="115654E3"/>
    <w:rsid w:val="11595062"/>
    <w:rsid w:val="11A42091"/>
    <w:rsid w:val="11BD75F7"/>
    <w:rsid w:val="11D21F02"/>
    <w:rsid w:val="120C5D21"/>
    <w:rsid w:val="123649A8"/>
    <w:rsid w:val="12385DAA"/>
    <w:rsid w:val="123B5AD1"/>
    <w:rsid w:val="12410B8B"/>
    <w:rsid w:val="12475EA9"/>
    <w:rsid w:val="12707190"/>
    <w:rsid w:val="1288550F"/>
    <w:rsid w:val="12BE53D5"/>
    <w:rsid w:val="133360BD"/>
    <w:rsid w:val="137A1844"/>
    <w:rsid w:val="13806B33"/>
    <w:rsid w:val="13C85D56"/>
    <w:rsid w:val="14040081"/>
    <w:rsid w:val="140B464A"/>
    <w:rsid w:val="142D218A"/>
    <w:rsid w:val="145C6FD0"/>
    <w:rsid w:val="146E4633"/>
    <w:rsid w:val="146E56C1"/>
    <w:rsid w:val="14A2580E"/>
    <w:rsid w:val="14AD2BFE"/>
    <w:rsid w:val="14B03C61"/>
    <w:rsid w:val="14D94F9A"/>
    <w:rsid w:val="14F40ECC"/>
    <w:rsid w:val="150412EA"/>
    <w:rsid w:val="150A451A"/>
    <w:rsid w:val="15127131"/>
    <w:rsid w:val="15315FCD"/>
    <w:rsid w:val="154C31C1"/>
    <w:rsid w:val="15632594"/>
    <w:rsid w:val="15916BDE"/>
    <w:rsid w:val="15C2719D"/>
    <w:rsid w:val="15E50ECA"/>
    <w:rsid w:val="15F70FAA"/>
    <w:rsid w:val="160E4D4D"/>
    <w:rsid w:val="16207996"/>
    <w:rsid w:val="16260FD9"/>
    <w:rsid w:val="16355694"/>
    <w:rsid w:val="16432BC3"/>
    <w:rsid w:val="164475C7"/>
    <w:rsid w:val="1650078C"/>
    <w:rsid w:val="16626A27"/>
    <w:rsid w:val="16684ADD"/>
    <w:rsid w:val="167A2455"/>
    <w:rsid w:val="169F48DF"/>
    <w:rsid w:val="16A9014A"/>
    <w:rsid w:val="16C2206D"/>
    <w:rsid w:val="16E07F9A"/>
    <w:rsid w:val="16F32AE0"/>
    <w:rsid w:val="17003878"/>
    <w:rsid w:val="17005E9B"/>
    <w:rsid w:val="171438BA"/>
    <w:rsid w:val="17230955"/>
    <w:rsid w:val="175076BE"/>
    <w:rsid w:val="175E7186"/>
    <w:rsid w:val="17AA0F9F"/>
    <w:rsid w:val="17B714AB"/>
    <w:rsid w:val="1804388A"/>
    <w:rsid w:val="182770BA"/>
    <w:rsid w:val="18307103"/>
    <w:rsid w:val="1831075C"/>
    <w:rsid w:val="18331625"/>
    <w:rsid w:val="183445FE"/>
    <w:rsid w:val="183F42E8"/>
    <w:rsid w:val="186E6A90"/>
    <w:rsid w:val="18740DE7"/>
    <w:rsid w:val="18863017"/>
    <w:rsid w:val="18932829"/>
    <w:rsid w:val="189A0DA0"/>
    <w:rsid w:val="18AA6B85"/>
    <w:rsid w:val="18AC6D73"/>
    <w:rsid w:val="18B350A3"/>
    <w:rsid w:val="18C36A99"/>
    <w:rsid w:val="18F605BB"/>
    <w:rsid w:val="190E5465"/>
    <w:rsid w:val="19211ADE"/>
    <w:rsid w:val="19267D5B"/>
    <w:rsid w:val="193136FE"/>
    <w:rsid w:val="19431DA3"/>
    <w:rsid w:val="19C162BB"/>
    <w:rsid w:val="19C8432D"/>
    <w:rsid w:val="19D03415"/>
    <w:rsid w:val="1A114A2E"/>
    <w:rsid w:val="1A31175B"/>
    <w:rsid w:val="1A40729A"/>
    <w:rsid w:val="1A462F08"/>
    <w:rsid w:val="1A740AEE"/>
    <w:rsid w:val="1A8C15A3"/>
    <w:rsid w:val="1A9B5FFB"/>
    <w:rsid w:val="1AC029B2"/>
    <w:rsid w:val="1AD2126E"/>
    <w:rsid w:val="1AD749B1"/>
    <w:rsid w:val="1B4716B4"/>
    <w:rsid w:val="1B7815CA"/>
    <w:rsid w:val="1B9F64DE"/>
    <w:rsid w:val="1BB400F5"/>
    <w:rsid w:val="1BB56A48"/>
    <w:rsid w:val="1BC0349E"/>
    <w:rsid w:val="1C08419D"/>
    <w:rsid w:val="1C633EFC"/>
    <w:rsid w:val="1C7137C5"/>
    <w:rsid w:val="1C743EC6"/>
    <w:rsid w:val="1CA00BF7"/>
    <w:rsid w:val="1CA064F4"/>
    <w:rsid w:val="1CFD70E6"/>
    <w:rsid w:val="1D102DA4"/>
    <w:rsid w:val="1D13631D"/>
    <w:rsid w:val="1D4D5FFD"/>
    <w:rsid w:val="1D60322D"/>
    <w:rsid w:val="1D675885"/>
    <w:rsid w:val="1D7B5E2C"/>
    <w:rsid w:val="1D9531D6"/>
    <w:rsid w:val="1D983953"/>
    <w:rsid w:val="1D9D6494"/>
    <w:rsid w:val="1DC6338F"/>
    <w:rsid w:val="1DD31D21"/>
    <w:rsid w:val="1DD9387C"/>
    <w:rsid w:val="1DDD4935"/>
    <w:rsid w:val="1DE05978"/>
    <w:rsid w:val="1DFA142B"/>
    <w:rsid w:val="1E130059"/>
    <w:rsid w:val="1E1C4541"/>
    <w:rsid w:val="1E1D08F9"/>
    <w:rsid w:val="1E2D7E56"/>
    <w:rsid w:val="1E530F7B"/>
    <w:rsid w:val="1E895861"/>
    <w:rsid w:val="1E8C4DDA"/>
    <w:rsid w:val="1EB558D4"/>
    <w:rsid w:val="1EC10142"/>
    <w:rsid w:val="1ECA1C9D"/>
    <w:rsid w:val="1EDF3E9F"/>
    <w:rsid w:val="1F003FF4"/>
    <w:rsid w:val="1F0A75FE"/>
    <w:rsid w:val="1F0E097D"/>
    <w:rsid w:val="1F243709"/>
    <w:rsid w:val="1F3406BD"/>
    <w:rsid w:val="1F7A0970"/>
    <w:rsid w:val="1F7C0C0C"/>
    <w:rsid w:val="1F896D7E"/>
    <w:rsid w:val="1F991A14"/>
    <w:rsid w:val="20263DCB"/>
    <w:rsid w:val="202975DD"/>
    <w:rsid w:val="203D3B8E"/>
    <w:rsid w:val="207761C8"/>
    <w:rsid w:val="209E2C67"/>
    <w:rsid w:val="20EA5EBD"/>
    <w:rsid w:val="20FF23A0"/>
    <w:rsid w:val="21110DC5"/>
    <w:rsid w:val="215D3AC5"/>
    <w:rsid w:val="216F32CA"/>
    <w:rsid w:val="217B20CF"/>
    <w:rsid w:val="21CB6FBF"/>
    <w:rsid w:val="21DE7908"/>
    <w:rsid w:val="21E76179"/>
    <w:rsid w:val="220845A6"/>
    <w:rsid w:val="220F0311"/>
    <w:rsid w:val="22124112"/>
    <w:rsid w:val="221638BC"/>
    <w:rsid w:val="221D4E54"/>
    <w:rsid w:val="22261D93"/>
    <w:rsid w:val="223E2C19"/>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AA3691"/>
    <w:rsid w:val="23BD2D57"/>
    <w:rsid w:val="23E24BBF"/>
    <w:rsid w:val="23E90D30"/>
    <w:rsid w:val="23F57352"/>
    <w:rsid w:val="23FA2EC0"/>
    <w:rsid w:val="24077D10"/>
    <w:rsid w:val="241308D1"/>
    <w:rsid w:val="242D5F16"/>
    <w:rsid w:val="242F3D6C"/>
    <w:rsid w:val="24373239"/>
    <w:rsid w:val="24461C6B"/>
    <w:rsid w:val="24531CE3"/>
    <w:rsid w:val="245A3D5B"/>
    <w:rsid w:val="245E0A8A"/>
    <w:rsid w:val="249454A5"/>
    <w:rsid w:val="24964EF8"/>
    <w:rsid w:val="249A7996"/>
    <w:rsid w:val="24A10DD2"/>
    <w:rsid w:val="24B57D8C"/>
    <w:rsid w:val="24BE28A6"/>
    <w:rsid w:val="24D057D9"/>
    <w:rsid w:val="24E22663"/>
    <w:rsid w:val="24E23C99"/>
    <w:rsid w:val="24F062D2"/>
    <w:rsid w:val="2529444A"/>
    <w:rsid w:val="253B3777"/>
    <w:rsid w:val="253E3770"/>
    <w:rsid w:val="256A6608"/>
    <w:rsid w:val="256C3FE9"/>
    <w:rsid w:val="256F4081"/>
    <w:rsid w:val="259174A4"/>
    <w:rsid w:val="25A17AC4"/>
    <w:rsid w:val="25A71EE0"/>
    <w:rsid w:val="25C32FD6"/>
    <w:rsid w:val="25D60E9E"/>
    <w:rsid w:val="260343EC"/>
    <w:rsid w:val="26160809"/>
    <w:rsid w:val="261A371B"/>
    <w:rsid w:val="26482E8A"/>
    <w:rsid w:val="265005E2"/>
    <w:rsid w:val="267E2359"/>
    <w:rsid w:val="269F64C8"/>
    <w:rsid w:val="26BC7CBC"/>
    <w:rsid w:val="26CA55C3"/>
    <w:rsid w:val="26F64CE5"/>
    <w:rsid w:val="271327C9"/>
    <w:rsid w:val="27242F2D"/>
    <w:rsid w:val="27447ED5"/>
    <w:rsid w:val="275F3A77"/>
    <w:rsid w:val="27744012"/>
    <w:rsid w:val="2777004F"/>
    <w:rsid w:val="27A07F33"/>
    <w:rsid w:val="27BB0A82"/>
    <w:rsid w:val="27BB666A"/>
    <w:rsid w:val="27C86687"/>
    <w:rsid w:val="27D2107F"/>
    <w:rsid w:val="27D67007"/>
    <w:rsid w:val="27FE6849"/>
    <w:rsid w:val="284F0253"/>
    <w:rsid w:val="28644870"/>
    <w:rsid w:val="288A4353"/>
    <w:rsid w:val="28A53BF2"/>
    <w:rsid w:val="28AC7791"/>
    <w:rsid w:val="28F6607A"/>
    <w:rsid w:val="290676DC"/>
    <w:rsid w:val="290D27BA"/>
    <w:rsid w:val="293E1F8D"/>
    <w:rsid w:val="29442E9B"/>
    <w:rsid w:val="29674CC8"/>
    <w:rsid w:val="297A6E50"/>
    <w:rsid w:val="297F2E73"/>
    <w:rsid w:val="29F23E8A"/>
    <w:rsid w:val="2A012DF7"/>
    <w:rsid w:val="2A113167"/>
    <w:rsid w:val="2A1F6016"/>
    <w:rsid w:val="2A2B6113"/>
    <w:rsid w:val="2A4B5348"/>
    <w:rsid w:val="2A4F1B3F"/>
    <w:rsid w:val="2A555ED0"/>
    <w:rsid w:val="2A5D2CA5"/>
    <w:rsid w:val="2A75051E"/>
    <w:rsid w:val="2AAB33FF"/>
    <w:rsid w:val="2AB8143E"/>
    <w:rsid w:val="2AE949DF"/>
    <w:rsid w:val="2AEF2177"/>
    <w:rsid w:val="2AF12441"/>
    <w:rsid w:val="2AF764E5"/>
    <w:rsid w:val="2B1C1A3A"/>
    <w:rsid w:val="2B250539"/>
    <w:rsid w:val="2B3B474B"/>
    <w:rsid w:val="2B3E72B6"/>
    <w:rsid w:val="2B4E27CA"/>
    <w:rsid w:val="2B5D17D7"/>
    <w:rsid w:val="2B7B6818"/>
    <w:rsid w:val="2B8D044E"/>
    <w:rsid w:val="2BC27B4B"/>
    <w:rsid w:val="2BFD6B16"/>
    <w:rsid w:val="2C016BB8"/>
    <w:rsid w:val="2C2F27D7"/>
    <w:rsid w:val="2C345B15"/>
    <w:rsid w:val="2C79418D"/>
    <w:rsid w:val="2C8B5ED0"/>
    <w:rsid w:val="2C9B70E1"/>
    <w:rsid w:val="2CAA5825"/>
    <w:rsid w:val="2CE4166F"/>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4F03AE"/>
    <w:rsid w:val="2E5209E3"/>
    <w:rsid w:val="2E5A17DE"/>
    <w:rsid w:val="2E7D5169"/>
    <w:rsid w:val="2E8564A5"/>
    <w:rsid w:val="2E8A4911"/>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AF1BFB"/>
    <w:rsid w:val="30D1119A"/>
    <w:rsid w:val="30D31826"/>
    <w:rsid w:val="30D43148"/>
    <w:rsid w:val="30F12F4C"/>
    <w:rsid w:val="31024B58"/>
    <w:rsid w:val="3106646D"/>
    <w:rsid w:val="3112402E"/>
    <w:rsid w:val="313D3E38"/>
    <w:rsid w:val="31760F72"/>
    <w:rsid w:val="31A041CB"/>
    <w:rsid w:val="31A535A1"/>
    <w:rsid w:val="31F92C45"/>
    <w:rsid w:val="321F4FEF"/>
    <w:rsid w:val="322634C5"/>
    <w:rsid w:val="32384358"/>
    <w:rsid w:val="32611BF0"/>
    <w:rsid w:val="3268420D"/>
    <w:rsid w:val="32706B60"/>
    <w:rsid w:val="32791431"/>
    <w:rsid w:val="327C6E3D"/>
    <w:rsid w:val="329C5193"/>
    <w:rsid w:val="32DA195F"/>
    <w:rsid w:val="32ED5524"/>
    <w:rsid w:val="33170AEB"/>
    <w:rsid w:val="333F39DC"/>
    <w:rsid w:val="33450D24"/>
    <w:rsid w:val="33565979"/>
    <w:rsid w:val="33945FB2"/>
    <w:rsid w:val="339733AC"/>
    <w:rsid w:val="33A83294"/>
    <w:rsid w:val="33B02C55"/>
    <w:rsid w:val="33B77DB8"/>
    <w:rsid w:val="33FD6174"/>
    <w:rsid w:val="34011E26"/>
    <w:rsid w:val="340439CF"/>
    <w:rsid w:val="341B4D23"/>
    <w:rsid w:val="345C3B03"/>
    <w:rsid w:val="349870EC"/>
    <w:rsid w:val="34A34D3C"/>
    <w:rsid w:val="34AE6BFF"/>
    <w:rsid w:val="34B61F58"/>
    <w:rsid w:val="34BF4271"/>
    <w:rsid w:val="34D545BA"/>
    <w:rsid w:val="351153E0"/>
    <w:rsid w:val="35351763"/>
    <w:rsid w:val="3537507A"/>
    <w:rsid w:val="356938C2"/>
    <w:rsid w:val="35700359"/>
    <w:rsid w:val="35750B6C"/>
    <w:rsid w:val="358C742B"/>
    <w:rsid w:val="3594691D"/>
    <w:rsid w:val="359C5EEF"/>
    <w:rsid w:val="35B50693"/>
    <w:rsid w:val="35E30B2B"/>
    <w:rsid w:val="36394BEF"/>
    <w:rsid w:val="3640241B"/>
    <w:rsid w:val="364E252C"/>
    <w:rsid w:val="3663111C"/>
    <w:rsid w:val="36634890"/>
    <w:rsid w:val="36650D67"/>
    <w:rsid w:val="3676725F"/>
    <w:rsid w:val="36835891"/>
    <w:rsid w:val="369F5FC3"/>
    <w:rsid w:val="36A81FB2"/>
    <w:rsid w:val="36B1372E"/>
    <w:rsid w:val="36B164AC"/>
    <w:rsid w:val="36B7581C"/>
    <w:rsid w:val="37160ED8"/>
    <w:rsid w:val="3722158D"/>
    <w:rsid w:val="373519C5"/>
    <w:rsid w:val="3747333B"/>
    <w:rsid w:val="375E09FC"/>
    <w:rsid w:val="376A21C2"/>
    <w:rsid w:val="377A0F99"/>
    <w:rsid w:val="37800B40"/>
    <w:rsid w:val="37A133A3"/>
    <w:rsid w:val="37CF580A"/>
    <w:rsid w:val="37F16D40"/>
    <w:rsid w:val="37FD6FF9"/>
    <w:rsid w:val="38034F46"/>
    <w:rsid w:val="3805002B"/>
    <w:rsid w:val="381C5B9B"/>
    <w:rsid w:val="38361BA4"/>
    <w:rsid w:val="383D6325"/>
    <w:rsid w:val="38471845"/>
    <w:rsid w:val="38525FA9"/>
    <w:rsid w:val="38526E75"/>
    <w:rsid w:val="386B258D"/>
    <w:rsid w:val="38752AF3"/>
    <w:rsid w:val="388A293F"/>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92EDF"/>
    <w:rsid w:val="3AC853CC"/>
    <w:rsid w:val="3ADB0496"/>
    <w:rsid w:val="3AEE50E4"/>
    <w:rsid w:val="3B010F46"/>
    <w:rsid w:val="3B0517D8"/>
    <w:rsid w:val="3B0B040C"/>
    <w:rsid w:val="3B3609B1"/>
    <w:rsid w:val="3B3E055C"/>
    <w:rsid w:val="3B4804F7"/>
    <w:rsid w:val="3B765960"/>
    <w:rsid w:val="3B9B6524"/>
    <w:rsid w:val="3B9D6782"/>
    <w:rsid w:val="3BA0033D"/>
    <w:rsid w:val="3BA528F6"/>
    <w:rsid w:val="3BD13323"/>
    <w:rsid w:val="3BE706E7"/>
    <w:rsid w:val="3BED1DD7"/>
    <w:rsid w:val="3C0D3146"/>
    <w:rsid w:val="3C3F2D65"/>
    <w:rsid w:val="3C582CD8"/>
    <w:rsid w:val="3C5F4C5A"/>
    <w:rsid w:val="3C650EFE"/>
    <w:rsid w:val="3C755A40"/>
    <w:rsid w:val="3C780259"/>
    <w:rsid w:val="3C7C43FF"/>
    <w:rsid w:val="3CC405B3"/>
    <w:rsid w:val="3D3B4812"/>
    <w:rsid w:val="3D85696B"/>
    <w:rsid w:val="3D8A537D"/>
    <w:rsid w:val="3D8F5840"/>
    <w:rsid w:val="3DA70A4C"/>
    <w:rsid w:val="3DA82B7F"/>
    <w:rsid w:val="3DAF1BD5"/>
    <w:rsid w:val="3DB24665"/>
    <w:rsid w:val="3DB40069"/>
    <w:rsid w:val="3DE17846"/>
    <w:rsid w:val="3DF862C0"/>
    <w:rsid w:val="3E081F73"/>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0E7192"/>
    <w:rsid w:val="4019244E"/>
    <w:rsid w:val="40511376"/>
    <w:rsid w:val="40531C58"/>
    <w:rsid w:val="405F16F6"/>
    <w:rsid w:val="40BF7C1A"/>
    <w:rsid w:val="40C12F37"/>
    <w:rsid w:val="40C724E3"/>
    <w:rsid w:val="40C91A64"/>
    <w:rsid w:val="40CD0D6A"/>
    <w:rsid w:val="40CD7210"/>
    <w:rsid w:val="40DE2987"/>
    <w:rsid w:val="40E21F81"/>
    <w:rsid w:val="40FF0F16"/>
    <w:rsid w:val="410D47C6"/>
    <w:rsid w:val="41192D98"/>
    <w:rsid w:val="413A6614"/>
    <w:rsid w:val="413E5CD9"/>
    <w:rsid w:val="414337A7"/>
    <w:rsid w:val="415E5E0D"/>
    <w:rsid w:val="41955C5F"/>
    <w:rsid w:val="41B46655"/>
    <w:rsid w:val="41BB6EC9"/>
    <w:rsid w:val="41BD0482"/>
    <w:rsid w:val="41C23CEA"/>
    <w:rsid w:val="41EE64C3"/>
    <w:rsid w:val="4238196C"/>
    <w:rsid w:val="424B591E"/>
    <w:rsid w:val="4271634D"/>
    <w:rsid w:val="429E0DD2"/>
    <w:rsid w:val="42B0288A"/>
    <w:rsid w:val="42D26CDA"/>
    <w:rsid w:val="42F66920"/>
    <w:rsid w:val="42F81805"/>
    <w:rsid w:val="431000EB"/>
    <w:rsid w:val="4316518F"/>
    <w:rsid w:val="43356B16"/>
    <w:rsid w:val="43425F9D"/>
    <w:rsid w:val="434F0CBC"/>
    <w:rsid w:val="434F6023"/>
    <w:rsid w:val="4361581D"/>
    <w:rsid w:val="4388426B"/>
    <w:rsid w:val="43975E80"/>
    <w:rsid w:val="439E35B1"/>
    <w:rsid w:val="43A7571F"/>
    <w:rsid w:val="43D2323C"/>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DC0267"/>
    <w:rsid w:val="44F057A6"/>
    <w:rsid w:val="44F56185"/>
    <w:rsid w:val="4521617F"/>
    <w:rsid w:val="4547596A"/>
    <w:rsid w:val="455C7DF1"/>
    <w:rsid w:val="457E4F5C"/>
    <w:rsid w:val="45865A79"/>
    <w:rsid w:val="458F395F"/>
    <w:rsid w:val="459E32E0"/>
    <w:rsid w:val="45A95346"/>
    <w:rsid w:val="45EE06D5"/>
    <w:rsid w:val="46203128"/>
    <w:rsid w:val="462C60A0"/>
    <w:rsid w:val="46333408"/>
    <w:rsid w:val="46416F41"/>
    <w:rsid w:val="46487A7F"/>
    <w:rsid w:val="465E0432"/>
    <w:rsid w:val="466A6433"/>
    <w:rsid w:val="469A5597"/>
    <w:rsid w:val="46A10793"/>
    <w:rsid w:val="46A316B8"/>
    <w:rsid w:val="46A41952"/>
    <w:rsid w:val="46C4203A"/>
    <w:rsid w:val="46D17DBE"/>
    <w:rsid w:val="46DA18B7"/>
    <w:rsid w:val="470E29AE"/>
    <w:rsid w:val="474249F4"/>
    <w:rsid w:val="474B43A7"/>
    <w:rsid w:val="474F5F65"/>
    <w:rsid w:val="4755115C"/>
    <w:rsid w:val="47765844"/>
    <w:rsid w:val="47985035"/>
    <w:rsid w:val="47A520E4"/>
    <w:rsid w:val="47CD163B"/>
    <w:rsid w:val="47DC5E24"/>
    <w:rsid w:val="482E365F"/>
    <w:rsid w:val="484B0A4B"/>
    <w:rsid w:val="485729EF"/>
    <w:rsid w:val="48577262"/>
    <w:rsid w:val="48580B27"/>
    <w:rsid w:val="48A85B47"/>
    <w:rsid w:val="48BF4F17"/>
    <w:rsid w:val="48C126D6"/>
    <w:rsid w:val="48EF6959"/>
    <w:rsid w:val="48F54240"/>
    <w:rsid w:val="49121D70"/>
    <w:rsid w:val="49290AF3"/>
    <w:rsid w:val="493F4EEB"/>
    <w:rsid w:val="497D7A76"/>
    <w:rsid w:val="49B063EE"/>
    <w:rsid w:val="49C75DBC"/>
    <w:rsid w:val="49CB0CCD"/>
    <w:rsid w:val="4A007AA5"/>
    <w:rsid w:val="4A323DB6"/>
    <w:rsid w:val="4A473AAB"/>
    <w:rsid w:val="4A803A90"/>
    <w:rsid w:val="4A871EAF"/>
    <w:rsid w:val="4AA610D6"/>
    <w:rsid w:val="4AE939A1"/>
    <w:rsid w:val="4B0C055A"/>
    <w:rsid w:val="4B186EA3"/>
    <w:rsid w:val="4B285784"/>
    <w:rsid w:val="4B2D5C22"/>
    <w:rsid w:val="4B696347"/>
    <w:rsid w:val="4BCC712C"/>
    <w:rsid w:val="4BE04095"/>
    <w:rsid w:val="4C07468A"/>
    <w:rsid w:val="4C175F49"/>
    <w:rsid w:val="4C1939EB"/>
    <w:rsid w:val="4C39729F"/>
    <w:rsid w:val="4C3E35AF"/>
    <w:rsid w:val="4C7A17D9"/>
    <w:rsid w:val="4C7B65D0"/>
    <w:rsid w:val="4C8B4A7C"/>
    <w:rsid w:val="4C9A568F"/>
    <w:rsid w:val="4CC753A6"/>
    <w:rsid w:val="4CCD1B48"/>
    <w:rsid w:val="4CD2174C"/>
    <w:rsid w:val="4CF25610"/>
    <w:rsid w:val="4CFC368B"/>
    <w:rsid w:val="4D1F0B6E"/>
    <w:rsid w:val="4D431806"/>
    <w:rsid w:val="4D697758"/>
    <w:rsid w:val="4D742CA5"/>
    <w:rsid w:val="4D822DD2"/>
    <w:rsid w:val="4DB44D2F"/>
    <w:rsid w:val="4DD741C8"/>
    <w:rsid w:val="4DF079FB"/>
    <w:rsid w:val="4E0A76AA"/>
    <w:rsid w:val="4E10100E"/>
    <w:rsid w:val="4E663032"/>
    <w:rsid w:val="4E754922"/>
    <w:rsid w:val="4E7937FC"/>
    <w:rsid w:val="4E7D412D"/>
    <w:rsid w:val="4E8833F7"/>
    <w:rsid w:val="4E9F43CC"/>
    <w:rsid w:val="4EAC25AD"/>
    <w:rsid w:val="4ECC1B7A"/>
    <w:rsid w:val="4ECC39D4"/>
    <w:rsid w:val="4EDE3F7B"/>
    <w:rsid w:val="4EE95EB3"/>
    <w:rsid w:val="4EEB2FB4"/>
    <w:rsid w:val="4EEF3BBD"/>
    <w:rsid w:val="4EF31987"/>
    <w:rsid w:val="4F01535F"/>
    <w:rsid w:val="4F086AAF"/>
    <w:rsid w:val="4F3F6266"/>
    <w:rsid w:val="4F441003"/>
    <w:rsid w:val="4F712179"/>
    <w:rsid w:val="4F8B1E5E"/>
    <w:rsid w:val="4FAE0E1F"/>
    <w:rsid w:val="4FF029D9"/>
    <w:rsid w:val="50266D9D"/>
    <w:rsid w:val="5057079F"/>
    <w:rsid w:val="5069668A"/>
    <w:rsid w:val="50740D82"/>
    <w:rsid w:val="50A83CB2"/>
    <w:rsid w:val="50AF5D81"/>
    <w:rsid w:val="50B138A7"/>
    <w:rsid w:val="50FB34D4"/>
    <w:rsid w:val="510214C9"/>
    <w:rsid w:val="510F1F50"/>
    <w:rsid w:val="511E2E4C"/>
    <w:rsid w:val="512B42F2"/>
    <w:rsid w:val="51472A97"/>
    <w:rsid w:val="516F441B"/>
    <w:rsid w:val="516F49FF"/>
    <w:rsid w:val="51792A48"/>
    <w:rsid w:val="517A638F"/>
    <w:rsid w:val="51A70ECF"/>
    <w:rsid w:val="51B45F41"/>
    <w:rsid w:val="51F3006B"/>
    <w:rsid w:val="521A0E83"/>
    <w:rsid w:val="525B595C"/>
    <w:rsid w:val="527F1783"/>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82FBD"/>
    <w:rsid w:val="547A556A"/>
    <w:rsid w:val="54AB227B"/>
    <w:rsid w:val="54B93049"/>
    <w:rsid w:val="54CE0F0D"/>
    <w:rsid w:val="551526ED"/>
    <w:rsid w:val="55225A47"/>
    <w:rsid w:val="552F56E3"/>
    <w:rsid w:val="554875B0"/>
    <w:rsid w:val="55720BED"/>
    <w:rsid w:val="557C50B8"/>
    <w:rsid w:val="55997A6E"/>
    <w:rsid w:val="55AE2147"/>
    <w:rsid w:val="55AE2352"/>
    <w:rsid w:val="55D04519"/>
    <w:rsid w:val="56171A01"/>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84230"/>
    <w:rsid w:val="578F6B08"/>
    <w:rsid w:val="57CD7E64"/>
    <w:rsid w:val="57D25B71"/>
    <w:rsid w:val="57DF3A61"/>
    <w:rsid w:val="57EB3450"/>
    <w:rsid w:val="58317605"/>
    <w:rsid w:val="583C397F"/>
    <w:rsid w:val="586B07E0"/>
    <w:rsid w:val="587D5F2C"/>
    <w:rsid w:val="587F450B"/>
    <w:rsid w:val="58963DA7"/>
    <w:rsid w:val="58A560FE"/>
    <w:rsid w:val="58A626A8"/>
    <w:rsid w:val="58CA181F"/>
    <w:rsid w:val="58DB5CD6"/>
    <w:rsid w:val="58EA5720"/>
    <w:rsid w:val="590C2C90"/>
    <w:rsid w:val="59150148"/>
    <w:rsid w:val="592C3305"/>
    <w:rsid w:val="593E4120"/>
    <w:rsid w:val="59483FC9"/>
    <w:rsid w:val="5965039F"/>
    <w:rsid w:val="597247E0"/>
    <w:rsid w:val="597B2D6E"/>
    <w:rsid w:val="59952B83"/>
    <w:rsid w:val="59A53FC9"/>
    <w:rsid w:val="59B3789C"/>
    <w:rsid w:val="5A2C7551"/>
    <w:rsid w:val="5A2F159C"/>
    <w:rsid w:val="5A400720"/>
    <w:rsid w:val="5A403EEE"/>
    <w:rsid w:val="5A447434"/>
    <w:rsid w:val="5A780F5E"/>
    <w:rsid w:val="5A8E4C59"/>
    <w:rsid w:val="5A9D12B3"/>
    <w:rsid w:val="5AB9364D"/>
    <w:rsid w:val="5B0303FE"/>
    <w:rsid w:val="5B505934"/>
    <w:rsid w:val="5B5366CB"/>
    <w:rsid w:val="5B5752E1"/>
    <w:rsid w:val="5BB02387"/>
    <w:rsid w:val="5BB52F7D"/>
    <w:rsid w:val="5BBE79C0"/>
    <w:rsid w:val="5BE0261C"/>
    <w:rsid w:val="5BF24800"/>
    <w:rsid w:val="5C08655C"/>
    <w:rsid w:val="5C357B5F"/>
    <w:rsid w:val="5C4521B0"/>
    <w:rsid w:val="5C473309"/>
    <w:rsid w:val="5C4926FF"/>
    <w:rsid w:val="5C4A069B"/>
    <w:rsid w:val="5C85148E"/>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E973D6"/>
    <w:rsid w:val="5E484E95"/>
    <w:rsid w:val="5E546A76"/>
    <w:rsid w:val="5E5A23F4"/>
    <w:rsid w:val="5E742333"/>
    <w:rsid w:val="5E8D2D21"/>
    <w:rsid w:val="5E9F118A"/>
    <w:rsid w:val="5EBD1212"/>
    <w:rsid w:val="5EBF073B"/>
    <w:rsid w:val="5ED36964"/>
    <w:rsid w:val="5ED60EED"/>
    <w:rsid w:val="5EFE0496"/>
    <w:rsid w:val="5F0A527B"/>
    <w:rsid w:val="5F255BC5"/>
    <w:rsid w:val="5F3529FD"/>
    <w:rsid w:val="5F3F339D"/>
    <w:rsid w:val="5F51476F"/>
    <w:rsid w:val="5F572A2B"/>
    <w:rsid w:val="5F656444"/>
    <w:rsid w:val="5FCE32AF"/>
    <w:rsid w:val="5FE1582B"/>
    <w:rsid w:val="5FE20A14"/>
    <w:rsid w:val="5FF51B98"/>
    <w:rsid w:val="60055342"/>
    <w:rsid w:val="6017749F"/>
    <w:rsid w:val="60237BF2"/>
    <w:rsid w:val="60545CED"/>
    <w:rsid w:val="6056362E"/>
    <w:rsid w:val="60736778"/>
    <w:rsid w:val="60846283"/>
    <w:rsid w:val="608A3BA9"/>
    <w:rsid w:val="60BC3FEF"/>
    <w:rsid w:val="60D715E6"/>
    <w:rsid w:val="60E50A8F"/>
    <w:rsid w:val="60EC120B"/>
    <w:rsid w:val="60EE598F"/>
    <w:rsid w:val="612C0778"/>
    <w:rsid w:val="615208C7"/>
    <w:rsid w:val="61537EE4"/>
    <w:rsid w:val="616B54C8"/>
    <w:rsid w:val="61702C98"/>
    <w:rsid w:val="61963A72"/>
    <w:rsid w:val="61BA4586"/>
    <w:rsid w:val="61BE0CF0"/>
    <w:rsid w:val="61D11AE4"/>
    <w:rsid w:val="61E237F8"/>
    <w:rsid w:val="62020579"/>
    <w:rsid w:val="621C0B76"/>
    <w:rsid w:val="623F329A"/>
    <w:rsid w:val="624C1628"/>
    <w:rsid w:val="626601FE"/>
    <w:rsid w:val="62695E27"/>
    <w:rsid w:val="626E166E"/>
    <w:rsid w:val="627C1C65"/>
    <w:rsid w:val="627F48F3"/>
    <w:rsid w:val="628242DE"/>
    <w:rsid w:val="62901C12"/>
    <w:rsid w:val="62B358A7"/>
    <w:rsid w:val="62D37EDE"/>
    <w:rsid w:val="62DC4FFE"/>
    <w:rsid w:val="62E17A7E"/>
    <w:rsid w:val="62F32006"/>
    <w:rsid w:val="635244EA"/>
    <w:rsid w:val="635252D3"/>
    <w:rsid w:val="636127C3"/>
    <w:rsid w:val="636C7B02"/>
    <w:rsid w:val="63870355"/>
    <w:rsid w:val="63D736B7"/>
    <w:rsid w:val="63F5222D"/>
    <w:rsid w:val="640A036F"/>
    <w:rsid w:val="64684FF6"/>
    <w:rsid w:val="646D7F47"/>
    <w:rsid w:val="64E3778E"/>
    <w:rsid w:val="64F87681"/>
    <w:rsid w:val="65016282"/>
    <w:rsid w:val="652A1A23"/>
    <w:rsid w:val="652E4984"/>
    <w:rsid w:val="653308D7"/>
    <w:rsid w:val="6541100E"/>
    <w:rsid w:val="654C0BA8"/>
    <w:rsid w:val="65723276"/>
    <w:rsid w:val="65894ACB"/>
    <w:rsid w:val="65B601CD"/>
    <w:rsid w:val="65BC62F1"/>
    <w:rsid w:val="65C57730"/>
    <w:rsid w:val="65D03A9D"/>
    <w:rsid w:val="66113182"/>
    <w:rsid w:val="664352EB"/>
    <w:rsid w:val="665C2B0D"/>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055A2"/>
    <w:rsid w:val="683E7EE4"/>
    <w:rsid w:val="684A6627"/>
    <w:rsid w:val="68517653"/>
    <w:rsid w:val="687B3426"/>
    <w:rsid w:val="68B712D5"/>
    <w:rsid w:val="68C65C0A"/>
    <w:rsid w:val="68E12ED2"/>
    <w:rsid w:val="68FD4084"/>
    <w:rsid w:val="69297938"/>
    <w:rsid w:val="69321393"/>
    <w:rsid w:val="693A4C13"/>
    <w:rsid w:val="696610E4"/>
    <w:rsid w:val="69A60F1E"/>
    <w:rsid w:val="69B2588C"/>
    <w:rsid w:val="69DC5F48"/>
    <w:rsid w:val="6A483248"/>
    <w:rsid w:val="6A6D75CE"/>
    <w:rsid w:val="6A83721D"/>
    <w:rsid w:val="6A8E3A4A"/>
    <w:rsid w:val="6AA2282C"/>
    <w:rsid w:val="6AAA5C1D"/>
    <w:rsid w:val="6AB03EB2"/>
    <w:rsid w:val="6AB46016"/>
    <w:rsid w:val="6AD20623"/>
    <w:rsid w:val="6AE11313"/>
    <w:rsid w:val="6AE21101"/>
    <w:rsid w:val="6B1F3E40"/>
    <w:rsid w:val="6B4340D5"/>
    <w:rsid w:val="6B482C03"/>
    <w:rsid w:val="6B4F3B9E"/>
    <w:rsid w:val="6B893A4B"/>
    <w:rsid w:val="6BC12704"/>
    <w:rsid w:val="6BD63153"/>
    <w:rsid w:val="6BE960BC"/>
    <w:rsid w:val="6BEA3CBA"/>
    <w:rsid w:val="6C0F488B"/>
    <w:rsid w:val="6C3B4BAD"/>
    <w:rsid w:val="6C4526AF"/>
    <w:rsid w:val="6C5B55DC"/>
    <w:rsid w:val="6C5D6BCE"/>
    <w:rsid w:val="6C845EBC"/>
    <w:rsid w:val="6CAE03DD"/>
    <w:rsid w:val="6CCF0AA2"/>
    <w:rsid w:val="6CE262A4"/>
    <w:rsid w:val="6CE56E6B"/>
    <w:rsid w:val="6CE6359C"/>
    <w:rsid w:val="6D032DAA"/>
    <w:rsid w:val="6D1A704D"/>
    <w:rsid w:val="6D1E66A9"/>
    <w:rsid w:val="6D506D1C"/>
    <w:rsid w:val="6D61192D"/>
    <w:rsid w:val="6D675F3C"/>
    <w:rsid w:val="6D6C1DD5"/>
    <w:rsid w:val="6D7446CC"/>
    <w:rsid w:val="6D7521FE"/>
    <w:rsid w:val="6D7E5DF9"/>
    <w:rsid w:val="6D88011E"/>
    <w:rsid w:val="6D8A298C"/>
    <w:rsid w:val="6D965EA7"/>
    <w:rsid w:val="6DB35DAA"/>
    <w:rsid w:val="6DDE02DA"/>
    <w:rsid w:val="6DE93895"/>
    <w:rsid w:val="6DED206F"/>
    <w:rsid w:val="6DED3862"/>
    <w:rsid w:val="6E005A26"/>
    <w:rsid w:val="6E327B63"/>
    <w:rsid w:val="6E331B08"/>
    <w:rsid w:val="6E6329C5"/>
    <w:rsid w:val="6E690D37"/>
    <w:rsid w:val="6E6D7744"/>
    <w:rsid w:val="6E7F7DE4"/>
    <w:rsid w:val="6E8403F6"/>
    <w:rsid w:val="6E855F9B"/>
    <w:rsid w:val="6EAC616D"/>
    <w:rsid w:val="6EF26E02"/>
    <w:rsid w:val="6EFF345A"/>
    <w:rsid w:val="6F0E41D6"/>
    <w:rsid w:val="6F261946"/>
    <w:rsid w:val="6F545FAB"/>
    <w:rsid w:val="6F6124E5"/>
    <w:rsid w:val="6F7A7103"/>
    <w:rsid w:val="6F811C8E"/>
    <w:rsid w:val="6F8314B0"/>
    <w:rsid w:val="6F9305DF"/>
    <w:rsid w:val="6F9754E6"/>
    <w:rsid w:val="6FA006CC"/>
    <w:rsid w:val="6FB4540B"/>
    <w:rsid w:val="6FC700F2"/>
    <w:rsid w:val="6FCE67A2"/>
    <w:rsid w:val="6FF02DD6"/>
    <w:rsid w:val="6FF158D8"/>
    <w:rsid w:val="70105F1E"/>
    <w:rsid w:val="701D2119"/>
    <w:rsid w:val="701D50DA"/>
    <w:rsid w:val="702F613F"/>
    <w:rsid w:val="7060771A"/>
    <w:rsid w:val="707444CE"/>
    <w:rsid w:val="70836D22"/>
    <w:rsid w:val="70871F10"/>
    <w:rsid w:val="70876740"/>
    <w:rsid w:val="70B6015D"/>
    <w:rsid w:val="70C73255"/>
    <w:rsid w:val="70D304FC"/>
    <w:rsid w:val="70D97BAF"/>
    <w:rsid w:val="70ED7E08"/>
    <w:rsid w:val="70F453A0"/>
    <w:rsid w:val="712E196D"/>
    <w:rsid w:val="714A6A1D"/>
    <w:rsid w:val="71610FBE"/>
    <w:rsid w:val="716A3DF9"/>
    <w:rsid w:val="716A3EDF"/>
    <w:rsid w:val="71A54FE2"/>
    <w:rsid w:val="71AD3163"/>
    <w:rsid w:val="71B473FD"/>
    <w:rsid w:val="71D20C99"/>
    <w:rsid w:val="71DA714C"/>
    <w:rsid w:val="71DB7C23"/>
    <w:rsid w:val="71EF33B7"/>
    <w:rsid w:val="72231CD3"/>
    <w:rsid w:val="72372CAD"/>
    <w:rsid w:val="725008FF"/>
    <w:rsid w:val="726B0346"/>
    <w:rsid w:val="72714091"/>
    <w:rsid w:val="72760778"/>
    <w:rsid w:val="7294672D"/>
    <w:rsid w:val="729B16F3"/>
    <w:rsid w:val="72A07888"/>
    <w:rsid w:val="72D249CB"/>
    <w:rsid w:val="72D87685"/>
    <w:rsid w:val="72F172BF"/>
    <w:rsid w:val="730218E9"/>
    <w:rsid w:val="7304482B"/>
    <w:rsid w:val="7344181A"/>
    <w:rsid w:val="735352FB"/>
    <w:rsid w:val="735B4A8E"/>
    <w:rsid w:val="736A1703"/>
    <w:rsid w:val="736D1458"/>
    <w:rsid w:val="737253F1"/>
    <w:rsid w:val="73806CBB"/>
    <w:rsid w:val="73A277FF"/>
    <w:rsid w:val="73B81E4C"/>
    <w:rsid w:val="73C0168D"/>
    <w:rsid w:val="73CD3976"/>
    <w:rsid w:val="73D8748B"/>
    <w:rsid w:val="73E02D1E"/>
    <w:rsid w:val="73EC4F6F"/>
    <w:rsid w:val="74034FF8"/>
    <w:rsid w:val="743104E3"/>
    <w:rsid w:val="74320C3C"/>
    <w:rsid w:val="74337583"/>
    <w:rsid w:val="74406823"/>
    <w:rsid w:val="74513162"/>
    <w:rsid w:val="74615626"/>
    <w:rsid w:val="746D771A"/>
    <w:rsid w:val="74CC6413"/>
    <w:rsid w:val="74DE741F"/>
    <w:rsid w:val="74E97204"/>
    <w:rsid w:val="74F0095C"/>
    <w:rsid w:val="75061ABB"/>
    <w:rsid w:val="75251AAA"/>
    <w:rsid w:val="75431AF8"/>
    <w:rsid w:val="75722CA5"/>
    <w:rsid w:val="757327BB"/>
    <w:rsid w:val="757B75BC"/>
    <w:rsid w:val="75892BAD"/>
    <w:rsid w:val="75C265D1"/>
    <w:rsid w:val="75D94B83"/>
    <w:rsid w:val="76031347"/>
    <w:rsid w:val="761B6BE8"/>
    <w:rsid w:val="76236EB2"/>
    <w:rsid w:val="762605C8"/>
    <w:rsid w:val="76406925"/>
    <w:rsid w:val="76744178"/>
    <w:rsid w:val="76893B07"/>
    <w:rsid w:val="76A665D3"/>
    <w:rsid w:val="76AA65FC"/>
    <w:rsid w:val="76AE5F7B"/>
    <w:rsid w:val="76B463AC"/>
    <w:rsid w:val="76D42F34"/>
    <w:rsid w:val="76DA5057"/>
    <w:rsid w:val="76F85C00"/>
    <w:rsid w:val="76F92B8E"/>
    <w:rsid w:val="76FA73DD"/>
    <w:rsid w:val="774909FB"/>
    <w:rsid w:val="77676789"/>
    <w:rsid w:val="7774006F"/>
    <w:rsid w:val="777D5C41"/>
    <w:rsid w:val="778F57A9"/>
    <w:rsid w:val="77AB62B1"/>
    <w:rsid w:val="77AE5C93"/>
    <w:rsid w:val="77C345AE"/>
    <w:rsid w:val="77D87C21"/>
    <w:rsid w:val="77ED577F"/>
    <w:rsid w:val="781E71C5"/>
    <w:rsid w:val="78214863"/>
    <w:rsid w:val="787D213D"/>
    <w:rsid w:val="78A05C27"/>
    <w:rsid w:val="78A71992"/>
    <w:rsid w:val="78B23039"/>
    <w:rsid w:val="78BD1F9D"/>
    <w:rsid w:val="78BD2CD7"/>
    <w:rsid w:val="78CE7FE4"/>
    <w:rsid w:val="78CF7984"/>
    <w:rsid w:val="78EA60DC"/>
    <w:rsid w:val="79201CE1"/>
    <w:rsid w:val="79211967"/>
    <w:rsid w:val="792E6092"/>
    <w:rsid w:val="793E3926"/>
    <w:rsid w:val="79707DB2"/>
    <w:rsid w:val="797148DA"/>
    <w:rsid w:val="7976582D"/>
    <w:rsid w:val="798B5B06"/>
    <w:rsid w:val="79A22C40"/>
    <w:rsid w:val="79B14724"/>
    <w:rsid w:val="79B355C1"/>
    <w:rsid w:val="79BD2A0E"/>
    <w:rsid w:val="79CD71E1"/>
    <w:rsid w:val="79DF0930"/>
    <w:rsid w:val="7A54586F"/>
    <w:rsid w:val="7A621A00"/>
    <w:rsid w:val="7A7B4401"/>
    <w:rsid w:val="7A905081"/>
    <w:rsid w:val="7ACB66ED"/>
    <w:rsid w:val="7AEF7305"/>
    <w:rsid w:val="7B3E0A41"/>
    <w:rsid w:val="7B6C46EB"/>
    <w:rsid w:val="7BB3045A"/>
    <w:rsid w:val="7BBD7B0F"/>
    <w:rsid w:val="7BC53962"/>
    <w:rsid w:val="7BF430D7"/>
    <w:rsid w:val="7C323980"/>
    <w:rsid w:val="7C8A30E5"/>
    <w:rsid w:val="7CB04CE6"/>
    <w:rsid w:val="7CDB3559"/>
    <w:rsid w:val="7CE97D7C"/>
    <w:rsid w:val="7CF14E85"/>
    <w:rsid w:val="7CF30B51"/>
    <w:rsid w:val="7D315305"/>
    <w:rsid w:val="7D4E34D0"/>
    <w:rsid w:val="7D4F613C"/>
    <w:rsid w:val="7D543CAC"/>
    <w:rsid w:val="7D6F6D36"/>
    <w:rsid w:val="7D862131"/>
    <w:rsid w:val="7D995DB5"/>
    <w:rsid w:val="7DBA04C7"/>
    <w:rsid w:val="7DE82108"/>
    <w:rsid w:val="7DE8565F"/>
    <w:rsid w:val="7E087602"/>
    <w:rsid w:val="7E0A672C"/>
    <w:rsid w:val="7E1B4D57"/>
    <w:rsid w:val="7E2662CB"/>
    <w:rsid w:val="7E2722FF"/>
    <w:rsid w:val="7E316FA8"/>
    <w:rsid w:val="7E3B6646"/>
    <w:rsid w:val="7E400B6D"/>
    <w:rsid w:val="7E456F3D"/>
    <w:rsid w:val="7E543DFE"/>
    <w:rsid w:val="7E561B5A"/>
    <w:rsid w:val="7E745CBB"/>
    <w:rsid w:val="7E7C58DC"/>
    <w:rsid w:val="7E9256DF"/>
    <w:rsid w:val="7EAB1865"/>
    <w:rsid w:val="7EC12F48"/>
    <w:rsid w:val="7ED61BCF"/>
    <w:rsid w:val="7EE919FF"/>
    <w:rsid w:val="7F0441A9"/>
    <w:rsid w:val="7F0C441B"/>
    <w:rsid w:val="7F13569D"/>
    <w:rsid w:val="7F58120E"/>
    <w:rsid w:val="7F653518"/>
    <w:rsid w:val="7F9F508F"/>
    <w:rsid w:val="7F9F6DBE"/>
    <w:rsid w:val="7FB87EFF"/>
    <w:rsid w:val="7FD01879"/>
    <w:rsid w:val="7FE63412"/>
    <w:rsid w:val="7FF84A94"/>
    <w:rsid w:val="BE7F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link w:val="23"/>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30"/>
    <w:autoRedefine/>
    <w:qFormat/>
    <w:uiPriority w:val="99"/>
    <w:rPr>
      <w:rFonts w:ascii="宋体"/>
      <w:sz w:val="18"/>
      <w:szCs w:val="18"/>
    </w:rPr>
  </w:style>
  <w:style w:type="paragraph" w:styleId="5">
    <w:name w:val="annotation text"/>
    <w:basedOn w:val="1"/>
    <w:link w:val="33"/>
    <w:autoRedefine/>
    <w:qFormat/>
    <w:uiPriority w:val="99"/>
    <w:pPr>
      <w:jc w:val="left"/>
    </w:pPr>
  </w:style>
  <w:style w:type="paragraph" w:styleId="6">
    <w:name w:val="Body Text"/>
    <w:basedOn w:val="1"/>
    <w:next w:val="7"/>
    <w:link w:val="24"/>
    <w:autoRedefine/>
    <w:qFormat/>
    <w:uiPriority w:val="99"/>
    <w:pPr>
      <w:spacing w:after="120"/>
    </w:pPr>
  </w:style>
  <w:style w:type="paragraph" w:styleId="7">
    <w:name w:val="Body Text First Indent"/>
    <w:basedOn w:val="6"/>
    <w:link w:val="25"/>
    <w:autoRedefine/>
    <w:qFormat/>
    <w:uiPriority w:val="0"/>
    <w:pPr>
      <w:widowControl/>
      <w:ind w:firstLine="420" w:firstLineChars="100"/>
    </w:pPr>
    <w:rPr>
      <w:rFonts w:ascii="Calibri" w:hAnsi="Calibri" w:cs="宋体"/>
      <w:szCs w:val="22"/>
    </w:rPr>
  </w:style>
  <w:style w:type="paragraph" w:styleId="8">
    <w:name w:val="Body Text Indent"/>
    <w:basedOn w:val="1"/>
    <w:autoRedefine/>
    <w:qFormat/>
    <w:uiPriority w:val="0"/>
    <w:pPr>
      <w:spacing w:line="520" w:lineRule="exact"/>
      <w:ind w:left="570"/>
    </w:pPr>
    <w:rPr>
      <w:rFonts w:ascii="方正仿宋简体" w:hAnsi="汉仪仿宋简" w:eastAsia="方正仿宋简体"/>
      <w:sz w:val="24"/>
    </w:rPr>
  </w:style>
  <w:style w:type="paragraph" w:styleId="9">
    <w:name w:val="Plain Text"/>
    <w:basedOn w:val="1"/>
    <w:qFormat/>
    <w:uiPriority w:val="0"/>
    <w:pPr>
      <w:widowControl w:val="0"/>
      <w:adjustRightInd/>
      <w:snapToGrid/>
      <w:jc w:val="both"/>
    </w:pPr>
    <w:rPr>
      <w:rFonts w:ascii="宋体" w:hAnsi="Courier New" w:cs="Times New Roman"/>
      <w:b/>
      <w:kern w:val="2"/>
      <w:szCs w:val="20"/>
    </w:rPr>
  </w:style>
  <w:style w:type="paragraph" w:styleId="10">
    <w:name w:val="Balloon Text"/>
    <w:basedOn w:val="1"/>
    <w:link w:val="28"/>
    <w:autoRedefine/>
    <w:qFormat/>
    <w:uiPriority w:val="99"/>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4">
    <w:name w:val="annotation subject"/>
    <w:basedOn w:val="5"/>
    <w:next w:val="5"/>
    <w:link w:val="36"/>
    <w:autoRedefine/>
    <w:unhideWhenUsed/>
    <w:qFormat/>
    <w:uiPriority w:val="99"/>
    <w:rPr>
      <w:b/>
      <w:bCs/>
    </w:rPr>
  </w:style>
  <w:style w:type="paragraph" w:styleId="15">
    <w:name w:val="Body Text First Indent 2"/>
    <w:basedOn w:val="8"/>
    <w:autoRedefine/>
    <w:qFormat/>
    <w:uiPriority w:val="0"/>
    <w:pPr>
      <w:spacing w:after="120" w:line="240" w:lineRule="auto"/>
      <w:ind w:left="420" w:leftChars="200" w:firstLine="420"/>
    </w:pPr>
    <w:rPr>
      <w:sz w:val="21"/>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qFormat/>
    <w:uiPriority w:val="99"/>
    <w:rPr>
      <w:sz w:val="21"/>
      <w:szCs w:val="21"/>
    </w:rPr>
  </w:style>
  <w:style w:type="character" w:customStyle="1" w:styleId="21">
    <w:name w:val="正文缩进2格 Char"/>
    <w:link w:val="22"/>
    <w:autoRedefine/>
    <w:qFormat/>
    <w:uiPriority w:val="0"/>
    <w:rPr>
      <w:rFonts w:ascii="仿宋_GB2312" w:hAnsi="宋体" w:eastAsia="仿宋_GB2312" w:cs="仿宋_GB2312"/>
      <w:sz w:val="31"/>
      <w:szCs w:val="31"/>
    </w:rPr>
  </w:style>
  <w:style w:type="paragraph" w:customStyle="1" w:styleId="22">
    <w:name w:val="正文缩进2格"/>
    <w:basedOn w:val="1"/>
    <w:link w:val="21"/>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3">
    <w:name w:val="标题 3 字符"/>
    <w:basedOn w:val="18"/>
    <w:link w:val="3"/>
    <w:autoRedefine/>
    <w:qFormat/>
    <w:uiPriority w:val="0"/>
    <w:rPr>
      <w:rFonts w:eastAsia="宋体"/>
      <w:b/>
      <w:sz w:val="32"/>
    </w:rPr>
  </w:style>
  <w:style w:type="character" w:customStyle="1" w:styleId="24">
    <w:name w:val="正文文本 字符"/>
    <w:basedOn w:val="18"/>
    <w:link w:val="6"/>
    <w:autoRedefine/>
    <w:qFormat/>
    <w:uiPriority w:val="99"/>
    <w:rPr>
      <w:rFonts w:ascii="Times New Roman" w:hAnsi="Times New Roman" w:eastAsia="宋体" w:cs="Times New Roman"/>
      <w:szCs w:val="20"/>
    </w:rPr>
  </w:style>
  <w:style w:type="character" w:customStyle="1" w:styleId="25">
    <w:name w:val="正文文本首行缩进 字符"/>
    <w:basedOn w:val="24"/>
    <w:link w:val="7"/>
    <w:autoRedefine/>
    <w:qFormat/>
    <w:uiPriority w:val="0"/>
    <w:rPr>
      <w:rFonts w:ascii="Times New Roman" w:hAnsi="Times New Roman" w:eastAsia="宋体" w:cs="Times New Roman"/>
      <w:szCs w:val="20"/>
    </w:rPr>
  </w:style>
  <w:style w:type="character" w:customStyle="1" w:styleId="26">
    <w:name w:val="页眉 字符"/>
    <w:basedOn w:val="18"/>
    <w:link w:val="12"/>
    <w:autoRedefine/>
    <w:qFormat/>
    <w:uiPriority w:val="99"/>
    <w:rPr>
      <w:rFonts w:ascii="Times New Roman" w:hAnsi="Times New Roman" w:eastAsia="宋体" w:cs="Times New Roman"/>
      <w:sz w:val="18"/>
      <w:szCs w:val="18"/>
    </w:rPr>
  </w:style>
  <w:style w:type="character" w:customStyle="1" w:styleId="27">
    <w:name w:val="页脚 字符"/>
    <w:basedOn w:val="18"/>
    <w:link w:val="11"/>
    <w:autoRedefine/>
    <w:qFormat/>
    <w:uiPriority w:val="99"/>
    <w:rPr>
      <w:rFonts w:ascii="Times New Roman" w:hAnsi="Times New Roman" w:eastAsia="宋体" w:cs="Times New Roman"/>
      <w:sz w:val="18"/>
      <w:szCs w:val="18"/>
    </w:rPr>
  </w:style>
  <w:style w:type="character" w:customStyle="1" w:styleId="28">
    <w:name w:val="批注框文本 字符"/>
    <w:basedOn w:val="18"/>
    <w:link w:val="10"/>
    <w:autoRedefine/>
    <w:qFormat/>
    <w:uiPriority w:val="99"/>
    <w:rPr>
      <w:rFonts w:ascii="Times New Roman" w:hAnsi="Times New Roman" w:eastAsia="宋体" w:cs="Times New Roman"/>
      <w:kern w:val="2"/>
      <w:sz w:val="18"/>
      <w:szCs w:val="18"/>
    </w:rPr>
  </w:style>
  <w:style w:type="paragraph" w:customStyle="1" w:styleId="29">
    <w:name w:val="列出段落1"/>
    <w:basedOn w:val="1"/>
    <w:autoRedefine/>
    <w:qFormat/>
    <w:uiPriority w:val="0"/>
    <w:pPr>
      <w:ind w:firstLine="420" w:firstLineChars="200"/>
    </w:pPr>
  </w:style>
  <w:style w:type="character" w:customStyle="1" w:styleId="30">
    <w:name w:val="文档结构图 字符"/>
    <w:basedOn w:val="18"/>
    <w:link w:val="4"/>
    <w:autoRedefine/>
    <w:qFormat/>
    <w:uiPriority w:val="99"/>
    <w:rPr>
      <w:rFonts w:ascii="宋体" w:hAnsi="Times New Roman" w:eastAsia="宋体" w:cs="Times New Roman"/>
      <w:kern w:val="2"/>
      <w:sz w:val="18"/>
      <w:szCs w:val="18"/>
    </w:rPr>
  </w:style>
  <w:style w:type="paragraph" w:customStyle="1" w:styleId="31">
    <w:name w:val="列出段落2"/>
    <w:basedOn w:val="1"/>
    <w:autoRedefine/>
    <w:qFormat/>
    <w:uiPriority w:val="99"/>
    <w:pPr>
      <w:ind w:firstLine="420" w:firstLineChars="200"/>
    </w:pPr>
  </w:style>
  <w:style w:type="paragraph" w:customStyle="1" w:styleId="32">
    <w:name w:val="列表段落1"/>
    <w:basedOn w:val="1"/>
    <w:autoRedefine/>
    <w:qFormat/>
    <w:uiPriority w:val="34"/>
    <w:pPr>
      <w:ind w:firstLine="420" w:firstLineChars="200"/>
    </w:pPr>
  </w:style>
  <w:style w:type="character" w:customStyle="1" w:styleId="33">
    <w:name w:val="批注文字 字符"/>
    <w:basedOn w:val="18"/>
    <w:link w:val="5"/>
    <w:autoRedefine/>
    <w:qFormat/>
    <w:uiPriority w:val="99"/>
    <w:rPr>
      <w:rFonts w:ascii="Times New Roman" w:hAnsi="Times New Roman" w:cs="Times New Roman"/>
      <w:kern w:val="2"/>
      <w:sz w:val="21"/>
    </w:rPr>
  </w:style>
  <w:style w:type="character" w:customStyle="1" w:styleId="34">
    <w:name w:val="fontstyle01"/>
    <w:basedOn w:val="18"/>
    <w:autoRedefine/>
    <w:qFormat/>
    <w:uiPriority w:val="0"/>
    <w:rPr>
      <w:rFonts w:hint="eastAsia" w:ascii="仿宋" w:hAnsi="仿宋" w:eastAsia="仿宋"/>
      <w:color w:val="000000"/>
      <w:sz w:val="28"/>
      <w:szCs w:val="28"/>
    </w:rPr>
  </w:style>
  <w:style w:type="paragraph" w:customStyle="1" w:styleId="35">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6">
    <w:name w:val="批注主题 字符"/>
    <w:basedOn w:val="33"/>
    <w:link w:val="14"/>
    <w:autoRedefine/>
    <w:semiHidden/>
    <w:qFormat/>
    <w:uiPriority w:val="99"/>
    <w:rPr>
      <w:rFonts w:ascii="Times New Roman" w:hAnsi="Times New Roman" w:eastAsia="宋体" w:cs="Times New Roman"/>
      <w:b/>
      <w:bCs/>
      <w:kern w:val="2"/>
      <w:sz w:val="21"/>
    </w:rPr>
  </w:style>
  <w:style w:type="paragraph" w:styleId="37">
    <w:name w:val="List Paragraph"/>
    <w:basedOn w:val="1"/>
    <w:autoRedefine/>
    <w:qFormat/>
    <w:uiPriority w:val="34"/>
    <w:pPr>
      <w:ind w:firstLine="420" w:firstLineChars="200"/>
    </w:pPr>
  </w:style>
  <w:style w:type="table" w:customStyle="1" w:styleId="38">
    <w:name w:val="网格表 6 彩色 - 着色 61"/>
    <w:basedOn w:val="16"/>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9">
    <w:name w:val="_Style 13"/>
    <w:basedOn w:val="1"/>
    <w:next w:val="37"/>
    <w:autoRedefine/>
    <w:qFormat/>
    <w:uiPriority w:val="0"/>
    <w:pPr>
      <w:ind w:firstLine="420" w:firstLineChars="200"/>
    </w:pPr>
    <w:rPr>
      <w:rFonts w:ascii="Calibri" w:hAnsi="Calibri"/>
      <w:szCs w:val="24"/>
    </w:rPr>
  </w:style>
  <w:style w:type="character" w:customStyle="1" w:styleId="40">
    <w:name w:val="未处理的提及1"/>
    <w:basedOn w:val="18"/>
    <w:autoRedefine/>
    <w:semiHidden/>
    <w:unhideWhenUsed/>
    <w:qFormat/>
    <w:uiPriority w:val="99"/>
    <w:rPr>
      <w:color w:val="605E5C"/>
      <w:shd w:val="clear" w:color="auto" w:fill="E1DFDD"/>
    </w:rPr>
  </w:style>
  <w:style w:type="character" w:customStyle="1" w:styleId="41">
    <w:name w:val="未处理的提及2"/>
    <w:basedOn w:val="18"/>
    <w:autoRedefine/>
    <w:semiHidden/>
    <w:unhideWhenUsed/>
    <w:qFormat/>
    <w:uiPriority w:val="99"/>
    <w:rPr>
      <w:color w:val="605E5C"/>
      <w:shd w:val="clear" w:color="auto" w:fill="E1DFDD"/>
    </w:rPr>
  </w:style>
  <w:style w:type="paragraph" w:customStyle="1" w:styleId="42">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3">
    <w:name w:val="font12"/>
    <w:basedOn w:val="18"/>
    <w:autoRedefine/>
    <w:qFormat/>
    <w:uiPriority w:val="0"/>
    <w:rPr>
      <w:rFonts w:hint="eastAsia" w:ascii="宋体" w:hAnsi="宋体" w:eastAsia="宋体" w:cs="宋体"/>
      <w:color w:val="000000"/>
      <w:sz w:val="16"/>
      <w:szCs w:val="16"/>
      <w:u w:val="none"/>
    </w:rPr>
  </w:style>
  <w:style w:type="character" w:customStyle="1" w:styleId="44">
    <w:name w:val="font81"/>
    <w:basedOn w:val="18"/>
    <w:autoRedefine/>
    <w:qFormat/>
    <w:uiPriority w:val="0"/>
    <w:rPr>
      <w:rFonts w:hint="eastAsia" w:ascii="宋体" w:hAnsi="宋体" w:eastAsia="宋体" w:cs="宋体"/>
      <w:color w:val="000000"/>
      <w:sz w:val="22"/>
      <w:szCs w:val="22"/>
      <w:u w:val="none"/>
      <w:vertAlign w:val="superscript"/>
    </w:rPr>
  </w:style>
  <w:style w:type="character" w:customStyle="1" w:styleId="45">
    <w:name w:val="font112"/>
    <w:basedOn w:val="18"/>
    <w:autoRedefine/>
    <w:qFormat/>
    <w:uiPriority w:val="0"/>
    <w:rPr>
      <w:rFonts w:hint="eastAsia" w:ascii="宋体" w:hAnsi="宋体" w:eastAsia="宋体" w:cs="宋体"/>
      <w:color w:val="000000"/>
      <w:sz w:val="16"/>
      <w:szCs w:val="16"/>
      <w:u w:val="none"/>
    </w:rPr>
  </w:style>
  <w:style w:type="character" w:customStyle="1" w:styleId="46">
    <w:name w:val="font51"/>
    <w:basedOn w:val="18"/>
    <w:autoRedefine/>
    <w:qFormat/>
    <w:uiPriority w:val="0"/>
    <w:rPr>
      <w:rFonts w:hint="eastAsia" w:ascii="宋体" w:hAnsi="宋体" w:eastAsia="宋体" w:cs="宋体"/>
      <w:color w:val="000000"/>
      <w:sz w:val="22"/>
      <w:szCs w:val="22"/>
      <w:u w:val="none"/>
    </w:rPr>
  </w:style>
  <w:style w:type="character" w:customStyle="1" w:styleId="47">
    <w:name w:val="font121"/>
    <w:basedOn w:val="18"/>
    <w:autoRedefine/>
    <w:qFormat/>
    <w:uiPriority w:val="0"/>
    <w:rPr>
      <w:rFonts w:hint="eastAsia" w:ascii="宋体" w:hAnsi="宋体" w:eastAsia="宋体" w:cs="宋体"/>
      <w:color w:val="000000"/>
      <w:sz w:val="16"/>
      <w:szCs w:val="16"/>
      <w:u w:val="none"/>
    </w:rPr>
  </w:style>
  <w:style w:type="character" w:customStyle="1" w:styleId="48">
    <w:name w:val="font131"/>
    <w:basedOn w:val="18"/>
    <w:autoRedefine/>
    <w:qFormat/>
    <w:uiPriority w:val="0"/>
    <w:rPr>
      <w:rFonts w:hint="eastAsia" w:ascii="宋体" w:hAnsi="宋体" w:eastAsia="宋体" w:cs="宋体"/>
      <w:color w:val="000000"/>
      <w:sz w:val="22"/>
      <w:szCs w:val="22"/>
      <w:u w:val="none"/>
      <w:vertAlign w:val="subscript"/>
    </w:rPr>
  </w:style>
  <w:style w:type="character" w:customStyle="1" w:styleId="49">
    <w:name w:val="font101"/>
    <w:basedOn w:val="18"/>
    <w:autoRedefine/>
    <w:qFormat/>
    <w:uiPriority w:val="0"/>
    <w:rPr>
      <w:rFonts w:hint="eastAsia" w:ascii="仿宋" w:hAnsi="仿宋" w:eastAsia="仿宋" w:cs="仿宋"/>
      <w:color w:val="000000"/>
      <w:sz w:val="22"/>
      <w:szCs w:val="22"/>
      <w:u w:val="none"/>
    </w:rPr>
  </w:style>
  <w:style w:type="character" w:customStyle="1" w:styleId="50">
    <w:name w:val="font141"/>
    <w:basedOn w:val="18"/>
    <w:autoRedefine/>
    <w:qFormat/>
    <w:uiPriority w:val="0"/>
    <w:rPr>
      <w:rFonts w:ascii="微软雅黑" w:hAnsi="微软雅黑" w:eastAsia="微软雅黑" w:cs="微软雅黑"/>
      <w:color w:val="000000"/>
      <w:sz w:val="22"/>
      <w:szCs w:val="22"/>
      <w:u w:val="none"/>
    </w:rPr>
  </w:style>
  <w:style w:type="character" w:customStyle="1" w:styleId="51">
    <w:name w:val="font21"/>
    <w:basedOn w:val="18"/>
    <w:autoRedefine/>
    <w:qFormat/>
    <w:uiPriority w:val="0"/>
    <w:rPr>
      <w:rFonts w:hint="eastAsia" w:ascii="宋体" w:hAnsi="宋体" w:eastAsia="宋体" w:cs="宋体"/>
      <w:color w:val="000000"/>
      <w:sz w:val="22"/>
      <w:szCs w:val="22"/>
      <w:u w:val="none"/>
    </w:rPr>
  </w:style>
  <w:style w:type="character" w:customStyle="1" w:styleId="52">
    <w:name w:val="font31"/>
    <w:basedOn w:val="18"/>
    <w:autoRedefine/>
    <w:qFormat/>
    <w:uiPriority w:val="0"/>
    <w:rPr>
      <w:rFonts w:hint="default" w:ascii="Times New Roman" w:hAnsi="Times New Roman" w:cs="Times New Roman"/>
      <w:color w:val="000000"/>
      <w:sz w:val="22"/>
      <w:szCs w:val="22"/>
      <w:u w:val="none"/>
    </w:rPr>
  </w:style>
  <w:style w:type="character" w:customStyle="1" w:styleId="53">
    <w:name w:val="font11"/>
    <w:basedOn w:val="18"/>
    <w:autoRedefine/>
    <w:qFormat/>
    <w:uiPriority w:val="0"/>
    <w:rPr>
      <w:rFonts w:hint="eastAsia" w:ascii="宋体" w:hAnsi="宋体" w:eastAsia="宋体" w:cs="宋体"/>
      <w:color w:val="000000"/>
      <w:sz w:val="22"/>
      <w:szCs w:val="22"/>
      <w:u w:val="none"/>
    </w:rPr>
  </w:style>
  <w:style w:type="character" w:customStyle="1" w:styleId="54">
    <w:name w:val="font41"/>
    <w:basedOn w:val="18"/>
    <w:autoRedefine/>
    <w:qFormat/>
    <w:uiPriority w:val="0"/>
    <w:rPr>
      <w:rFonts w:hint="default" w:ascii="Times New Roman" w:hAnsi="Times New Roman" w:cs="Times New Roman"/>
      <w:color w:val="000000"/>
      <w:sz w:val="22"/>
      <w:szCs w:val="22"/>
      <w:u w:val="none"/>
    </w:rPr>
  </w:style>
  <w:style w:type="character" w:customStyle="1" w:styleId="55">
    <w:name w:val="font71"/>
    <w:basedOn w:val="18"/>
    <w:autoRedefine/>
    <w:qFormat/>
    <w:uiPriority w:val="0"/>
    <w:rPr>
      <w:rFonts w:hint="eastAsia" w:ascii="宋体" w:hAnsi="宋体" w:eastAsia="宋体" w:cs="宋体"/>
      <w:b/>
      <w:color w:val="000000"/>
      <w:sz w:val="22"/>
      <w:szCs w:val="22"/>
      <w:u w:val="none"/>
    </w:rPr>
  </w:style>
  <w:style w:type="character" w:customStyle="1" w:styleId="56">
    <w:name w:val="font91"/>
    <w:basedOn w:val="18"/>
    <w:autoRedefine/>
    <w:qFormat/>
    <w:uiPriority w:val="0"/>
    <w:rPr>
      <w:rFonts w:hint="eastAsia" w:ascii="宋体" w:hAnsi="宋体" w:eastAsia="宋体" w:cs="宋体"/>
      <w:color w:val="000000"/>
      <w:sz w:val="22"/>
      <w:szCs w:val="22"/>
      <w:u w:val="none"/>
    </w:rPr>
  </w:style>
  <w:style w:type="character" w:customStyle="1" w:styleId="57">
    <w:name w:val="font61"/>
    <w:basedOn w:val="18"/>
    <w:autoRedefine/>
    <w:qFormat/>
    <w:uiPriority w:val="0"/>
    <w:rPr>
      <w:rFonts w:hint="eastAsia" w:ascii="宋体" w:hAnsi="宋体" w:eastAsia="宋体" w:cs="宋体"/>
      <w:color w:val="000000"/>
      <w:sz w:val="22"/>
      <w:szCs w:val="22"/>
      <w:u w:val="none"/>
    </w:rPr>
  </w:style>
  <w:style w:type="character" w:customStyle="1" w:styleId="58">
    <w:name w:val="font01"/>
    <w:basedOn w:val="18"/>
    <w:autoRedefine/>
    <w:qFormat/>
    <w:uiPriority w:val="0"/>
    <w:rPr>
      <w:rFonts w:hint="eastAsia" w:ascii="宋体" w:hAnsi="宋体" w:eastAsia="宋体" w:cs="宋体"/>
      <w:b/>
      <w:color w:val="000000"/>
      <w:sz w:val="22"/>
      <w:szCs w:val="22"/>
      <w:u w:val="none"/>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2">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4">
    <w:name w:val="Table Normal"/>
    <w:autoRedefine/>
    <w:unhideWhenUsed/>
    <w:qFormat/>
    <w:uiPriority w:val="0"/>
    <w:tblPr>
      <w:tblCellMar>
        <w:top w:w="0" w:type="dxa"/>
        <w:left w:w="0" w:type="dxa"/>
        <w:bottom w:w="0" w:type="dxa"/>
        <w:right w:w="0" w:type="dxa"/>
      </w:tblCellMar>
    </w:tblPr>
  </w:style>
  <w:style w:type="paragraph" w:customStyle="1" w:styleId="65">
    <w:name w:val="样式 正文首行缩进 + 首行缩进:  1 字符"/>
    <w:basedOn w:val="1"/>
    <w:next w:val="1"/>
    <w:qFormat/>
    <w:uiPriority w:val="0"/>
    <w:pPr>
      <w:ind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41</Pages>
  <Words>6405</Words>
  <Characters>6559</Characters>
  <Lines>70</Lines>
  <Paragraphs>19</Paragraphs>
  <TotalTime>2</TotalTime>
  <ScaleCrop>false</ScaleCrop>
  <LinksUpToDate>false</LinksUpToDate>
  <CharactersWithSpaces>6750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2021-07-14T03:21:00Z</dcterms:created>
  <dc:creator>Jeo Xie</dc:creator>
  <cp:lastModifiedBy> </cp:lastModifiedBy>
  <cp:lastPrinted>2026-04-20T03:34:00Z</cp:lastPrinted>
  <dcterms:modified xsi:type="dcterms:W3CDTF">2026-04-20T07:38:15Z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8A19AB552A3C44029C44989B1F4F72E4_13</vt:lpwstr>
  </property>
  <property fmtid="{D5CDD505-2E9C-101B-9397-08002B2CF9AE}" pid="4" name="KSOTemplateDocerSaveRecord">
    <vt:lpwstr>eyJoZGlkIjoiN2ZmNGE0NjRjYTU2OTJjMjE3ZjcyYmQ3ZmYzYmY2NjciLCJ1c2VySWQiOiIxNjEyMzQ1MDU4In0=</vt:lpwstr>
  </property>
</Properties>
</file>