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A87D5C">
      <w:pPr>
        <w:adjustRightInd w:val="0"/>
        <w:snapToGrid w:val="0"/>
        <w:spacing w:before="156" w:after="120" w:line="276" w:lineRule="auto"/>
        <w:jc w:val="center"/>
        <w:rPr>
          <w:rFonts w:hint="default" w:eastAsia="华文中宋"/>
          <w:color w:val="000000"/>
          <w:sz w:val="44"/>
          <w:szCs w:val="44"/>
          <w:lang w:val="en-US"/>
        </w:rPr>
      </w:pPr>
      <w:bookmarkStart w:id="0" w:name="_Toc228023130"/>
      <w:r>
        <w:rPr>
          <w:rFonts w:hint="eastAsia" w:eastAsia="华文中宋"/>
          <w:color w:val="000000"/>
          <w:sz w:val="44"/>
          <w:szCs w:val="44"/>
          <w:lang w:val="en-US" w:eastAsia="zh-CN"/>
        </w:rPr>
        <w:t>采购文件</w:t>
      </w:r>
      <w:bookmarkStart w:id="19" w:name="_GoBack"/>
      <w:bookmarkEnd w:id="19"/>
    </w:p>
    <w:p w14:paraId="5E60888F">
      <w:pPr>
        <w:spacing w:before="156" w:line="600" w:lineRule="exact"/>
        <w:ind w:firstLine="640" w:firstLineChars="200"/>
        <w:rPr>
          <w:rFonts w:eastAsia="仿宋_GB2312"/>
          <w:color w:val="000000"/>
          <w:sz w:val="32"/>
          <w:szCs w:val="32"/>
        </w:rPr>
      </w:pPr>
      <w:r>
        <w:rPr>
          <w:rFonts w:hint="eastAsia" w:eastAsia="仿宋_GB2312"/>
          <w:color w:val="000000"/>
          <w:sz w:val="32"/>
          <w:szCs w:val="32"/>
          <w:u w:val="single"/>
        </w:rPr>
        <w:t>东莞市新东元环保投资有限公司</w:t>
      </w:r>
      <w:r>
        <w:rPr>
          <w:rFonts w:hint="eastAsia" w:eastAsia="仿宋_GB2312"/>
          <w:color w:val="000000"/>
          <w:sz w:val="32"/>
          <w:szCs w:val="32"/>
          <w:u w:val="single"/>
          <w:lang w:val="en-US" w:eastAsia="zh-CN"/>
        </w:rPr>
        <w:t>因运营生产需求</w:t>
      </w:r>
      <w:r>
        <w:rPr>
          <w:rFonts w:hint="eastAsia" w:eastAsia="仿宋_GB2312"/>
          <w:color w:val="000000"/>
          <w:sz w:val="32"/>
          <w:szCs w:val="32"/>
          <w:u w:val="single"/>
        </w:rPr>
        <w:t>，拟采购一家</w:t>
      </w:r>
      <w:r>
        <w:rPr>
          <w:rFonts w:hint="eastAsia" w:eastAsia="仿宋_GB2312"/>
          <w:color w:val="000000"/>
          <w:sz w:val="32"/>
          <w:szCs w:val="32"/>
          <w:u w:val="single"/>
          <w:lang w:val="en-US" w:eastAsia="zh-CN"/>
        </w:rPr>
        <w:t>单位对垃圾储坑渗滤液格栅进行维修改造工作</w:t>
      </w:r>
      <w:r>
        <w:rPr>
          <w:rFonts w:hint="eastAsia" w:eastAsia="仿宋_GB2312"/>
          <w:color w:val="000000"/>
          <w:sz w:val="32"/>
          <w:szCs w:val="32"/>
        </w:rPr>
        <w:t>，现将相关情况介绍如下：</w:t>
      </w:r>
    </w:p>
    <w:p w14:paraId="184BA9DA">
      <w:pPr>
        <w:adjustRightInd w:val="0"/>
        <w:snapToGrid w:val="0"/>
        <w:spacing w:before="156" w:line="600" w:lineRule="exact"/>
        <w:ind w:firstLine="640" w:firstLineChars="200"/>
        <w:outlineLvl w:val="1"/>
        <w:rPr>
          <w:rFonts w:eastAsia="黑体"/>
          <w:color w:val="000000"/>
          <w:sz w:val="32"/>
          <w:szCs w:val="32"/>
        </w:rPr>
      </w:pPr>
      <w:r>
        <w:rPr>
          <w:rFonts w:hint="eastAsia" w:eastAsia="黑体"/>
          <w:color w:val="000000"/>
          <w:sz w:val="32"/>
          <w:szCs w:val="32"/>
        </w:rPr>
        <w:t>一、项目名称及内容</w:t>
      </w:r>
    </w:p>
    <w:p w14:paraId="7F17BFCB">
      <w:pPr>
        <w:adjustRightInd w:val="0"/>
        <w:snapToGrid w:val="0"/>
        <w:spacing w:before="156" w:line="600" w:lineRule="exact"/>
        <w:ind w:firstLine="640" w:firstLineChars="200"/>
        <w:rPr>
          <w:rFonts w:eastAsia="仿宋_GB2312"/>
          <w:color w:val="000000"/>
          <w:sz w:val="32"/>
          <w:szCs w:val="32"/>
        </w:rPr>
      </w:pPr>
      <w:r>
        <w:rPr>
          <w:rFonts w:eastAsia="仿宋_GB2312"/>
          <w:color w:val="000000"/>
          <w:sz w:val="32"/>
          <w:szCs w:val="32"/>
        </w:rPr>
        <w:t>1</w:t>
      </w:r>
      <w:r>
        <w:rPr>
          <w:rFonts w:hint="eastAsia" w:eastAsia="仿宋_GB2312"/>
          <w:color w:val="000000"/>
          <w:sz w:val="32"/>
          <w:szCs w:val="32"/>
        </w:rPr>
        <w:t>、项目名称：</w:t>
      </w:r>
      <w:r>
        <w:rPr>
          <w:rFonts w:hint="eastAsia" w:eastAsia="仿宋_GB2312"/>
          <w:color w:val="000000"/>
          <w:sz w:val="32"/>
          <w:szCs w:val="32"/>
          <w:u w:val="single"/>
          <w:lang w:eastAsia="zh-CN"/>
        </w:rPr>
        <w:t>东莞市海心沙资源综合利用中心环保热电厂垃圾储坑渗滤液格栅维修采购项目</w:t>
      </w:r>
    </w:p>
    <w:p w14:paraId="7DD1639B">
      <w:pPr>
        <w:adjustRightInd w:val="0"/>
        <w:snapToGrid w:val="0"/>
        <w:spacing w:before="156" w:line="600" w:lineRule="exact"/>
        <w:ind w:firstLine="640" w:firstLineChars="200"/>
        <w:rPr>
          <w:rFonts w:eastAsia="仿宋_GB2312"/>
          <w:color w:val="000000"/>
          <w:sz w:val="32"/>
          <w:szCs w:val="32"/>
          <w:u w:val="single"/>
        </w:rPr>
      </w:pPr>
      <w:r>
        <w:rPr>
          <w:rFonts w:eastAsia="仿宋_GB2312"/>
          <w:color w:val="000000"/>
          <w:sz w:val="32"/>
          <w:szCs w:val="32"/>
        </w:rPr>
        <w:t>2</w:t>
      </w:r>
      <w:r>
        <w:rPr>
          <w:rFonts w:hint="eastAsia" w:eastAsia="仿宋_GB2312"/>
          <w:color w:val="000000"/>
          <w:sz w:val="32"/>
          <w:szCs w:val="32"/>
        </w:rPr>
        <w:t>、采购范围：</w:t>
      </w:r>
      <w:r>
        <w:rPr>
          <w:rFonts w:hint="eastAsia" w:eastAsia="仿宋_GB2312"/>
          <w:color w:val="000000"/>
          <w:sz w:val="32"/>
          <w:szCs w:val="32"/>
          <w:lang w:val="en-US" w:eastAsia="zh-CN"/>
        </w:rPr>
        <w:t>详见附件《东莞市海心沙资源综合利用中心环保热电厂垃圾储坑渗滤液格栅维修采购项目技术需求书》</w:t>
      </w:r>
      <w:r>
        <w:rPr>
          <w:rFonts w:hint="eastAsia"/>
          <w:b w:val="0"/>
          <w:bCs w:val="0"/>
          <w:sz w:val="30"/>
          <w:szCs w:val="30"/>
          <w:lang w:val="en-US" w:eastAsia="zh-CN"/>
        </w:rPr>
        <w:t>。</w:t>
      </w:r>
    </w:p>
    <w:p w14:paraId="3BC0A3C4">
      <w:pPr>
        <w:adjustRightInd w:val="0"/>
        <w:snapToGrid w:val="0"/>
        <w:spacing w:before="156" w:line="600" w:lineRule="exact"/>
        <w:ind w:firstLine="640" w:firstLineChars="200"/>
        <w:rPr>
          <w:rFonts w:eastAsia="仿宋_GB2312"/>
          <w:color w:val="000000"/>
          <w:sz w:val="32"/>
          <w:szCs w:val="32"/>
        </w:rPr>
      </w:pPr>
      <w:r>
        <w:rPr>
          <w:rFonts w:eastAsia="仿宋_GB2312"/>
          <w:color w:val="000000"/>
          <w:sz w:val="32"/>
          <w:szCs w:val="32"/>
        </w:rPr>
        <w:t>3</w:t>
      </w:r>
      <w:r>
        <w:rPr>
          <w:rFonts w:hint="eastAsia" w:eastAsia="仿宋_GB2312"/>
          <w:color w:val="000000"/>
          <w:sz w:val="32"/>
          <w:szCs w:val="32"/>
        </w:rPr>
        <w:t>、项目地点：</w:t>
      </w:r>
      <w:r>
        <w:rPr>
          <w:rFonts w:hint="eastAsia" w:eastAsia="仿宋_GB2312"/>
          <w:color w:val="000000"/>
          <w:sz w:val="32"/>
          <w:szCs w:val="32"/>
          <w:u w:val="single"/>
        </w:rPr>
        <w:t>东莞市麻涌镇大步村海心沙岛</w:t>
      </w:r>
      <w:r>
        <w:rPr>
          <w:rFonts w:eastAsia="仿宋_GB2312"/>
          <w:color w:val="000000"/>
          <w:sz w:val="32"/>
          <w:szCs w:val="32"/>
          <w:u w:val="single"/>
        </w:rPr>
        <w:t xml:space="preserve"> </w:t>
      </w:r>
      <w:r>
        <w:rPr>
          <w:rFonts w:hint="eastAsia" w:eastAsia="仿宋_GB2312"/>
          <w:color w:val="000000"/>
          <w:sz w:val="32"/>
          <w:szCs w:val="32"/>
          <w:u w:val="single"/>
        </w:rPr>
        <w:t>；</w:t>
      </w:r>
    </w:p>
    <w:p w14:paraId="73AEB04F">
      <w:pPr>
        <w:adjustRightInd w:val="0"/>
        <w:snapToGrid w:val="0"/>
        <w:spacing w:before="156" w:line="600" w:lineRule="exact"/>
        <w:ind w:firstLine="640" w:firstLineChars="200"/>
        <w:outlineLvl w:val="1"/>
        <w:rPr>
          <w:rFonts w:hint="eastAsia" w:eastAsia="仿宋_GB2312"/>
          <w:color w:val="000000"/>
          <w:sz w:val="32"/>
          <w:szCs w:val="32"/>
          <w:lang w:val="en-US" w:eastAsia="zh-CN"/>
        </w:rPr>
      </w:pPr>
      <w:r>
        <w:rPr>
          <w:rFonts w:eastAsia="仿宋_GB2312"/>
          <w:color w:val="000000"/>
          <w:sz w:val="32"/>
          <w:szCs w:val="32"/>
        </w:rPr>
        <w:t>4</w:t>
      </w:r>
      <w:r>
        <w:rPr>
          <w:rFonts w:hint="eastAsia" w:eastAsia="仿宋_GB2312"/>
          <w:color w:val="000000"/>
          <w:sz w:val="32"/>
          <w:szCs w:val="32"/>
        </w:rPr>
        <w:t>、</w:t>
      </w:r>
      <w:r>
        <w:rPr>
          <w:rFonts w:hint="eastAsia" w:eastAsia="仿宋_GB2312"/>
          <w:color w:val="000000"/>
          <w:sz w:val="32"/>
          <w:szCs w:val="32"/>
          <w:lang w:val="en-US" w:eastAsia="zh-CN"/>
        </w:rPr>
        <w:t>服务</w:t>
      </w:r>
      <w:r>
        <w:rPr>
          <w:rFonts w:hint="eastAsia" w:eastAsia="仿宋_GB2312"/>
          <w:color w:val="000000"/>
          <w:sz w:val="32"/>
          <w:szCs w:val="32"/>
        </w:rPr>
        <w:t>期：自合同签订之日起</w:t>
      </w:r>
      <w:r>
        <w:rPr>
          <w:rFonts w:hint="eastAsia" w:eastAsia="仿宋_GB2312"/>
          <w:color w:val="000000"/>
          <w:sz w:val="32"/>
          <w:szCs w:val="32"/>
          <w:lang w:val="en-US" w:eastAsia="zh-CN"/>
        </w:rPr>
        <w:t>5</w:t>
      </w:r>
      <w:r>
        <w:rPr>
          <w:rFonts w:hint="eastAsia" w:eastAsia="仿宋_GB2312"/>
          <w:color w:val="000000"/>
          <w:sz w:val="32"/>
          <w:szCs w:val="32"/>
        </w:rPr>
        <w:t>0个日历日内完成</w:t>
      </w:r>
      <w:r>
        <w:rPr>
          <w:rFonts w:hint="eastAsia" w:eastAsia="仿宋_GB2312"/>
          <w:color w:val="000000"/>
          <w:sz w:val="32"/>
          <w:szCs w:val="32"/>
          <w:lang w:val="en-US" w:eastAsia="zh-CN"/>
        </w:rPr>
        <w:t>项目的设计､供货､安装（含旧格栅拆除）、</w:t>
      </w:r>
      <w:r>
        <w:rPr>
          <w:rFonts w:hint="eastAsia" w:eastAsia="仿宋_GB2312"/>
          <w:color w:val="000000"/>
          <w:sz w:val="32"/>
          <w:szCs w:val="32"/>
          <w:u w:val="single"/>
          <w:lang w:val="en-US" w:eastAsia="zh-CN"/>
        </w:rPr>
        <w:t>维修改造</w:t>
      </w:r>
      <w:r>
        <w:rPr>
          <w:rFonts w:hint="eastAsia" w:eastAsia="仿宋_GB2312"/>
          <w:color w:val="000000"/>
          <w:sz w:val="32"/>
          <w:szCs w:val="32"/>
          <w:lang w:val="en-US" w:eastAsia="zh-CN"/>
        </w:rPr>
        <w:t>及调试服务</w:t>
      </w:r>
      <w:r>
        <w:rPr>
          <w:rFonts w:hint="eastAsia" w:eastAsia="仿宋_GB2312"/>
          <w:color w:val="000000"/>
          <w:sz w:val="32"/>
          <w:szCs w:val="32"/>
          <w:lang w:eastAsia="zh-CN"/>
        </w:rPr>
        <w:t>。</w:t>
      </w:r>
    </w:p>
    <w:p w14:paraId="36AB1577">
      <w:pPr>
        <w:adjustRightInd w:val="0"/>
        <w:snapToGrid w:val="0"/>
        <w:spacing w:before="156" w:line="600" w:lineRule="exact"/>
        <w:ind w:firstLine="640" w:firstLineChars="200"/>
        <w:outlineLvl w:val="9"/>
        <w:rPr>
          <w:rFonts w:eastAsia="黑体"/>
          <w:color w:val="000000"/>
          <w:sz w:val="32"/>
          <w:szCs w:val="32"/>
        </w:rPr>
      </w:pPr>
      <w:r>
        <w:rPr>
          <w:rFonts w:hint="eastAsia" w:eastAsia="黑体"/>
          <w:color w:val="000000"/>
          <w:sz w:val="32"/>
          <w:szCs w:val="32"/>
        </w:rPr>
        <w:t>二、项目发布</w:t>
      </w:r>
    </w:p>
    <w:p w14:paraId="1D2C0A55">
      <w:pPr>
        <w:adjustRightInd w:val="0"/>
        <w:snapToGrid w:val="0"/>
        <w:spacing w:before="156" w:line="600" w:lineRule="exact"/>
        <w:ind w:firstLine="640" w:firstLineChars="200"/>
        <w:rPr>
          <w:rFonts w:eastAsia="仿宋_GB2312"/>
          <w:color w:val="000000"/>
          <w:sz w:val="32"/>
          <w:szCs w:val="32"/>
        </w:rPr>
      </w:pPr>
      <w:r>
        <w:rPr>
          <w:rFonts w:hint="eastAsia" w:eastAsia="仿宋_GB2312"/>
          <w:color w:val="000000"/>
          <w:sz w:val="32"/>
          <w:szCs w:val="32"/>
        </w:rPr>
        <w:t>本项目采购信息在东莞实业投资控股集团有限公司网站（http://www.dgsy.com.cn/）及</w:t>
      </w:r>
      <w:r>
        <w:rPr>
          <w:rFonts w:hint="eastAsia" w:eastAsia="仿宋_GB2312"/>
          <w:color w:val="000000"/>
          <w:sz w:val="32"/>
          <w:szCs w:val="32"/>
          <w:lang w:val="en-US" w:eastAsia="zh-CN"/>
        </w:rPr>
        <w:t>广东东实环境股份有</w:t>
      </w:r>
      <w:r>
        <w:rPr>
          <w:rFonts w:hint="eastAsia" w:eastAsia="仿宋_GB2312"/>
          <w:color w:val="000000"/>
          <w:sz w:val="32"/>
          <w:szCs w:val="32"/>
        </w:rPr>
        <w:t>限公司网站（www.dsenvironment.cn）发布。</w:t>
      </w:r>
    </w:p>
    <w:p w14:paraId="5AAEAEF0">
      <w:pPr>
        <w:adjustRightInd w:val="0"/>
        <w:snapToGrid w:val="0"/>
        <w:spacing w:before="156" w:line="600" w:lineRule="exact"/>
        <w:ind w:firstLine="640" w:firstLineChars="200"/>
        <w:outlineLvl w:val="1"/>
        <w:rPr>
          <w:rFonts w:eastAsia="黑体"/>
          <w:color w:val="000000"/>
          <w:sz w:val="32"/>
          <w:szCs w:val="32"/>
        </w:rPr>
      </w:pPr>
      <w:r>
        <w:rPr>
          <w:rFonts w:eastAsia="黑体"/>
          <w:color w:val="000000"/>
          <w:sz w:val="32"/>
          <w:szCs w:val="32"/>
        </w:rPr>
        <w:sym w:font="Wingdings" w:char="F0AB"/>
      </w:r>
      <w:r>
        <w:rPr>
          <w:rFonts w:hint="eastAsia" w:eastAsia="黑体"/>
          <w:color w:val="000000"/>
          <w:sz w:val="32"/>
          <w:szCs w:val="32"/>
        </w:rPr>
        <w:t>三、</w:t>
      </w:r>
      <w:r>
        <w:rPr>
          <w:rFonts w:hint="eastAsia" w:eastAsia="黑体"/>
          <w:color w:val="000000"/>
          <w:sz w:val="32"/>
          <w:szCs w:val="32"/>
          <w:lang w:eastAsia="zh-CN"/>
        </w:rPr>
        <w:t>响应人</w:t>
      </w:r>
      <w:r>
        <w:rPr>
          <w:rFonts w:hint="eastAsia" w:eastAsia="黑体"/>
          <w:color w:val="000000"/>
          <w:sz w:val="32"/>
          <w:szCs w:val="32"/>
        </w:rPr>
        <w:t>资格要求</w:t>
      </w:r>
    </w:p>
    <w:p w14:paraId="304F5A28">
      <w:pPr>
        <w:spacing w:before="156"/>
        <w:ind w:firstLine="627" w:firstLineChars="196"/>
        <w:rPr>
          <w:rFonts w:hint="eastAsia" w:ascii="仿宋" w:hAnsi="仿宋" w:eastAsia="仿宋"/>
          <w:sz w:val="32"/>
          <w:szCs w:val="32"/>
        </w:rPr>
      </w:pPr>
      <w:r>
        <w:rPr>
          <w:rFonts w:hint="eastAsia" w:ascii="仿宋" w:hAnsi="仿宋" w:eastAsia="仿宋"/>
          <w:sz w:val="32"/>
          <w:szCs w:val="32"/>
        </w:rPr>
        <w:t>1、响应人须为在中华人民共和国境内登记注册的具有独立承担民事责任能力的法人或其他组织。</w:t>
      </w:r>
      <w:r>
        <w:rPr>
          <w:rFonts w:hint="eastAsia" w:ascii="仿宋" w:hAnsi="仿宋" w:eastAsia="仿宋"/>
          <w:sz w:val="32"/>
          <w:szCs w:val="32"/>
          <w:lang w:eastAsia="zh-CN"/>
        </w:rPr>
        <w:t>【</w:t>
      </w:r>
      <w:r>
        <w:rPr>
          <w:rFonts w:hint="eastAsia" w:ascii="仿宋" w:hAnsi="仿宋" w:eastAsia="仿宋"/>
          <w:sz w:val="32"/>
          <w:szCs w:val="32"/>
        </w:rPr>
        <w:t>提供《营业执照》复印件（加盖公章）或《事业单位法人证书》复印件（加盖公章）或其他主体证书复印件（加盖公章）</w:t>
      </w:r>
      <w:r>
        <w:rPr>
          <w:rFonts w:hint="eastAsia" w:ascii="仿宋" w:hAnsi="仿宋" w:eastAsia="仿宋"/>
          <w:sz w:val="32"/>
          <w:szCs w:val="32"/>
          <w:lang w:eastAsia="zh-CN"/>
        </w:rPr>
        <w:t>】</w:t>
      </w:r>
      <w:r>
        <w:rPr>
          <w:rFonts w:hint="eastAsia" w:ascii="仿宋" w:hAnsi="仿宋" w:eastAsia="仿宋"/>
          <w:sz w:val="32"/>
          <w:szCs w:val="32"/>
        </w:rPr>
        <w:t>；</w:t>
      </w:r>
    </w:p>
    <w:p w14:paraId="040F7830">
      <w:pPr>
        <w:spacing w:before="156"/>
        <w:ind w:firstLine="627" w:firstLineChars="196"/>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2、未被列入东实环境及下属企业相关领域黑名单；</w:t>
      </w:r>
    </w:p>
    <w:p w14:paraId="6D8E82B8">
      <w:pPr>
        <w:spacing w:before="156"/>
        <w:ind w:firstLine="627" w:firstLineChars="196"/>
        <w:rPr>
          <w:rFonts w:hint="eastAsia" w:ascii="仿宋" w:hAnsi="仿宋" w:eastAsia="仿宋"/>
          <w:sz w:val="32"/>
          <w:szCs w:val="32"/>
        </w:rPr>
      </w:pPr>
      <w:r>
        <w:rPr>
          <w:rFonts w:hint="eastAsia" w:ascii="仿宋" w:hAnsi="仿宋" w:eastAsia="仿宋" w:cs="仿宋"/>
          <w:sz w:val="32"/>
          <w:szCs w:val="32"/>
          <w:lang w:val="en-US" w:eastAsia="zh-CN"/>
        </w:rPr>
        <w:t>3、</w:t>
      </w:r>
      <w:r>
        <w:rPr>
          <w:rFonts w:hint="eastAsia" w:ascii="仿宋" w:hAnsi="仿宋" w:eastAsia="仿宋"/>
          <w:sz w:val="32"/>
          <w:szCs w:val="32"/>
        </w:rPr>
        <w:t>业绩要求：</w:t>
      </w:r>
      <w:r>
        <w:rPr>
          <w:rFonts w:hint="eastAsia" w:ascii="仿宋" w:hAnsi="仿宋" w:eastAsia="仿宋"/>
          <w:sz w:val="32"/>
          <w:szCs w:val="32"/>
          <w:lang w:eastAsia="zh-CN"/>
        </w:rPr>
        <w:t>响应人</w:t>
      </w:r>
      <w:r>
        <w:rPr>
          <w:rFonts w:hint="eastAsia" w:ascii="仿宋" w:hAnsi="仿宋" w:eastAsia="仿宋"/>
          <w:sz w:val="32"/>
          <w:szCs w:val="32"/>
        </w:rPr>
        <w:t>具备类似项目经验，要求</w:t>
      </w:r>
      <w:r>
        <w:rPr>
          <w:rFonts w:hint="eastAsia" w:ascii="仿宋" w:hAnsi="仿宋" w:eastAsia="仿宋"/>
          <w:sz w:val="32"/>
          <w:szCs w:val="32"/>
          <w:u w:val="single"/>
        </w:rPr>
        <w:t>20</w:t>
      </w:r>
      <w:r>
        <w:rPr>
          <w:rFonts w:hint="eastAsia" w:ascii="仿宋" w:hAnsi="仿宋" w:eastAsia="仿宋"/>
          <w:sz w:val="32"/>
          <w:szCs w:val="32"/>
          <w:u w:val="single"/>
          <w:lang w:val="en-US" w:eastAsia="zh-CN"/>
        </w:rPr>
        <w:t>23</w:t>
      </w:r>
      <w:r>
        <w:rPr>
          <w:rFonts w:hint="eastAsia" w:ascii="仿宋" w:hAnsi="仿宋" w:eastAsia="仿宋"/>
          <w:sz w:val="32"/>
          <w:szCs w:val="32"/>
        </w:rPr>
        <w:t>年</w:t>
      </w:r>
      <w:r>
        <w:rPr>
          <w:rFonts w:ascii="仿宋" w:hAnsi="仿宋" w:eastAsia="仿宋"/>
          <w:sz w:val="32"/>
          <w:szCs w:val="32"/>
          <w:u w:val="single"/>
        </w:rPr>
        <w:t xml:space="preserve"> </w:t>
      </w:r>
      <w:r>
        <w:rPr>
          <w:rFonts w:hint="eastAsia" w:ascii="仿宋" w:hAnsi="仿宋" w:eastAsia="仿宋"/>
          <w:sz w:val="32"/>
          <w:szCs w:val="32"/>
          <w:u w:val="single"/>
          <w:lang w:val="en-US" w:eastAsia="zh-CN"/>
        </w:rPr>
        <w:t>1</w:t>
      </w:r>
      <w:r>
        <w:rPr>
          <w:rFonts w:hint="eastAsia" w:ascii="仿宋" w:hAnsi="仿宋" w:eastAsia="仿宋"/>
          <w:sz w:val="32"/>
          <w:szCs w:val="32"/>
        </w:rPr>
        <w:t>月</w:t>
      </w:r>
      <w:r>
        <w:rPr>
          <w:rFonts w:hint="eastAsia" w:ascii="仿宋" w:hAnsi="仿宋" w:eastAsia="仿宋"/>
          <w:sz w:val="32"/>
          <w:szCs w:val="32"/>
          <w:u w:val="single"/>
        </w:rPr>
        <w:t>1</w:t>
      </w:r>
      <w:r>
        <w:rPr>
          <w:rFonts w:hint="eastAsia" w:ascii="仿宋" w:hAnsi="仿宋" w:eastAsia="仿宋"/>
          <w:sz w:val="32"/>
          <w:szCs w:val="32"/>
        </w:rPr>
        <w:t>日起至今，完成不少于1个格栅疏通系统项目的供货业绩</w:t>
      </w:r>
      <w:r>
        <w:rPr>
          <w:rFonts w:hint="eastAsia" w:ascii="仿宋" w:hAnsi="仿宋" w:eastAsia="仿宋"/>
          <w:sz w:val="32"/>
          <w:szCs w:val="32"/>
          <w:lang w:eastAsia="zh-CN"/>
        </w:rPr>
        <w:t>。</w:t>
      </w:r>
      <w:r>
        <w:rPr>
          <w:rFonts w:hint="eastAsia" w:ascii="仿宋" w:hAnsi="仿宋" w:eastAsia="仿宋"/>
          <w:sz w:val="32"/>
          <w:szCs w:val="32"/>
        </w:rPr>
        <w:t>【按合同签订时间为准，须提供合同关键页复印件（包含但不限于合同首页、合同金额页、合同签字页等</w:t>
      </w:r>
      <w:r>
        <w:rPr>
          <w:rFonts w:hint="eastAsia" w:ascii="仿宋" w:hAnsi="仿宋" w:eastAsia="仿宋"/>
          <w:sz w:val="32"/>
          <w:szCs w:val="32"/>
          <w:lang w:eastAsia="zh-CN"/>
        </w:rPr>
        <w:t>，</w:t>
      </w:r>
      <w:r>
        <w:rPr>
          <w:rFonts w:hint="eastAsia" w:ascii="仿宋" w:hAnsi="仿宋" w:eastAsia="仿宋"/>
          <w:sz w:val="32"/>
          <w:szCs w:val="32"/>
          <w:lang w:val="en-US" w:eastAsia="zh-CN"/>
        </w:rPr>
        <w:t>必须含体现本项业绩要求的相关信息</w:t>
      </w:r>
      <w:r>
        <w:rPr>
          <w:rFonts w:hint="eastAsia" w:ascii="仿宋" w:hAnsi="仿宋" w:eastAsia="仿宋"/>
          <w:sz w:val="32"/>
          <w:szCs w:val="32"/>
        </w:rPr>
        <w:t>）、</w:t>
      </w:r>
      <w:bookmarkStart w:id="1" w:name="_Hlk90414374"/>
      <w:r>
        <w:rPr>
          <w:rFonts w:hint="eastAsia" w:ascii="仿宋" w:hAnsi="仿宋" w:eastAsia="仿宋"/>
          <w:sz w:val="32"/>
          <w:szCs w:val="32"/>
        </w:rPr>
        <w:t>对应业绩项目合同期内任意一期已开具的发票复印件加盖公章</w:t>
      </w:r>
      <w:bookmarkEnd w:id="1"/>
      <w:r>
        <w:rPr>
          <w:rFonts w:hint="eastAsia" w:ascii="仿宋" w:hAnsi="仿宋" w:eastAsia="仿宋"/>
          <w:sz w:val="32"/>
          <w:szCs w:val="32"/>
        </w:rPr>
        <w:t>】。</w:t>
      </w:r>
    </w:p>
    <w:p w14:paraId="5815CC68">
      <w:pPr>
        <w:pStyle w:val="20"/>
        <w:keepNext w:val="0"/>
        <w:keepLines w:val="0"/>
        <w:pageBreakBefore w:val="0"/>
        <w:widowControl w:val="0"/>
        <w:kinsoku/>
        <w:wordWrap/>
        <w:overflowPunct/>
        <w:topLinePunct w:val="0"/>
        <w:autoSpaceDE/>
        <w:autoSpaceDN/>
        <w:bidi w:val="0"/>
        <w:adjustRightInd/>
        <w:snapToGrid w:val="0"/>
        <w:spacing w:before="157" w:beforeLines="50" w:line="360" w:lineRule="auto"/>
        <w:ind w:firstLine="640" w:firstLineChars="200"/>
        <w:jc w:val="left"/>
        <w:textAlignment w:val="auto"/>
        <w:rPr>
          <w:rFonts w:hint="eastAsia" w:ascii="仿宋" w:hAnsi="仿宋" w:eastAsia="仿宋" w:cs="Times New Roman"/>
          <w:kern w:val="2"/>
          <w:sz w:val="32"/>
          <w:szCs w:val="32"/>
          <w:lang w:val="en-US" w:eastAsia="zh-CN" w:bidi="ar-SA"/>
        </w:rPr>
      </w:pPr>
      <w:r>
        <w:rPr>
          <w:rFonts w:hint="eastAsia" w:ascii="仿宋" w:hAnsi="仿宋" w:eastAsia="仿宋" w:cs="仿宋"/>
          <w:sz w:val="32"/>
          <w:szCs w:val="32"/>
          <w:lang w:val="en-US" w:eastAsia="zh-CN"/>
        </w:rPr>
        <w:t>4、</w:t>
      </w:r>
      <w:r>
        <w:rPr>
          <w:rFonts w:hint="eastAsia" w:ascii="仿宋" w:hAnsi="仿宋" w:eastAsia="仿宋" w:cs="Times New Roman"/>
          <w:kern w:val="2"/>
          <w:sz w:val="32"/>
          <w:szCs w:val="32"/>
          <w:lang w:val="en-US" w:eastAsia="zh-CN" w:bidi="ar-SA"/>
        </w:rPr>
        <w:t>响应人须提供报价截止日前6个月内任意1个月依法缴纳税收及无欠税的证明材料。如依法免税的，须提供相</w:t>
      </w:r>
    </w:p>
    <w:p w14:paraId="0A251C10">
      <w:pPr>
        <w:pStyle w:val="20"/>
        <w:keepNext w:val="0"/>
        <w:keepLines w:val="0"/>
        <w:pageBreakBefore w:val="0"/>
        <w:widowControl w:val="0"/>
        <w:kinsoku/>
        <w:wordWrap/>
        <w:overflowPunct/>
        <w:topLinePunct w:val="0"/>
        <w:autoSpaceDE/>
        <w:autoSpaceDN/>
        <w:bidi w:val="0"/>
        <w:adjustRightInd/>
        <w:snapToGrid w:val="0"/>
        <w:spacing w:before="157" w:beforeLines="50" w:line="360" w:lineRule="auto"/>
        <w:jc w:val="left"/>
        <w:textAlignment w:val="auto"/>
        <w:rPr>
          <w:rFonts w:hint="eastAsia" w:ascii="仿宋" w:hAnsi="仿宋" w:eastAsia="仿宋"/>
          <w:sz w:val="32"/>
          <w:szCs w:val="32"/>
        </w:rPr>
      </w:pPr>
      <w:r>
        <w:rPr>
          <w:rFonts w:hint="eastAsia" w:ascii="仿宋" w:hAnsi="仿宋" w:eastAsia="仿宋" w:cs="Times New Roman"/>
          <w:kern w:val="2"/>
          <w:sz w:val="32"/>
          <w:szCs w:val="32"/>
          <w:lang w:val="en-US" w:eastAsia="zh-CN" w:bidi="ar-SA"/>
        </w:rPr>
        <w:t>应证明材料【证明材料须加盖公章】</w:t>
      </w:r>
      <w:r>
        <w:rPr>
          <w:rFonts w:hint="eastAsia" w:ascii="仿宋" w:hAnsi="仿宋" w:eastAsia="仿宋"/>
          <w:sz w:val="32"/>
          <w:szCs w:val="32"/>
        </w:rPr>
        <w:t>。</w:t>
      </w:r>
    </w:p>
    <w:p w14:paraId="3FA78EC1">
      <w:pPr>
        <w:adjustRightInd w:val="0"/>
        <w:snapToGrid w:val="0"/>
        <w:spacing w:before="156" w:line="600" w:lineRule="exact"/>
        <w:ind w:firstLine="640" w:firstLineChars="200"/>
        <w:outlineLvl w:val="1"/>
        <w:rPr>
          <w:rFonts w:eastAsia="黑体"/>
          <w:color w:val="000000"/>
          <w:sz w:val="32"/>
          <w:szCs w:val="32"/>
        </w:rPr>
      </w:pPr>
      <w:r>
        <w:rPr>
          <w:rFonts w:hint="eastAsia" w:eastAsia="黑体"/>
          <w:color w:val="000000"/>
          <w:sz w:val="32"/>
          <w:szCs w:val="32"/>
        </w:rPr>
        <w:t>四、采购内容及要求</w:t>
      </w:r>
    </w:p>
    <w:p w14:paraId="565AC441">
      <w:pPr>
        <w:spacing w:before="156" w:line="600" w:lineRule="exact"/>
        <w:ind w:firstLine="640" w:firstLineChars="200"/>
        <w:rPr>
          <w:rFonts w:hint="eastAsia" w:eastAsia="仿宋_GB2312"/>
          <w:color w:val="000000"/>
          <w:sz w:val="32"/>
          <w:szCs w:val="32"/>
          <w:lang w:val="en-US" w:eastAsia="zh-CN"/>
        </w:rPr>
      </w:pPr>
      <w:r>
        <w:rPr>
          <w:rFonts w:hint="eastAsia" w:eastAsia="仿宋_GB2312"/>
          <w:color w:val="000000"/>
          <w:sz w:val="32"/>
          <w:szCs w:val="32"/>
        </w:rPr>
        <w:t>1、</w:t>
      </w:r>
      <w:r>
        <w:rPr>
          <w:rFonts w:hint="eastAsia" w:eastAsia="仿宋_GB2312"/>
          <w:color w:val="000000"/>
          <w:sz w:val="32"/>
          <w:szCs w:val="32"/>
          <w:lang w:val="en-US" w:eastAsia="zh-CN"/>
        </w:rPr>
        <w:t>详见附件《东莞市海心沙资源综合利用中心环保热电厂垃圾储坑渗滤液格栅维修采购项目技术需求书》</w:t>
      </w:r>
    </w:p>
    <w:p w14:paraId="30A4740F">
      <w:pPr>
        <w:spacing w:before="156" w:line="600" w:lineRule="exact"/>
        <w:ind w:firstLine="640" w:firstLineChars="200"/>
        <w:rPr>
          <w:rFonts w:hint="default" w:ascii="仿宋" w:hAnsi="仿宋" w:eastAsia="仿宋" w:cs="仿宋"/>
          <w:b w:val="0"/>
          <w:bCs w:val="0"/>
          <w:color w:val="000000" w:themeColor="text1"/>
          <w:sz w:val="32"/>
          <w:szCs w:val="32"/>
          <w:lang w:val="en-US" w:eastAsia="zh-CN"/>
          <w14:textFill>
            <w14:solidFill>
              <w14:schemeClr w14:val="tx1"/>
            </w14:solidFill>
          </w14:textFill>
        </w:rPr>
      </w:pPr>
      <w:r>
        <w:rPr>
          <w:rFonts w:hint="eastAsia" w:eastAsia="仿宋_GB2312"/>
          <w:b w:val="0"/>
          <w:bCs w:val="0"/>
          <w:color w:val="000000"/>
          <w:sz w:val="32"/>
          <w:szCs w:val="32"/>
          <w:lang w:val="en-US" w:eastAsia="zh-CN"/>
        </w:rPr>
        <w:t>2、质保期：项目经采购人验收合格之日起为期 12 个月</w:t>
      </w:r>
      <w:r>
        <w:rPr>
          <w:rFonts w:hint="eastAsia" w:ascii="仿宋" w:hAnsi="仿宋" w:eastAsia="仿宋" w:cs="仿宋"/>
          <w:b w:val="0"/>
          <w:bCs w:val="0"/>
          <w:color w:val="000000" w:themeColor="text1"/>
          <w:sz w:val="32"/>
          <w:szCs w:val="32"/>
          <w:lang w:val="en-US" w:eastAsia="zh-CN"/>
          <w14:textFill>
            <w14:solidFill>
              <w14:schemeClr w14:val="tx1"/>
            </w14:solidFill>
          </w14:textFill>
        </w:rPr>
        <w:t>。</w:t>
      </w:r>
    </w:p>
    <w:p w14:paraId="4A46D00E">
      <w:pPr>
        <w:spacing w:before="156" w:line="60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3、成交人必须为所有投入本施工项目的工作人员购买社保和人身意外伤害保险。在该购买的人身意外伤害保险项下，被保险人因意外伤害死亡时的赔偿金额应不低于人民币120万/人，且保险期限不短于本合同有效期间及本项目工期。</w:t>
      </w:r>
    </w:p>
    <w:p w14:paraId="2683A72D">
      <w:pPr>
        <w:spacing w:before="156" w:line="600" w:lineRule="exact"/>
        <w:ind w:firstLine="643" w:firstLineChars="200"/>
        <w:rPr>
          <w:rFonts w:hint="default" w:ascii="仿宋" w:hAnsi="仿宋" w:eastAsia="仿宋" w:cs="仿宋"/>
          <w:b/>
          <w:bCs/>
          <w:color w:val="000000" w:themeColor="text1"/>
          <w:sz w:val="32"/>
          <w:szCs w:val="32"/>
          <w:lang w:val="en-US"/>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4、</w:t>
      </w:r>
      <w:r>
        <w:rPr>
          <w:rFonts w:hint="eastAsia" w:ascii="Times New Roman" w:hAnsi="Times New Roman" w:eastAsia="仿宋_GB2312" w:cs="Times New Roman"/>
          <w:color w:val="000000"/>
          <w:sz w:val="32"/>
          <w:szCs w:val="32"/>
          <w:lang w:val="en-US" w:eastAsia="zh-CN"/>
        </w:rPr>
        <w:t>本项目要求现场踏勘，如有疑问可咨询项目负责人</w:t>
      </w:r>
      <w:r>
        <w:rPr>
          <w:rFonts w:hint="eastAsia" w:eastAsia="仿宋_GB2312" w:cs="Times New Roman"/>
          <w:color w:val="000000"/>
          <w:sz w:val="32"/>
          <w:szCs w:val="32"/>
          <w:lang w:val="en-US" w:eastAsia="zh-CN"/>
        </w:rPr>
        <w:t>何</w:t>
      </w:r>
      <w:r>
        <w:rPr>
          <w:rFonts w:hint="eastAsia" w:ascii="Times New Roman" w:hAnsi="Times New Roman" w:eastAsia="仿宋_GB2312" w:cs="Times New Roman"/>
          <w:color w:val="000000"/>
          <w:sz w:val="32"/>
          <w:szCs w:val="32"/>
          <w:lang w:val="en-US" w:eastAsia="zh-CN"/>
        </w:rPr>
        <w:t>工15878585577。</w:t>
      </w:r>
    </w:p>
    <w:p w14:paraId="560486CE">
      <w:pPr>
        <w:adjustRightInd w:val="0"/>
        <w:snapToGrid w:val="0"/>
        <w:spacing w:before="156" w:line="600" w:lineRule="exact"/>
        <w:ind w:firstLine="640" w:firstLineChars="200"/>
        <w:outlineLvl w:val="1"/>
        <w:rPr>
          <w:rFonts w:eastAsia="黑体"/>
          <w:color w:val="000000"/>
          <w:sz w:val="32"/>
          <w:szCs w:val="32"/>
        </w:rPr>
      </w:pPr>
      <w:r>
        <w:rPr>
          <w:rFonts w:hint="eastAsia" w:eastAsia="黑体"/>
          <w:color w:val="000000"/>
          <w:sz w:val="32"/>
          <w:szCs w:val="32"/>
        </w:rPr>
        <w:t>五、</w:t>
      </w:r>
      <w:r>
        <w:rPr>
          <w:rFonts w:hint="eastAsia" w:eastAsia="黑体"/>
          <w:color w:val="000000"/>
          <w:sz w:val="32"/>
          <w:szCs w:val="32"/>
          <w:lang w:val="en-US" w:eastAsia="zh-CN"/>
        </w:rPr>
        <w:t>服务</w:t>
      </w:r>
      <w:r>
        <w:rPr>
          <w:rFonts w:hint="eastAsia" w:eastAsia="黑体"/>
          <w:color w:val="000000"/>
          <w:sz w:val="32"/>
          <w:szCs w:val="32"/>
        </w:rPr>
        <w:t>时间</w:t>
      </w:r>
    </w:p>
    <w:p w14:paraId="1E22ECAA">
      <w:pPr>
        <w:adjustRightInd w:val="0"/>
        <w:snapToGrid w:val="0"/>
        <w:spacing w:before="156" w:line="600" w:lineRule="exact"/>
        <w:ind w:firstLine="640" w:firstLineChars="200"/>
        <w:outlineLvl w:val="1"/>
        <w:rPr>
          <w:rFonts w:hint="eastAsia" w:eastAsia="仿宋_GB2312"/>
          <w:color w:val="000000"/>
          <w:sz w:val="32"/>
          <w:szCs w:val="32"/>
          <w:lang w:eastAsia="zh-CN"/>
        </w:rPr>
      </w:pPr>
      <w:r>
        <w:rPr>
          <w:rFonts w:hint="eastAsia" w:eastAsia="仿宋_GB2312"/>
          <w:color w:val="000000"/>
          <w:sz w:val="32"/>
          <w:szCs w:val="32"/>
        </w:rPr>
        <w:t>自合同签订之日起</w:t>
      </w:r>
      <w:r>
        <w:rPr>
          <w:rFonts w:hint="eastAsia" w:eastAsia="仿宋_GB2312"/>
          <w:color w:val="000000"/>
          <w:sz w:val="32"/>
          <w:szCs w:val="32"/>
          <w:lang w:val="en-US" w:eastAsia="zh-CN"/>
        </w:rPr>
        <w:t>5</w:t>
      </w:r>
      <w:r>
        <w:rPr>
          <w:rFonts w:hint="eastAsia" w:eastAsia="仿宋_GB2312"/>
          <w:color w:val="000000"/>
          <w:sz w:val="32"/>
          <w:szCs w:val="32"/>
        </w:rPr>
        <w:t>0个日历日内完成</w:t>
      </w:r>
      <w:r>
        <w:rPr>
          <w:rFonts w:hint="eastAsia" w:eastAsia="仿宋_GB2312"/>
          <w:color w:val="000000"/>
          <w:sz w:val="32"/>
          <w:szCs w:val="32"/>
          <w:lang w:val="en-US" w:eastAsia="zh-CN"/>
        </w:rPr>
        <w:t>项目的设计､供货､安装（含旧格栅拆除）、</w:t>
      </w:r>
      <w:r>
        <w:rPr>
          <w:rFonts w:hint="eastAsia" w:eastAsia="仿宋_GB2312"/>
          <w:color w:val="000000"/>
          <w:sz w:val="32"/>
          <w:szCs w:val="32"/>
          <w:u w:val="single"/>
          <w:lang w:val="en-US" w:eastAsia="zh-CN"/>
        </w:rPr>
        <w:t>维修改造</w:t>
      </w:r>
      <w:r>
        <w:rPr>
          <w:rFonts w:hint="eastAsia" w:eastAsia="仿宋_GB2312"/>
          <w:color w:val="000000"/>
          <w:sz w:val="32"/>
          <w:szCs w:val="32"/>
          <w:lang w:val="en-US" w:eastAsia="zh-CN"/>
        </w:rPr>
        <w:t>及调试服务。</w:t>
      </w:r>
    </w:p>
    <w:p w14:paraId="76CDCA79">
      <w:pPr>
        <w:adjustRightInd w:val="0"/>
        <w:snapToGrid w:val="0"/>
        <w:spacing w:before="156" w:line="600" w:lineRule="exact"/>
        <w:ind w:firstLine="640" w:firstLineChars="200"/>
        <w:outlineLvl w:val="1"/>
        <w:rPr>
          <w:rFonts w:eastAsia="黑体"/>
          <w:color w:val="000000"/>
          <w:sz w:val="32"/>
          <w:szCs w:val="32"/>
        </w:rPr>
      </w:pPr>
      <w:r>
        <w:rPr>
          <w:rFonts w:hint="eastAsia" w:eastAsia="黑体"/>
          <w:color w:val="000000"/>
          <w:sz w:val="32"/>
          <w:szCs w:val="32"/>
        </w:rPr>
        <w:t>六、报价保证金</w:t>
      </w:r>
    </w:p>
    <w:p w14:paraId="191074C4">
      <w:pPr>
        <w:spacing w:before="156" w:line="600" w:lineRule="exact"/>
        <w:ind w:firstLine="640" w:firstLineChars="200"/>
        <w:rPr>
          <w:rFonts w:hint="eastAsia" w:eastAsia="仿宋_GB2312"/>
          <w:color w:val="000000"/>
          <w:sz w:val="32"/>
          <w:szCs w:val="32"/>
        </w:rPr>
      </w:pPr>
      <w:r>
        <w:rPr>
          <w:rFonts w:hint="eastAsia" w:eastAsia="仿宋_GB2312"/>
          <w:color w:val="000000"/>
          <w:sz w:val="32"/>
          <w:szCs w:val="32"/>
        </w:rPr>
        <w:t>1、开标结束后，成交人需缴纳人民币</w:t>
      </w:r>
      <w:r>
        <w:rPr>
          <w:rFonts w:hint="eastAsia" w:eastAsia="仿宋_GB2312"/>
          <w:color w:val="000000"/>
          <w:sz w:val="32"/>
          <w:szCs w:val="32"/>
          <w:lang w:val="en-US" w:eastAsia="zh-CN"/>
        </w:rPr>
        <w:t>8842.74</w:t>
      </w:r>
      <w:r>
        <w:rPr>
          <w:rFonts w:hint="eastAsia" w:eastAsia="仿宋_GB2312"/>
          <w:color w:val="000000"/>
          <w:sz w:val="32"/>
          <w:szCs w:val="32"/>
        </w:rPr>
        <w:t>元作为报价保证金到采购人银行账户，报价保证金不退还，在双方签订合同后转为履约保证金，作为采购人垫付成交人服务过程中产生的应由成交人支付的费用或违约罚款的来源。</w:t>
      </w:r>
    </w:p>
    <w:p w14:paraId="03097E53">
      <w:pPr>
        <w:spacing w:before="156" w:line="600" w:lineRule="exact"/>
        <w:ind w:firstLine="640" w:firstLineChars="200"/>
        <w:rPr>
          <w:rFonts w:hint="eastAsia" w:eastAsia="仿宋_GB2312"/>
          <w:color w:val="000000"/>
          <w:sz w:val="32"/>
          <w:szCs w:val="32"/>
        </w:rPr>
      </w:pPr>
      <w:r>
        <w:rPr>
          <w:rFonts w:hint="eastAsia" w:eastAsia="仿宋_GB2312"/>
          <w:color w:val="000000"/>
          <w:sz w:val="32"/>
          <w:szCs w:val="32"/>
        </w:rPr>
        <w:t>2、报价保证金收款账户信息：</w:t>
      </w:r>
    </w:p>
    <w:p w14:paraId="664CEFDE">
      <w:pPr>
        <w:spacing w:before="156" w:line="600" w:lineRule="exact"/>
        <w:ind w:firstLine="640" w:firstLineChars="200"/>
        <w:rPr>
          <w:rFonts w:hint="eastAsia" w:eastAsia="仿宋_GB2312"/>
          <w:color w:val="000000"/>
          <w:sz w:val="32"/>
          <w:szCs w:val="32"/>
        </w:rPr>
      </w:pPr>
      <w:r>
        <w:rPr>
          <w:rFonts w:hint="eastAsia" w:eastAsia="仿宋_GB2312"/>
          <w:color w:val="000000"/>
          <w:sz w:val="32"/>
          <w:szCs w:val="32"/>
          <w:lang w:val="en-US" w:eastAsia="zh-CN"/>
        </w:rPr>
        <w:t>账户</w:t>
      </w:r>
      <w:r>
        <w:rPr>
          <w:rFonts w:hint="eastAsia" w:eastAsia="仿宋_GB2312"/>
          <w:color w:val="000000"/>
          <w:sz w:val="32"/>
          <w:szCs w:val="32"/>
        </w:rPr>
        <w:t>名称：东莞市新东元环保投资有限公司</w:t>
      </w:r>
    </w:p>
    <w:p w14:paraId="37447F74">
      <w:pPr>
        <w:spacing w:before="156" w:line="600" w:lineRule="exact"/>
        <w:ind w:firstLine="640" w:firstLineChars="200"/>
        <w:rPr>
          <w:rFonts w:hint="eastAsia" w:eastAsia="仿宋_GB2312"/>
          <w:color w:val="000000"/>
          <w:sz w:val="32"/>
          <w:szCs w:val="32"/>
        </w:rPr>
      </w:pPr>
      <w:r>
        <w:rPr>
          <w:rFonts w:hint="eastAsia" w:eastAsia="仿宋_GB2312"/>
          <w:color w:val="000000"/>
          <w:sz w:val="32"/>
          <w:szCs w:val="32"/>
        </w:rPr>
        <w:t xml:space="preserve">开户银行：中国银行股份有限公司东莞分行 </w:t>
      </w:r>
    </w:p>
    <w:p w14:paraId="0FDA03C8">
      <w:pPr>
        <w:spacing w:before="156" w:line="600" w:lineRule="exact"/>
        <w:ind w:firstLine="640" w:firstLineChars="200"/>
        <w:rPr>
          <w:rFonts w:eastAsia="仿宋_GB2312"/>
          <w:color w:val="000000"/>
          <w:sz w:val="32"/>
          <w:szCs w:val="32"/>
        </w:rPr>
      </w:pPr>
      <w:r>
        <w:rPr>
          <w:rFonts w:hint="eastAsia" w:eastAsia="仿宋_GB2312"/>
          <w:color w:val="000000"/>
          <w:sz w:val="32"/>
          <w:szCs w:val="32"/>
        </w:rPr>
        <w:t>银行</w:t>
      </w:r>
      <w:r>
        <w:rPr>
          <w:rFonts w:hint="eastAsia" w:eastAsia="仿宋_GB2312"/>
          <w:color w:val="000000"/>
          <w:sz w:val="32"/>
          <w:szCs w:val="32"/>
          <w:lang w:val="en-US" w:eastAsia="zh-CN"/>
        </w:rPr>
        <w:t>账号</w:t>
      </w:r>
      <w:r>
        <w:rPr>
          <w:rFonts w:hint="eastAsia" w:eastAsia="仿宋_GB2312"/>
          <w:color w:val="000000"/>
          <w:sz w:val="32"/>
          <w:szCs w:val="32"/>
        </w:rPr>
        <w:t>：669170104633</w:t>
      </w:r>
    </w:p>
    <w:p w14:paraId="3EDA4EC4">
      <w:pPr>
        <w:adjustRightInd w:val="0"/>
        <w:snapToGrid w:val="0"/>
        <w:spacing w:before="156" w:line="600" w:lineRule="exact"/>
        <w:ind w:firstLine="640" w:firstLineChars="200"/>
        <w:outlineLvl w:val="1"/>
        <w:rPr>
          <w:rFonts w:eastAsia="黑体"/>
          <w:color w:val="000000"/>
          <w:sz w:val="32"/>
          <w:szCs w:val="32"/>
        </w:rPr>
      </w:pPr>
      <w:r>
        <w:rPr>
          <w:rFonts w:hint="eastAsia" w:eastAsia="黑体"/>
          <w:color w:val="000000"/>
          <w:sz w:val="32"/>
          <w:szCs w:val="32"/>
        </w:rPr>
        <w:t>七、支付方式</w:t>
      </w:r>
    </w:p>
    <w:p w14:paraId="14E40A63">
      <w:pPr>
        <w:spacing w:before="156" w:line="600" w:lineRule="exact"/>
        <w:ind w:firstLine="640" w:firstLineChars="200"/>
        <w:rPr>
          <w:rFonts w:hint="eastAsia" w:eastAsia="仿宋_GB2312"/>
          <w:color w:val="000000"/>
          <w:sz w:val="32"/>
          <w:szCs w:val="32"/>
        </w:rPr>
      </w:pPr>
      <w:bookmarkStart w:id="2" w:name="_Hlk90414088"/>
      <w:r>
        <w:rPr>
          <w:rFonts w:hint="eastAsia" w:eastAsia="仿宋_GB2312"/>
          <w:color w:val="000000"/>
          <w:sz w:val="32"/>
          <w:szCs w:val="32"/>
        </w:rPr>
        <w:t>1、</w:t>
      </w:r>
      <w:r>
        <w:rPr>
          <w:rFonts w:hint="eastAsia" w:eastAsia="仿宋_GB2312"/>
          <w:color w:val="000000"/>
          <w:sz w:val="32"/>
          <w:szCs w:val="32"/>
          <w:lang w:val="en-US" w:eastAsia="zh-CN"/>
        </w:rPr>
        <w:t>合同签订后</w:t>
      </w:r>
      <w:r>
        <w:rPr>
          <w:rFonts w:hint="eastAsia" w:eastAsia="仿宋_GB2312"/>
          <w:color w:val="000000"/>
          <w:sz w:val="32"/>
          <w:szCs w:val="32"/>
        </w:rPr>
        <w:t>，</w:t>
      </w:r>
      <w:r>
        <w:rPr>
          <w:rFonts w:hint="eastAsia" w:eastAsia="仿宋_GB2312"/>
          <w:color w:val="000000"/>
          <w:sz w:val="32"/>
          <w:szCs w:val="32"/>
          <w:lang w:val="en-US" w:eastAsia="zh-CN"/>
        </w:rPr>
        <w:t>成交人提交请款资料及合同金额20%的增值税专用发票</w:t>
      </w:r>
      <w:r>
        <w:rPr>
          <w:rFonts w:hint="eastAsia" w:eastAsia="仿宋_GB2312"/>
          <w:color w:val="000000"/>
          <w:sz w:val="32"/>
          <w:szCs w:val="32"/>
        </w:rPr>
        <w:t>，</w:t>
      </w:r>
      <w:r>
        <w:rPr>
          <w:rFonts w:hint="eastAsia" w:eastAsia="仿宋_GB2312"/>
          <w:color w:val="000000"/>
          <w:sz w:val="32"/>
          <w:szCs w:val="32"/>
          <w:lang w:val="en-US" w:eastAsia="zh-CN"/>
        </w:rPr>
        <w:t>采购人</w:t>
      </w:r>
      <w:r>
        <w:rPr>
          <w:rFonts w:hint="eastAsia" w:eastAsia="仿宋_GB2312"/>
          <w:color w:val="000000"/>
          <w:sz w:val="32"/>
          <w:szCs w:val="32"/>
        </w:rPr>
        <w:t>在</w:t>
      </w:r>
      <w:r>
        <w:rPr>
          <w:rFonts w:hint="eastAsia" w:eastAsia="仿宋_GB2312"/>
          <w:color w:val="000000"/>
          <w:sz w:val="32"/>
          <w:szCs w:val="32"/>
          <w:lang w:val="en-US" w:eastAsia="zh-CN"/>
        </w:rPr>
        <w:t>收到上述有效资料之日起30</w:t>
      </w:r>
      <w:r>
        <w:rPr>
          <w:rFonts w:hint="eastAsia" w:eastAsia="仿宋_GB2312"/>
          <w:color w:val="000000"/>
          <w:sz w:val="32"/>
          <w:szCs w:val="32"/>
        </w:rPr>
        <w:t>个</w:t>
      </w:r>
      <w:r>
        <w:rPr>
          <w:rFonts w:hint="eastAsia" w:eastAsia="仿宋_GB2312"/>
          <w:color w:val="000000"/>
          <w:sz w:val="32"/>
          <w:szCs w:val="32"/>
          <w:lang w:val="en-US" w:eastAsia="zh-CN"/>
        </w:rPr>
        <w:t>日历</w:t>
      </w:r>
      <w:r>
        <w:rPr>
          <w:rFonts w:hint="eastAsia" w:eastAsia="仿宋_GB2312"/>
          <w:color w:val="000000"/>
          <w:sz w:val="32"/>
          <w:szCs w:val="32"/>
        </w:rPr>
        <w:t>日内支付合同总价的</w:t>
      </w:r>
      <w:r>
        <w:rPr>
          <w:rFonts w:hint="eastAsia" w:eastAsia="仿宋_GB2312"/>
          <w:color w:val="000000"/>
          <w:sz w:val="32"/>
          <w:szCs w:val="32"/>
          <w:lang w:val="en-US" w:eastAsia="zh-CN"/>
        </w:rPr>
        <w:t>20</w:t>
      </w:r>
      <w:r>
        <w:rPr>
          <w:rFonts w:hint="eastAsia" w:eastAsia="仿宋_GB2312"/>
          <w:color w:val="000000"/>
          <w:sz w:val="32"/>
          <w:szCs w:val="32"/>
        </w:rPr>
        <w:t>%</w:t>
      </w:r>
      <w:r>
        <w:rPr>
          <w:rFonts w:hint="eastAsia" w:eastAsia="仿宋_GB2312"/>
          <w:color w:val="000000"/>
          <w:sz w:val="32"/>
          <w:szCs w:val="32"/>
          <w:lang w:val="en-US" w:eastAsia="zh-CN"/>
        </w:rPr>
        <w:t>作为定金</w:t>
      </w:r>
      <w:r>
        <w:rPr>
          <w:rFonts w:hint="eastAsia" w:eastAsia="仿宋_GB2312"/>
          <w:color w:val="000000"/>
          <w:sz w:val="32"/>
          <w:szCs w:val="32"/>
        </w:rPr>
        <w:t>；</w:t>
      </w:r>
    </w:p>
    <w:p w14:paraId="4047556E">
      <w:pPr>
        <w:spacing w:before="156" w:line="600" w:lineRule="exact"/>
        <w:ind w:firstLine="640" w:firstLineChars="200"/>
        <w:rPr>
          <w:rFonts w:hint="eastAsia" w:eastAsia="仿宋_GB2312"/>
          <w:color w:val="000000"/>
          <w:sz w:val="32"/>
          <w:szCs w:val="32"/>
          <w:lang w:eastAsia="zh-CN"/>
        </w:rPr>
      </w:pPr>
      <w:r>
        <w:rPr>
          <w:rFonts w:hint="eastAsia" w:eastAsia="仿宋_GB2312"/>
          <w:color w:val="000000"/>
          <w:sz w:val="32"/>
          <w:szCs w:val="32"/>
          <w:lang w:val="en-US" w:eastAsia="zh-CN"/>
        </w:rPr>
        <w:t>2、成交人完成项目全部供货、安装、</w:t>
      </w:r>
      <w:r>
        <w:rPr>
          <w:rFonts w:hint="eastAsia" w:eastAsia="仿宋_GB2312"/>
          <w:color w:val="000000"/>
          <w:sz w:val="32"/>
          <w:szCs w:val="32"/>
          <w:u w:val="single"/>
          <w:lang w:val="en-US" w:eastAsia="zh-CN"/>
        </w:rPr>
        <w:t>维修改造、</w:t>
      </w:r>
      <w:r>
        <w:rPr>
          <w:rFonts w:hint="eastAsia" w:eastAsia="仿宋_GB2312"/>
          <w:color w:val="000000"/>
          <w:sz w:val="32"/>
          <w:szCs w:val="32"/>
          <w:lang w:val="en-US" w:eastAsia="zh-CN"/>
        </w:rPr>
        <w:t>调试并经采购人验收合格后</w:t>
      </w:r>
      <w:r>
        <w:rPr>
          <w:rFonts w:hint="eastAsia" w:eastAsia="仿宋_GB2312"/>
          <w:color w:val="000000"/>
          <w:sz w:val="32"/>
          <w:szCs w:val="32"/>
        </w:rPr>
        <w:t>，</w:t>
      </w:r>
      <w:r>
        <w:rPr>
          <w:rFonts w:hint="eastAsia" w:eastAsia="仿宋_GB2312"/>
          <w:color w:val="000000"/>
          <w:sz w:val="32"/>
          <w:szCs w:val="32"/>
          <w:lang w:val="en-US" w:eastAsia="zh-CN"/>
        </w:rPr>
        <w:t>成交人提交至合同金额100%的增值税专用发票及请款资料，采购人</w:t>
      </w:r>
      <w:r>
        <w:rPr>
          <w:rFonts w:hint="eastAsia" w:eastAsia="仿宋_GB2312"/>
          <w:color w:val="000000"/>
          <w:sz w:val="32"/>
          <w:szCs w:val="32"/>
        </w:rPr>
        <w:t>在</w:t>
      </w:r>
      <w:r>
        <w:rPr>
          <w:rFonts w:hint="eastAsia" w:eastAsia="仿宋_GB2312"/>
          <w:color w:val="000000"/>
          <w:sz w:val="32"/>
          <w:szCs w:val="32"/>
          <w:lang w:val="en-US" w:eastAsia="zh-CN"/>
        </w:rPr>
        <w:t>30</w:t>
      </w:r>
      <w:r>
        <w:rPr>
          <w:rFonts w:hint="eastAsia" w:eastAsia="仿宋_GB2312"/>
          <w:color w:val="000000"/>
          <w:sz w:val="32"/>
          <w:szCs w:val="32"/>
        </w:rPr>
        <w:t>个</w:t>
      </w:r>
      <w:r>
        <w:rPr>
          <w:rFonts w:hint="eastAsia" w:eastAsia="仿宋_GB2312"/>
          <w:color w:val="000000"/>
          <w:sz w:val="32"/>
          <w:szCs w:val="32"/>
          <w:lang w:val="en-US" w:eastAsia="zh-CN"/>
        </w:rPr>
        <w:t>日历</w:t>
      </w:r>
      <w:r>
        <w:rPr>
          <w:rFonts w:hint="eastAsia" w:eastAsia="仿宋_GB2312"/>
          <w:color w:val="000000"/>
          <w:sz w:val="32"/>
          <w:szCs w:val="32"/>
        </w:rPr>
        <w:t>日内支付</w:t>
      </w:r>
      <w:r>
        <w:rPr>
          <w:rFonts w:hint="eastAsia" w:eastAsia="仿宋_GB2312"/>
          <w:color w:val="000000"/>
          <w:sz w:val="32"/>
          <w:szCs w:val="32"/>
          <w:lang w:val="en-US" w:eastAsia="zh-CN"/>
        </w:rPr>
        <w:t>至</w:t>
      </w:r>
      <w:r>
        <w:rPr>
          <w:rFonts w:hint="eastAsia" w:eastAsia="仿宋_GB2312"/>
          <w:color w:val="000000"/>
          <w:sz w:val="32"/>
          <w:szCs w:val="32"/>
        </w:rPr>
        <w:t>合同总价的</w:t>
      </w:r>
      <w:r>
        <w:rPr>
          <w:rFonts w:hint="eastAsia" w:eastAsia="仿宋_GB2312"/>
          <w:color w:val="000000"/>
          <w:sz w:val="32"/>
          <w:szCs w:val="32"/>
          <w:lang w:val="en-US" w:eastAsia="zh-CN"/>
        </w:rPr>
        <w:t>95</w:t>
      </w:r>
      <w:r>
        <w:rPr>
          <w:rFonts w:hint="eastAsia" w:eastAsia="仿宋_GB2312"/>
          <w:color w:val="000000"/>
          <w:sz w:val="32"/>
          <w:szCs w:val="32"/>
        </w:rPr>
        <w:t>%</w:t>
      </w:r>
      <w:r>
        <w:rPr>
          <w:rFonts w:hint="eastAsia" w:eastAsia="仿宋_GB2312"/>
          <w:color w:val="000000"/>
          <w:sz w:val="32"/>
          <w:szCs w:val="32"/>
          <w:lang w:eastAsia="zh-CN"/>
        </w:rPr>
        <w:t>。</w:t>
      </w:r>
    </w:p>
    <w:p w14:paraId="2603F81B">
      <w:pPr>
        <w:spacing w:before="156" w:line="600" w:lineRule="exact"/>
        <w:ind w:firstLine="640" w:firstLineChars="200"/>
        <w:rPr>
          <w:rFonts w:hint="eastAsia" w:eastAsia="仿宋_GB2312"/>
          <w:color w:val="000000"/>
          <w:sz w:val="32"/>
          <w:szCs w:val="32"/>
        </w:rPr>
      </w:pPr>
      <w:r>
        <w:rPr>
          <w:rFonts w:hint="eastAsia" w:eastAsia="仿宋_GB2312"/>
          <w:color w:val="000000"/>
          <w:sz w:val="32"/>
          <w:szCs w:val="32"/>
          <w:lang w:val="en-US" w:eastAsia="zh-CN"/>
        </w:rPr>
        <w:t>3、剩余合同金额5%为质保金，在本项目质保期满且成交人完成全部质保服务后，成交人提交请款资料，采购人在收到上述有效资料之日起30个日历日内完成支付</w:t>
      </w:r>
      <w:r>
        <w:rPr>
          <w:rFonts w:hint="eastAsia" w:eastAsia="仿宋_GB2312"/>
          <w:color w:val="000000"/>
          <w:sz w:val="32"/>
          <w:szCs w:val="32"/>
        </w:rPr>
        <w:t>。</w:t>
      </w:r>
    </w:p>
    <w:p w14:paraId="58F6E3C9">
      <w:pPr>
        <w:spacing w:before="156" w:line="600" w:lineRule="exact"/>
        <w:ind w:firstLine="640" w:firstLineChars="200"/>
        <w:rPr>
          <w:rFonts w:eastAsia="仿宋"/>
          <w:sz w:val="32"/>
          <w:szCs w:val="32"/>
        </w:rPr>
      </w:pPr>
      <w:r>
        <w:rPr>
          <w:rFonts w:hint="eastAsia" w:eastAsia="仿宋_GB2312"/>
          <w:color w:val="000000"/>
          <w:sz w:val="32"/>
          <w:szCs w:val="32"/>
        </w:rPr>
        <w:t>成交人在缴存的履约保证金作为采购人垫付成交人服务过程中产生应由成交人支付的费用或违约罚款的来源。履约保证金返还申请时间为项目竣工验收合格之日后，成交人没有任何违约的情况下由成交人提交退款申请，收到成交人申请后30个日历日内，采购人一次性无息退回</w:t>
      </w:r>
      <w:r>
        <w:rPr>
          <w:rFonts w:hint="eastAsia" w:eastAsia="仿宋"/>
          <w:sz w:val="32"/>
          <w:szCs w:val="32"/>
        </w:rPr>
        <w:t>。</w:t>
      </w:r>
      <w:bookmarkEnd w:id="2"/>
    </w:p>
    <w:p w14:paraId="533343F4">
      <w:pPr>
        <w:spacing w:before="156" w:line="600" w:lineRule="exact"/>
        <w:ind w:firstLine="640" w:firstLineChars="200"/>
        <w:rPr>
          <w:rFonts w:eastAsia="黑体"/>
          <w:color w:val="000000"/>
          <w:sz w:val="32"/>
          <w:szCs w:val="32"/>
        </w:rPr>
      </w:pPr>
      <w:r>
        <w:rPr>
          <w:rFonts w:hint="eastAsia" w:eastAsia="黑体"/>
          <w:color w:val="000000"/>
          <w:sz w:val="32"/>
          <w:szCs w:val="32"/>
        </w:rPr>
        <w:t>七、报价</w:t>
      </w:r>
    </w:p>
    <w:p w14:paraId="1A1E343E">
      <w:pPr>
        <w:spacing w:before="156" w:line="600" w:lineRule="exact"/>
        <w:ind w:firstLine="640" w:firstLineChars="200"/>
        <w:rPr>
          <w:rFonts w:hint="default" w:eastAsia="仿宋_GB2312"/>
          <w:color w:val="000000"/>
          <w:sz w:val="32"/>
          <w:szCs w:val="32"/>
          <w:lang w:val="en-US" w:eastAsia="zh-CN"/>
        </w:rPr>
      </w:pPr>
      <w:r>
        <w:rPr>
          <w:rFonts w:hint="eastAsia" w:eastAsia="仿宋_GB2312"/>
          <w:color w:val="000000"/>
          <w:sz w:val="32"/>
          <w:szCs w:val="32"/>
        </w:rPr>
        <w:t>采购限价</w:t>
      </w:r>
      <w:r>
        <w:rPr>
          <w:rFonts w:hint="eastAsia" w:eastAsia="仿宋_GB2312"/>
          <w:color w:val="000000"/>
          <w:sz w:val="32"/>
          <w:szCs w:val="32"/>
          <w:lang w:eastAsia="zh-CN"/>
        </w:rPr>
        <w:t>（</w:t>
      </w:r>
      <w:r>
        <w:rPr>
          <w:rFonts w:hint="eastAsia" w:eastAsia="仿宋_GB2312"/>
          <w:color w:val="000000"/>
          <w:sz w:val="32"/>
          <w:szCs w:val="32"/>
          <w:lang w:val="en-US" w:eastAsia="zh-CN"/>
        </w:rPr>
        <w:t>含税）</w:t>
      </w:r>
      <w:r>
        <w:rPr>
          <w:rFonts w:hint="eastAsia" w:eastAsia="仿宋_GB2312"/>
          <w:color w:val="000000"/>
          <w:sz w:val="32"/>
          <w:szCs w:val="32"/>
        </w:rPr>
        <w:t>：¥</w:t>
      </w:r>
      <w:r>
        <w:rPr>
          <w:rFonts w:hint="eastAsia" w:eastAsia="仿宋_GB2312"/>
          <w:color w:val="000000"/>
          <w:sz w:val="32"/>
          <w:szCs w:val="32"/>
          <w:lang w:val="en-US" w:eastAsia="zh-CN"/>
        </w:rPr>
        <w:t>442,137.00</w:t>
      </w:r>
      <w:r>
        <w:rPr>
          <w:rFonts w:hint="eastAsia" w:eastAsia="仿宋_GB2312"/>
          <w:color w:val="000000"/>
          <w:sz w:val="32"/>
          <w:szCs w:val="32"/>
        </w:rPr>
        <w:t>元</w:t>
      </w:r>
    </w:p>
    <w:p w14:paraId="47C4EA99">
      <w:pPr>
        <w:spacing w:before="156" w:line="600" w:lineRule="exact"/>
        <w:ind w:firstLine="640" w:firstLineChars="200"/>
        <w:rPr>
          <w:rFonts w:eastAsia="仿宋_GB2312"/>
          <w:color w:val="000000"/>
          <w:sz w:val="32"/>
          <w:szCs w:val="32"/>
        </w:rPr>
      </w:pPr>
      <w:r>
        <w:rPr>
          <w:rFonts w:hint="eastAsia" w:eastAsia="仿宋_GB2312"/>
          <w:color w:val="000000"/>
          <w:sz w:val="32"/>
          <w:szCs w:val="32"/>
        </w:rPr>
        <w:t>本项目发包方式为：固定总价包干，实行固定价格报价，报价包含货物、</w:t>
      </w:r>
      <w:r>
        <w:rPr>
          <w:rFonts w:hint="eastAsia" w:eastAsia="仿宋_GB2312"/>
          <w:color w:val="000000"/>
          <w:sz w:val="32"/>
          <w:szCs w:val="32"/>
          <w:lang w:val="en-US" w:eastAsia="zh-CN"/>
        </w:rPr>
        <w:t>安装费、</w:t>
      </w:r>
      <w:r>
        <w:rPr>
          <w:rFonts w:hint="eastAsia" w:eastAsia="仿宋_GB2312"/>
          <w:color w:val="000000"/>
          <w:sz w:val="32"/>
          <w:szCs w:val="32"/>
        </w:rPr>
        <w:t>税费、</w:t>
      </w:r>
      <w:r>
        <w:rPr>
          <w:rFonts w:hint="eastAsia" w:eastAsia="仿宋_GB2312"/>
          <w:color w:val="000000"/>
          <w:sz w:val="32"/>
          <w:szCs w:val="32"/>
          <w:lang w:val="en-US" w:eastAsia="zh-CN"/>
        </w:rPr>
        <w:t>施工费、材料费、</w:t>
      </w:r>
      <w:r>
        <w:rPr>
          <w:rFonts w:hint="eastAsia" w:eastAsia="仿宋_GB2312"/>
          <w:color w:val="000000"/>
          <w:sz w:val="32"/>
          <w:szCs w:val="32"/>
        </w:rPr>
        <w:t>人工费、装卸费、运费、服务费等一切为满足项目实施可能产生的费用。</w:t>
      </w:r>
      <w:r>
        <w:rPr>
          <w:rFonts w:hint="eastAsia" w:eastAsia="仿宋_GB2312"/>
          <w:color w:val="000000"/>
          <w:sz w:val="32"/>
          <w:szCs w:val="32"/>
          <w:lang w:eastAsia="zh-CN"/>
        </w:rPr>
        <w:t>响应人</w:t>
      </w:r>
      <w:r>
        <w:rPr>
          <w:rFonts w:hint="eastAsia" w:eastAsia="仿宋_GB2312"/>
          <w:color w:val="000000"/>
          <w:sz w:val="32"/>
          <w:szCs w:val="32"/>
        </w:rPr>
        <w:t>已充分考虑了本项目实际施工内容及要求描述工作量可能与最终实际工作量存在差距的风险。</w:t>
      </w:r>
    </w:p>
    <w:p w14:paraId="39DA4087">
      <w:pPr>
        <w:adjustRightInd w:val="0"/>
        <w:snapToGrid w:val="0"/>
        <w:spacing w:before="156" w:line="600" w:lineRule="exact"/>
        <w:ind w:firstLine="640" w:firstLineChars="200"/>
        <w:outlineLvl w:val="1"/>
        <w:rPr>
          <w:rFonts w:eastAsia="黑体"/>
          <w:color w:val="000000"/>
          <w:sz w:val="32"/>
          <w:szCs w:val="32"/>
        </w:rPr>
      </w:pPr>
      <w:r>
        <w:rPr>
          <w:rFonts w:hint="eastAsia" w:eastAsia="黑体"/>
          <w:color w:val="000000"/>
          <w:sz w:val="32"/>
          <w:szCs w:val="32"/>
        </w:rPr>
        <w:t>八、定标</w:t>
      </w:r>
    </w:p>
    <w:p w14:paraId="707135C8">
      <w:pPr>
        <w:spacing w:before="156" w:line="600" w:lineRule="exact"/>
        <w:ind w:firstLine="640" w:firstLineChars="200"/>
        <w:rPr>
          <w:rFonts w:eastAsia="仿宋_GB2312"/>
          <w:color w:val="000000"/>
          <w:sz w:val="32"/>
          <w:szCs w:val="32"/>
        </w:rPr>
      </w:pPr>
      <w:r>
        <w:rPr>
          <w:rFonts w:hint="eastAsia" w:eastAsia="仿宋_GB2312"/>
          <w:color w:val="000000"/>
          <w:sz w:val="32"/>
          <w:szCs w:val="32"/>
          <w:lang w:val="en-US" w:eastAsia="zh-CN"/>
        </w:rPr>
        <w:t>1、</w:t>
      </w:r>
      <w:r>
        <w:rPr>
          <w:rFonts w:hint="eastAsia" w:eastAsia="仿宋_GB2312"/>
          <w:color w:val="000000"/>
          <w:sz w:val="32"/>
          <w:szCs w:val="32"/>
        </w:rPr>
        <w:t>本次项目采用询价方式进行采购，询价小组对各供应商响应文件进行审核，并根据质量和服务均能满足采购文件实质性响应要求且</w:t>
      </w:r>
      <w:bookmarkStart w:id="3" w:name="_Hlk90414243"/>
      <w:r>
        <w:rPr>
          <w:rFonts w:hint="eastAsia" w:eastAsia="仿宋_GB2312"/>
          <w:color w:val="000000"/>
          <w:sz w:val="32"/>
          <w:szCs w:val="32"/>
        </w:rPr>
        <w:t>含税</w:t>
      </w:r>
      <w:bookmarkEnd w:id="3"/>
      <w:r>
        <w:rPr>
          <w:rFonts w:hint="eastAsia" w:eastAsia="仿宋_GB2312"/>
          <w:color w:val="000000"/>
          <w:sz w:val="32"/>
          <w:szCs w:val="32"/>
        </w:rPr>
        <w:t>报价最低的原则，推荐成交候选供应商。如最低报价相同，则给与最低报价相同的</w:t>
      </w:r>
      <w:r>
        <w:rPr>
          <w:rFonts w:hint="eastAsia" w:eastAsia="仿宋_GB2312"/>
          <w:color w:val="000000"/>
          <w:sz w:val="32"/>
          <w:szCs w:val="32"/>
          <w:lang w:val="en-US" w:eastAsia="zh-CN"/>
        </w:rPr>
        <w:t>响应</w:t>
      </w:r>
      <w:r>
        <w:rPr>
          <w:rFonts w:hint="eastAsia" w:eastAsia="仿宋_GB2312"/>
          <w:color w:val="000000"/>
          <w:sz w:val="32"/>
          <w:szCs w:val="32"/>
        </w:rPr>
        <w:t>人二次报价的机会；如二次报价还相同，则采用现场随机抽签方式确定。</w:t>
      </w:r>
    </w:p>
    <w:p w14:paraId="49EB76F7">
      <w:pPr>
        <w:spacing w:before="156" w:line="600" w:lineRule="exact"/>
        <w:ind w:firstLine="640" w:firstLineChars="200"/>
        <w:rPr>
          <w:rFonts w:hint="eastAsia" w:eastAsia="仿宋_GB2312"/>
          <w:color w:val="000000"/>
          <w:sz w:val="32"/>
          <w:szCs w:val="32"/>
          <w:lang w:eastAsia="zh-CN"/>
        </w:rPr>
      </w:pPr>
      <w:r>
        <w:rPr>
          <w:rFonts w:hint="eastAsia" w:eastAsia="仿宋_GB2312"/>
          <w:color w:val="000000"/>
          <w:sz w:val="32"/>
          <w:szCs w:val="32"/>
          <w:lang w:val="en-US" w:eastAsia="zh-CN"/>
        </w:rPr>
        <w:t>2、</w:t>
      </w:r>
      <w:r>
        <w:rPr>
          <w:rFonts w:hint="eastAsia" w:eastAsia="仿宋_GB2312"/>
          <w:color w:val="000000"/>
          <w:sz w:val="32"/>
          <w:szCs w:val="32"/>
        </w:rPr>
        <w:t>询价结束后，采购工作小组将相关询价情况按程序审批并确定成交人</w:t>
      </w:r>
      <w:r>
        <w:rPr>
          <w:rFonts w:hint="eastAsia" w:eastAsia="仿宋_GB2312"/>
          <w:color w:val="000000"/>
          <w:sz w:val="32"/>
          <w:szCs w:val="32"/>
          <w:lang w:eastAsia="zh-CN"/>
        </w:rPr>
        <w:t>。</w:t>
      </w:r>
    </w:p>
    <w:p w14:paraId="699E6799">
      <w:pPr>
        <w:spacing w:before="156" w:line="600" w:lineRule="exact"/>
        <w:ind w:firstLine="640" w:firstLineChars="200"/>
        <w:rPr>
          <w:rFonts w:hint="eastAsia" w:eastAsia="仿宋_GB2312"/>
          <w:color w:val="000000"/>
          <w:sz w:val="32"/>
          <w:szCs w:val="32"/>
          <w:lang w:val="en-US" w:eastAsia="zh-CN"/>
        </w:rPr>
      </w:pPr>
      <w:r>
        <w:rPr>
          <w:rFonts w:hint="eastAsia" w:eastAsia="仿宋_GB2312"/>
          <w:color w:val="000000"/>
          <w:sz w:val="32"/>
          <w:szCs w:val="32"/>
          <w:lang w:val="en-US" w:eastAsia="zh-CN"/>
        </w:rPr>
        <w:t>3、本项目如发生多次采购，根据以下情况可以现场申请转换采购方式继续采购：</w:t>
      </w:r>
    </w:p>
    <w:p w14:paraId="0BBAC964">
      <w:pPr>
        <w:spacing w:before="156" w:line="600" w:lineRule="exact"/>
        <w:ind w:firstLine="640" w:firstLineChars="200"/>
        <w:rPr>
          <w:rFonts w:hint="eastAsia" w:eastAsia="仿宋_GB2312"/>
          <w:color w:val="000000"/>
          <w:sz w:val="32"/>
          <w:szCs w:val="32"/>
          <w:lang w:val="en-US" w:eastAsia="zh-CN"/>
        </w:rPr>
      </w:pPr>
      <w:r>
        <w:rPr>
          <w:rFonts w:hint="eastAsia" w:eastAsia="仿宋_GB2312"/>
          <w:color w:val="000000"/>
          <w:sz w:val="32"/>
          <w:szCs w:val="32"/>
          <w:lang w:val="en-US" w:eastAsia="zh-CN"/>
        </w:rPr>
        <w:t>（1）当有效供应商只有2家时，经招采小组论证，采购文件没有不合理条款、采购程序符合规定的，经采购人和作出实质性响应的供应商代表同意后，可现场更改为2家供应商继续竞争性谈判采购。</w:t>
      </w:r>
    </w:p>
    <w:p w14:paraId="5FCEC9DF">
      <w:pPr>
        <w:spacing w:before="156" w:line="600" w:lineRule="exact"/>
        <w:ind w:firstLine="640" w:firstLineChars="200"/>
        <w:rPr>
          <w:rFonts w:hint="eastAsia" w:eastAsia="仿宋_GB2312"/>
          <w:color w:val="000000"/>
          <w:sz w:val="32"/>
          <w:szCs w:val="32"/>
          <w:lang w:val="en-US" w:eastAsia="zh-CN"/>
        </w:rPr>
      </w:pPr>
      <w:r>
        <w:rPr>
          <w:rFonts w:hint="eastAsia" w:eastAsia="仿宋_GB2312"/>
          <w:color w:val="000000"/>
          <w:sz w:val="32"/>
          <w:szCs w:val="32"/>
          <w:lang w:val="en-US" w:eastAsia="zh-CN"/>
        </w:rPr>
        <w:t>（2）当有效供应商只有1家时，经招采小组论证，采购文件没有不合理条款、采购程序符合规定的，经采购人和作出实质性响应的供应商代表同意后，可现场更改为1家供应商继续定向谈判采购。</w:t>
      </w:r>
    </w:p>
    <w:p w14:paraId="3FD90EB4">
      <w:pPr>
        <w:spacing w:before="156" w:line="600" w:lineRule="exact"/>
        <w:ind w:firstLine="640" w:firstLineChars="200"/>
        <w:rPr>
          <w:rFonts w:hint="eastAsia" w:eastAsia="仿宋_GB2312"/>
          <w:color w:val="000000"/>
          <w:sz w:val="32"/>
          <w:szCs w:val="32"/>
          <w:lang w:val="en-US" w:eastAsia="zh-CN"/>
        </w:rPr>
      </w:pPr>
      <w:r>
        <w:rPr>
          <w:rFonts w:hint="eastAsia" w:eastAsia="仿宋_GB2312"/>
          <w:color w:val="000000"/>
          <w:sz w:val="32"/>
          <w:szCs w:val="32"/>
          <w:lang w:val="en-US" w:eastAsia="zh-CN"/>
        </w:rPr>
        <w:t>（3）若不同意转换采购方式，退出投标的供应商，投标保证金按采购文件规定退还。</w:t>
      </w:r>
    </w:p>
    <w:p w14:paraId="2CAE8452">
      <w:pPr>
        <w:spacing w:before="156" w:line="600" w:lineRule="exact"/>
        <w:ind w:firstLine="640" w:firstLineChars="200"/>
        <w:rPr>
          <w:rFonts w:eastAsia="仿宋_GB2312"/>
          <w:color w:val="000000"/>
          <w:sz w:val="32"/>
          <w:szCs w:val="32"/>
        </w:rPr>
      </w:pPr>
      <w:r>
        <w:rPr>
          <w:rFonts w:hint="eastAsia" w:eastAsia="仿宋_GB2312"/>
          <w:color w:val="000000"/>
          <w:sz w:val="32"/>
          <w:szCs w:val="32"/>
          <w:lang w:val="en-US" w:eastAsia="zh-CN"/>
        </w:rPr>
        <w:t>4、如采购人对采购标的整体或主要部件有约定多个品牌且采购项目采用最低评标价法的，提供相同品牌产品的不同响应人参加同一合同项下报价，以其中通过资格审查、符合性审查且报价最低的响应人参加评标（或参与转方式采购）；如以上响应人报价相同的，则采取随机抽取方式确定参加评标（或参与转方式采购）的响应人，其他响应人报价无效</w:t>
      </w:r>
      <w:r>
        <w:rPr>
          <w:rFonts w:hint="eastAsia" w:eastAsia="仿宋_GB2312"/>
          <w:color w:val="000000"/>
          <w:sz w:val="32"/>
          <w:szCs w:val="32"/>
        </w:rPr>
        <w:t>。</w:t>
      </w:r>
    </w:p>
    <w:p w14:paraId="532E0286">
      <w:pPr>
        <w:adjustRightInd w:val="0"/>
        <w:snapToGrid w:val="0"/>
        <w:spacing w:before="156" w:line="600" w:lineRule="exact"/>
        <w:ind w:firstLine="640" w:firstLineChars="200"/>
        <w:outlineLvl w:val="1"/>
        <w:rPr>
          <w:rFonts w:eastAsia="黑体"/>
          <w:color w:val="000000"/>
          <w:sz w:val="32"/>
          <w:szCs w:val="32"/>
        </w:rPr>
      </w:pPr>
      <w:r>
        <w:rPr>
          <w:rFonts w:hint="eastAsia" w:eastAsia="黑体"/>
          <w:color w:val="000000"/>
          <w:sz w:val="32"/>
          <w:szCs w:val="32"/>
        </w:rPr>
        <w:t>九、采取的合同文本</w:t>
      </w:r>
    </w:p>
    <w:p w14:paraId="55FEBF42">
      <w:pPr>
        <w:spacing w:before="156" w:line="600" w:lineRule="exact"/>
        <w:ind w:firstLine="640" w:firstLineChars="200"/>
        <w:rPr>
          <w:rFonts w:eastAsia="仿宋_GB2312"/>
          <w:color w:val="000000"/>
          <w:sz w:val="32"/>
          <w:szCs w:val="32"/>
        </w:rPr>
      </w:pPr>
      <w:r>
        <w:rPr>
          <w:rFonts w:hint="eastAsia" w:eastAsia="仿宋_GB2312"/>
          <w:color w:val="000000"/>
          <w:sz w:val="32"/>
          <w:szCs w:val="32"/>
        </w:rPr>
        <w:t>合同签订的依据为</w:t>
      </w:r>
      <w:r>
        <w:rPr>
          <w:rFonts w:hint="eastAsia" w:eastAsia="仿宋_GB2312"/>
          <w:color w:val="000000"/>
          <w:sz w:val="32"/>
          <w:szCs w:val="32"/>
          <w:lang w:val="en-US" w:eastAsia="zh-CN"/>
        </w:rPr>
        <w:t>采购文件</w:t>
      </w:r>
      <w:r>
        <w:rPr>
          <w:rFonts w:hint="eastAsia" w:eastAsia="仿宋_GB2312"/>
          <w:color w:val="000000"/>
          <w:sz w:val="32"/>
          <w:szCs w:val="32"/>
        </w:rPr>
        <w:t>、响应文件及补充说明等。确定成交单位后，成交单位在10天内与采购人签订合同。</w:t>
      </w:r>
    </w:p>
    <w:p w14:paraId="094CF232">
      <w:pPr>
        <w:spacing w:before="156" w:line="600" w:lineRule="exact"/>
        <w:ind w:firstLine="640" w:firstLineChars="200"/>
        <w:rPr>
          <w:rFonts w:eastAsia="仿宋_GB2312"/>
          <w:color w:val="000000"/>
          <w:sz w:val="32"/>
          <w:szCs w:val="32"/>
        </w:rPr>
      </w:pPr>
      <w:r>
        <w:rPr>
          <w:rFonts w:hint="eastAsia" w:eastAsia="仿宋_GB2312"/>
          <w:color w:val="000000"/>
          <w:sz w:val="32"/>
          <w:szCs w:val="32"/>
          <w:lang w:eastAsia="zh-CN"/>
        </w:rPr>
        <w:t>响应人</w:t>
      </w:r>
      <w:r>
        <w:rPr>
          <w:rFonts w:hint="eastAsia" w:eastAsia="仿宋_GB2312"/>
          <w:color w:val="000000"/>
          <w:sz w:val="32"/>
          <w:szCs w:val="32"/>
        </w:rPr>
        <w:t>收款前需向采购人提供请款材料和开具合法有效等额的增值税专用发票，否则采购人有权拒绝付款。</w:t>
      </w:r>
    </w:p>
    <w:p w14:paraId="05E51E9C">
      <w:pPr>
        <w:adjustRightInd w:val="0"/>
        <w:snapToGrid w:val="0"/>
        <w:spacing w:before="156" w:line="600" w:lineRule="exact"/>
        <w:ind w:firstLine="640" w:firstLineChars="200"/>
        <w:outlineLvl w:val="1"/>
        <w:rPr>
          <w:rFonts w:eastAsia="黑体"/>
          <w:color w:val="000000"/>
          <w:sz w:val="32"/>
          <w:szCs w:val="32"/>
        </w:rPr>
      </w:pPr>
      <w:r>
        <w:rPr>
          <w:rFonts w:eastAsia="黑体"/>
          <w:color w:val="000000"/>
          <w:sz w:val="32"/>
          <w:szCs w:val="32"/>
        </w:rPr>
        <w:sym w:font="Wingdings" w:char="F0AB"/>
      </w:r>
      <w:r>
        <w:rPr>
          <w:rFonts w:hint="eastAsia" w:eastAsia="黑体"/>
          <w:color w:val="000000"/>
          <w:sz w:val="32"/>
          <w:szCs w:val="32"/>
        </w:rPr>
        <w:t>十、响应文件的组成部分（响应文件</w:t>
      </w:r>
      <w:bookmarkStart w:id="4" w:name="_Hlk90414255"/>
      <w:r>
        <w:rPr>
          <w:rFonts w:hint="eastAsia" w:eastAsia="黑体"/>
          <w:color w:val="000000"/>
          <w:sz w:val="32"/>
          <w:szCs w:val="32"/>
        </w:rPr>
        <w:t>如未按本项要求提供资料</w:t>
      </w:r>
      <w:bookmarkEnd w:id="4"/>
      <w:r>
        <w:rPr>
          <w:rFonts w:hint="eastAsia" w:eastAsia="黑体"/>
          <w:color w:val="000000"/>
          <w:sz w:val="32"/>
          <w:szCs w:val="32"/>
        </w:rPr>
        <w:t>，则作无效报价处理）</w:t>
      </w:r>
    </w:p>
    <w:p w14:paraId="28C90F0E">
      <w:pPr>
        <w:spacing w:before="156" w:line="600" w:lineRule="exact"/>
        <w:ind w:firstLine="640" w:firstLineChars="200"/>
        <w:rPr>
          <w:rFonts w:eastAsia="仿宋_GB2312"/>
          <w:color w:val="000000"/>
          <w:sz w:val="32"/>
          <w:szCs w:val="32"/>
        </w:rPr>
      </w:pPr>
      <w:r>
        <w:rPr>
          <w:rFonts w:hint="eastAsia" w:eastAsia="仿宋_GB2312"/>
          <w:color w:val="000000"/>
          <w:sz w:val="32"/>
          <w:szCs w:val="32"/>
        </w:rPr>
        <w:t>1、报价函（模板，详见附件）及报价清单（格式自拟，必须包含本项目所有的子项报价）（加盖公章）；</w:t>
      </w:r>
    </w:p>
    <w:p w14:paraId="142D6BAB">
      <w:pPr>
        <w:spacing w:before="156" w:line="600" w:lineRule="exact"/>
        <w:ind w:firstLine="640" w:firstLineChars="200"/>
        <w:rPr>
          <w:rFonts w:eastAsia="仿宋_GB2312"/>
          <w:color w:val="000000"/>
          <w:sz w:val="32"/>
          <w:szCs w:val="32"/>
        </w:rPr>
      </w:pPr>
      <w:r>
        <w:rPr>
          <w:rFonts w:hint="eastAsia" w:eastAsia="仿宋_GB2312"/>
          <w:color w:val="000000"/>
          <w:sz w:val="32"/>
          <w:szCs w:val="32"/>
        </w:rPr>
        <w:t>2、法人证明（模板，详见附件）以及法人身份证复印件（加盖公章）；</w:t>
      </w:r>
    </w:p>
    <w:p w14:paraId="6FCBAF90">
      <w:pPr>
        <w:spacing w:before="156" w:line="600" w:lineRule="exact"/>
        <w:ind w:firstLine="640" w:firstLineChars="200"/>
        <w:rPr>
          <w:rFonts w:eastAsia="仿宋_GB2312"/>
          <w:color w:val="000000"/>
          <w:sz w:val="32"/>
          <w:szCs w:val="32"/>
        </w:rPr>
      </w:pPr>
      <w:r>
        <w:rPr>
          <w:rFonts w:hint="eastAsia" w:eastAsia="仿宋_GB2312"/>
          <w:color w:val="000000"/>
          <w:sz w:val="32"/>
          <w:szCs w:val="32"/>
        </w:rPr>
        <w:t>3、法人授权书（模板，详见附件）及被委托人身份证复印件</w:t>
      </w:r>
      <w:bookmarkStart w:id="5" w:name="_Hlk90414265"/>
      <w:r>
        <w:rPr>
          <w:rFonts w:hint="eastAsia" w:eastAsia="仿宋_GB2312"/>
          <w:color w:val="000000"/>
          <w:sz w:val="32"/>
          <w:szCs w:val="32"/>
        </w:rPr>
        <w:t>（法人本人参加报价不需提供）</w:t>
      </w:r>
      <w:bookmarkEnd w:id="5"/>
      <w:r>
        <w:rPr>
          <w:rFonts w:hint="eastAsia" w:eastAsia="仿宋_GB2312"/>
          <w:color w:val="000000"/>
          <w:sz w:val="32"/>
          <w:szCs w:val="32"/>
        </w:rPr>
        <w:t>（加盖公章）；</w:t>
      </w:r>
    </w:p>
    <w:p w14:paraId="3F3E41A6">
      <w:pPr>
        <w:spacing w:before="156" w:line="600" w:lineRule="exact"/>
        <w:ind w:firstLine="640" w:firstLineChars="200"/>
        <w:rPr>
          <w:rFonts w:eastAsia="仿宋_GB2312"/>
          <w:color w:val="000000"/>
          <w:sz w:val="32"/>
          <w:szCs w:val="32"/>
        </w:rPr>
      </w:pPr>
      <w:r>
        <w:rPr>
          <w:rFonts w:hint="eastAsia" w:eastAsia="仿宋_GB2312"/>
          <w:color w:val="000000"/>
          <w:sz w:val="32"/>
          <w:szCs w:val="32"/>
        </w:rPr>
        <w:t>4、</w:t>
      </w:r>
      <w:r>
        <w:rPr>
          <w:rFonts w:hint="eastAsia" w:eastAsia="仿宋_GB2312"/>
          <w:color w:val="000000"/>
          <w:sz w:val="32"/>
          <w:szCs w:val="32"/>
          <w:lang w:eastAsia="zh-CN"/>
        </w:rPr>
        <w:t>响应人</w:t>
      </w:r>
      <w:r>
        <w:rPr>
          <w:rFonts w:hint="eastAsia" w:eastAsia="仿宋_GB2312"/>
          <w:color w:val="000000"/>
          <w:sz w:val="32"/>
          <w:szCs w:val="32"/>
        </w:rPr>
        <w:t>营业执照复印件（加盖公章）；</w:t>
      </w:r>
    </w:p>
    <w:p w14:paraId="00B9BC6A">
      <w:pPr>
        <w:spacing w:before="156" w:line="600" w:lineRule="exact"/>
        <w:ind w:firstLine="640" w:firstLineChars="200"/>
        <w:rPr>
          <w:rFonts w:hint="eastAsia" w:eastAsia="仿宋_GB2312"/>
          <w:color w:val="000000"/>
          <w:sz w:val="32"/>
          <w:szCs w:val="32"/>
        </w:rPr>
      </w:pPr>
      <w:r>
        <w:rPr>
          <w:rFonts w:hint="eastAsia" w:eastAsia="仿宋_GB2312"/>
          <w:color w:val="000000"/>
          <w:sz w:val="32"/>
          <w:szCs w:val="32"/>
          <w:lang w:val="en-US" w:eastAsia="zh-CN"/>
        </w:rPr>
        <w:t>5、业绩证明材料（按本项目响应人资格要求提供资料，</w:t>
      </w:r>
      <w:r>
        <w:rPr>
          <w:rFonts w:hint="eastAsia" w:eastAsia="仿宋_GB2312"/>
          <w:color w:val="000000"/>
          <w:sz w:val="32"/>
          <w:szCs w:val="32"/>
        </w:rPr>
        <w:t>不少于两份</w:t>
      </w:r>
      <w:r>
        <w:rPr>
          <w:rFonts w:hint="eastAsia" w:eastAsia="仿宋_GB2312"/>
          <w:color w:val="000000"/>
          <w:sz w:val="32"/>
          <w:szCs w:val="32"/>
          <w:lang w:eastAsia="zh-CN"/>
        </w:rPr>
        <w:t>，</w:t>
      </w:r>
      <w:r>
        <w:rPr>
          <w:rFonts w:hint="eastAsia" w:eastAsia="仿宋_GB2312"/>
          <w:color w:val="000000"/>
          <w:sz w:val="32"/>
          <w:szCs w:val="32"/>
          <w:lang w:val="en-US" w:eastAsia="zh-CN"/>
        </w:rPr>
        <w:t>加盖公章）</w:t>
      </w:r>
      <w:r>
        <w:rPr>
          <w:rFonts w:hint="eastAsia" w:eastAsia="仿宋_GB2312"/>
          <w:color w:val="000000"/>
          <w:sz w:val="32"/>
          <w:szCs w:val="32"/>
        </w:rPr>
        <w:t>；</w:t>
      </w:r>
    </w:p>
    <w:p w14:paraId="5254F5AF">
      <w:pPr>
        <w:pStyle w:val="50"/>
        <w:keepNext w:val="0"/>
        <w:keepLines w:val="0"/>
        <w:pageBreakBefore w:val="0"/>
        <w:widowControl w:val="0"/>
        <w:numPr>
          <w:ilvl w:val="0"/>
          <w:numId w:val="0"/>
        </w:numPr>
        <w:kinsoku/>
        <w:wordWrap/>
        <w:overflowPunct/>
        <w:topLinePunct w:val="0"/>
        <w:autoSpaceDE/>
        <w:autoSpaceDN/>
        <w:bidi w:val="0"/>
        <w:adjustRightInd/>
        <w:snapToGrid w:val="0"/>
        <w:spacing w:before="157" w:beforeLines="50" w:line="600" w:lineRule="exact"/>
        <w:ind w:firstLine="640" w:firstLineChars="200"/>
        <w:jc w:val="left"/>
        <w:textAlignment w:val="auto"/>
        <w:rPr>
          <w:rFonts w:hint="eastAsia" w:ascii="Times New Roman" w:hAnsi="Times New Roman" w:eastAsia="仿宋_GB2312" w:cs="Times New Roman"/>
          <w:color w:val="000000"/>
          <w:kern w:val="2"/>
          <w:sz w:val="32"/>
          <w:szCs w:val="32"/>
          <w:lang w:val="en-US" w:eastAsia="zh-CN" w:bidi="ar-SA"/>
        </w:rPr>
      </w:pPr>
      <w:r>
        <w:rPr>
          <w:rFonts w:hint="eastAsia" w:eastAsia="仿宋_GB2312" w:cs="Times New Roman"/>
          <w:color w:val="000000"/>
          <w:kern w:val="2"/>
          <w:sz w:val="32"/>
          <w:szCs w:val="32"/>
          <w:lang w:val="en-US" w:eastAsia="zh-CN" w:bidi="ar-SA"/>
        </w:rPr>
        <w:t>6</w:t>
      </w:r>
      <w:r>
        <w:rPr>
          <w:rFonts w:hint="eastAsia" w:ascii="Times New Roman" w:hAnsi="Times New Roman" w:eastAsia="仿宋_GB2312" w:cs="Times New Roman"/>
          <w:color w:val="000000"/>
          <w:kern w:val="2"/>
          <w:sz w:val="32"/>
          <w:szCs w:val="32"/>
          <w:lang w:val="en-US" w:eastAsia="zh-CN" w:bidi="ar-SA"/>
        </w:rPr>
        <w:t>、响应人报价截止日前6个月内任意1个月依法缴纳税收及无欠税的证明材料（如依法免税的，须提供相应证明材料。证明材料须加盖公章）；</w:t>
      </w:r>
    </w:p>
    <w:p w14:paraId="31ED0D6D">
      <w:pPr>
        <w:pStyle w:val="50"/>
        <w:keepNext w:val="0"/>
        <w:keepLines w:val="0"/>
        <w:pageBreakBefore w:val="0"/>
        <w:widowControl w:val="0"/>
        <w:numPr>
          <w:ilvl w:val="0"/>
          <w:numId w:val="0"/>
        </w:numPr>
        <w:kinsoku/>
        <w:wordWrap/>
        <w:overflowPunct/>
        <w:topLinePunct w:val="0"/>
        <w:autoSpaceDE/>
        <w:autoSpaceDN/>
        <w:bidi w:val="0"/>
        <w:adjustRightInd/>
        <w:spacing w:before="157" w:beforeLines="50" w:line="600" w:lineRule="exact"/>
        <w:ind w:firstLine="640" w:firstLineChars="200"/>
        <w:textAlignment w:val="auto"/>
        <w:rPr>
          <w:rFonts w:hint="eastAsia" w:ascii="Times New Roman" w:hAnsi="Times New Roman" w:eastAsia="仿宋_GB2312" w:cs="Times New Roman"/>
          <w:color w:val="000000"/>
          <w:kern w:val="2"/>
          <w:sz w:val="32"/>
          <w:szCs w:val="32"/>
          <w:lang w:val="en-US" w:eastAsia="zh-CN" w:bidi="ar-SA"/>
        </w:rPr>
      </w:pPr>
      <w:r>
        <w:rPr>
          <w:rFonts w:hint="eastAsia" w:eastAsia="仿宋_GB2312" w:cs="Times New Roman"/>
          <w:color w:val="000000"/>
          <w:kern w:val="2"/>
          <w:sz w:val="32"/>
          <w:szCs w:val="32"/>
          <w:lang w:val="en-US" w:eastAsia="zh-CN" w:bidi="ar-SA"/>
        </w:rPr>
        <w:t>7</w:t>
      </w:r>
      <w:r>
        <w:rPr>
          <w:rFonts w:hint="eastAsia" w:ascii="Times New Roman" w:hAnsi="Times New Roman" w:eastAsia="仿宋_GB2312" w:cs="Times New Roman"/>
          <w:color w:val="000000"/>
          <w:kern w:val="2"/>
          <w:sz w:val="32"/>
          <w:szCs w:val="32"/>
          <w:lang w:val="en-US" w:eastAsia="zh-CN" w:bidi="ar-SA"/>
        </w:rPr>
        <w:t>、响应人无欠税证明材料（在全国统一规范电子税务局平台开具，证明材料须加盖公章）；</w:t>
      </w:r>
    </w:p>
    <w:p w14:paraId="79B226CD">
      <w:pPr>
        <w:spacing w:before="156" w:line="600" w:lineRule="exact"/>
        <w:ind w:firstLine="640" w:firstLineChars="200"/>
        <w:rPr>
          <w:rFonts w:eastAsia="仿宋_GB2312"/>
          <w:color w:val="000000"/>
          <w:sz w:val="32"/>
          <w:szCs w:val="32"/>
        </w:rPr>
      </w:pPr>
      <w:bookmarkStart w:id="6" w:name="_Hlk90414430"/>
      <w:r>
        <w:rPr>
          <w:rFonts w:hint="eastAsia" w:eastAsia="仿宋_GB2312"/>
          <w:color w:val="000000"/>
          <w:sz w:val="32"/>
          <w:szCs w:val="32"/>
          <w:lang w:val="en-US" w:eastAsia="zh-CN"/>
        </w:rPr>
        <w:t>8</w:t>
      </w:r>
      <w:r>
        <w:rPr>
          <w:rFonts w:hint="eastAsia" w:eastAsia="仿宋_GB2312"/>
          <w:color w:val="000000"/>
          <w:sz w:val="32"/>
          <w:szCs w:val="32"/>
        </w:rPr>
        <w:t>、</w:t>
      </w:r>
      <w:r>
        <w:rPr>
          <w:rFonts w:hint="eastAsia" w:eastAsia="仿宋_GB2312"/>
          <w:color w:val="000000"/>
          <w:sz w:val="32"/>
          <w:szCs w:val="32"/>
          <w:lang w:eastAsia="zh-CN"/>
        </w:rPr>
        <w:t>响应人</w:t>
      </w:r>
      <w:r>
        <w:rPr>
          <w:rFonts w:hint="eastAsia" w:eastAsia="仿宋_GB2312"/>
          <w:color w:val="000000"/>
          <w:sz w:val="32"/>
          <w:szCs w:val="32"/>
        </w:rPr>
        <w:t>未到场声明（</w:t>
      </w:r>
      <w:r>
        <w:rPr>
          <w:rFonts w:hint="eastAsia" w:eastAsia="仿宋_GB2312"/>
          <w:color w:val="000000"/>
          <w:sz w:val="32"/>
          <w:szCs w:val="32"/>
          <w:lang w:val="en-US" w:eastAsia="zh-CN"/>
        </w:rPr>
        <w:t>如不参与现场开标则必须提供，</w:t>
      </w:r>
      <w:r>
        <w:rPr>
          <w:rFonts w:hint="eastAsia" w:eastAsia="仿宋_GB2312"/>
          <w:color w:val="000000"/>
          <w:sz w:val="32"/>
          <w:szCs w:val="32"/>
        </w:rPr>
        <w:t>详见附件，加盖公章）</w:t>
      </w:r>
      <w:bookmarkEnd w:id="6"/>
      <w:r>
        <w:rPr>
          <w:rFonts w:hint="eastAsia" w:eastAsia="仿宋_GB2312"/>
          <w:color w:val="000000"/>
          <w:sz w:val="32"/>
          <w:szCs w:val="32"/>
        </w:rPr>
        <w:t>；</w:t>
      </w:r>
    </w:p>
    <w:p w14:paraId="3B435230">
      <w:pPr>
        <w:spacing w:before="156" w:line="600" w:lineRule="exact"/>
        <w:ind w:firstLine="640" w:firstLineChars="200"/>
        <w:rPr>
          <w:rFonts w:hint="eastAsia" w:eastAsia="仿宋_GB2312"/>
          <w:color w:val="000000"/>
          <w:sz w:val="32"/>
          <w:szCs w:val="32"/>
          <w:lang w:eastAsia="zh-CN"/>
        </w:rPr>
      </w:pPr>
      <w:r>
        <w:rPr>
          <w:rFonts w:hint="eastAsia" w:eastAsia="仿宋_GB2312"/>
          <w:color w:val="000000"/>
          <w:sz w:val="32"/>
          <w:szCs w:val="32"/>
          <w:lang w:val="en-US" w:eastAsia="zh-CN"/>
        </w:rPr>
        <w:t>9</w:t>
      </w:r>
      <w:r>
        <w:rPr>
          <w:rFonts w:hint="eastAsia" w:eastAsia="仿宋_GB2312"/>
          <w:color w:val="000000"/>
          <w:sz w:val="32"/>
          <w:szCs w:val="32"/>
        </w:rPr>
        <w:t>、踏勘及响应承诺函（模板，详见附件，加盖公章）</w:t>
      </w:r>
      <w:r>
        <w:rPr>
          <w:rFonts w:hint="eastAsia" w:eastAsia="仿宋_GB2312"/>
          <w:color w:val="000000"/>
          <w:sz w:val="32"/>
          <w:szCs w:val="32"/>
          <w:lang w:eastAsia="zh-CN"/>
        </w:rPr>
        <w:t>；</w:t>
      </w:r>
    </w:p>
    <w:p w14:paraId="17B73D32">
      <w:pPr>
        <w:spacing w:before="156" w:line="600" w:lineRule="exact"/>
        <w:ind w:firstLine="640" w:firstLineChars="200"/>
        <w:rPr>
          <w:rFonts w:eastAsia="仿宋_GB2312"/>
          <w:color w:val="000000"/>
          <w:sz w:val="32"/>
          <w:szCs w:val="32"/>
        </w:rPr>
      </w:pPr>
      <w:r>
        <w:rPr>
          <w:rFonts w:hint="eastAsia" w:eastAsia="仿宋_GB2312"/>
          <w:color w:val="000000"/>
          <w:sz w:val="32"/>
          <w:szCs w:val="32"/>
          <w:lang w:val="en-US" w:eastAsia="zh-CN"/>
        </w:rPr>
        <w:t>10、</w:t>
      </w:r>
      <w:r>
        <w:rPr>
          <w:rFonts w:hint="eastAsia" w:eastAsia="仿宋_GB2312"/>
          <w:color w:val="000000"/>
          <w:sz w:val="32"/>
          <w:szCs w:val="32"/>
        </w:rPr>
        <w:t>本项目</w:t>
      </w:r>
      <w:r>
        <w:rPr>
          <w:rFonts w:hint="eastAsia" w:eastAsia="仿宋_GB2312"/>
          <w:color w:val="000000"/>
          <w:sz w:val="32"/>
          <w:szCs w:val="32"/>
          <w:lang w:val="en-US" w:eastAsia="zh-CN"/>
        </w:rPr>
        <w:t>采购</w:t>
      </w:r>
      <w:r>
        <w:rPr>
          <w:rFonts w:hint="eastAsia" w:eastAsia="仿宋_GB2312"/>
          <w:color w:val="000000"/>
          <w:sz w:val="32"/>
          <w:szCs w:val="32"/>
        </w:rPr>
        <w:t>文件要求的其他资料（如有）。</w:t>
      </w:r>
    </w:p>
    <w:p w14:paraId="3177BCD4">
      <w:pPr>
        <w:adjustRightInd w:val="0"/>
        <w:snapToGrid w:val="0"/>
        <w:spacing w:before="156" w:line="600" w:lineRule="exact"/>
        <w:ind w:firstLine="640" w:firstLineChars="200"/>
        <w:outlineLvl w:val="1"/>
        <w:rPr>
          <w:rFonts w:eastAsia="黑体"/>
          <w:b/>
          <w:bCs/>
          <w:color w:val="000000"/>
          <w:sz w:val="32"/>
          <w:szCs w:val="32"/>
        </w:rPr>
      </w:pPr>
      <w:bookmarkStart w:id="7" w:name="_Hlk90416918"/>
      <w:r>
        <w:rPr>
          <w:rFonts w:eastAsia="黑体"/>
          <w:color w:val="000000"/>
          <w:sz w:val="32"/>
          <w:szCs w:val="32"/>
        </w:rPr>
        <w:sym w:font="Wingdings" w:char="F0AB"/>
      </w:r>
      <w:r>
        <w:rPr>
          <w:rFonts w:hint="eastAsia" w:eastAsia="黑体"/>
          <w:b/>
          <w:bCs/>
          <w:color w:val="000000"/>
          <w:sz w:val="32"/>
          <w:szCs w:val="32"/>
        </w:rPr>
        <w:t>十一、响应文件份数</w:t>
      </w:r>
      <w:bookmarkStart w:id="8" w:name="_Hlk90414502"/>
      <w:r>
        <w:rPr>
          <w:rFonts w:hint="eastAsia" w:eastAsia="黑体"/>
          <w:b/>
          <w:bCs/>
          <w:color w:val="000000"/>
          <w:sz w:val="32"/>
          <w:szCs w:val="32"/>
        </w:rPr>
        <w:t>及要求</w:t>
      </w:r>
      <w:bookmarkEnd w:id="7"/>
      <w:bookmarkEnd w:id="8"/>
    </w:p>
    <w:p w14:paraId="337A0207">
      <w:pPr>
        <w:spacing w:before="156" w:line="600" w:lineRule="exact"/>
        <w:ind w:firstLine="640" w:firstLineChars="200"/>
        <w:rPr>
          <w:rFonts w:eastAsia="仿宋_GB2312"/>
          <w:color w:val="000000"/>
          <w:sz w:val="32"/>
          <w:szCs w:val="32"/>
        </w:rPr>
      </w:pPr>
      <w:bookmarkStart w:id="9" w:name="_Hlk90414511"/>
      <w:r>
        <w:rPr>
          <w:rFonts w:hint="eastAsia" w:eastAsia="仿宋_GB2312"/>
          <w:color w:val="000000"/>
          <w:sz w:val="32"/>
          <w:szCs w:val="32"/>
        </w:rPr>
        <w:t>1、正本一份、副本一份。</w:t>
      </w:r>
    </w:p>
    <w:p w14:paraId="4CE05B9A">
      <w:pPr>
        <w:spacing w:before="156" w:line="600" w:lineRule="exact"/>
        <w:ind w:firstLine="640" w:firstLineChars="200"/>
        <w:rPr>
          <w:rFonts w:eastAsia="仿宋_GB2312"/>
          <w:color w:val="000000"/>
          <w:sz w:val="32"/>
          <w:szCs w:val="32"/>
        </w:rPr>
      </w:pPr>
      <w:r>
        <w:rPr>
          <w:rFonts w:hint="eastAsia" w:eastAsia="仿宋_GB2312"/>
          <w:color w:val="000000"/>
          <w:sz w:val="32"/>
          <w:szCs w:val="32"/>
        </w:rPr>
        <w:t>2、</w:t>
      </w:r>
      <w:r>
        <w:rPr>
          <w:rFonts w:hint="eastAsia" w:eastAsia="仿宋_GB2312"/>
          <w:color w:val="000000"/>
          <w:sz w:val="32"/>
          <w:szCs w:val="32"/>
          <w:lang w:eastAsia="zh-CN"/>
        </w:rPr>
        <w:t>响应人</w:t>
      </w:r>
      <w:r>
        <w:rPr>
          <w:rFonts w:hint="eastAsia" w:eastAsia="仿宋_GB2312"/>
          <w:color w:val="000000"/>
          <w:sz w:val="32"/>
          <w:szCs w:val="32"/>
        </w:rPr>
        <w:t>须严格按照采购人提供的表单格式及要求报价，响应文件必须装订或胶装成册，正本必须每页加盖公章，副本可使用正本复印件并于封面及骑缝处加盖公章。</w:t>
      </w:r>
    </w:p>
    <w:p w14:paraId="4AE6B961">
      <w:pPr>
        <w:spacing w:before="156" w:line="600" w:lineRule="exact"/>
        <w:ind w:firstLine="640" w:firstLineChars="200"/>
        <w:rPr>
          <w:rFonts w:eastAsia="仿宋_GB2312"/>
          <w:color w:val="000000"/>
          <w:sz w:val="32"/>
          <w:szCs w:val="32"/>
        </w:rPr>
      </w:pPr>
      <w:r>
        <w:rPr>
          <w:rFonts w:hint="eastAsia" w:eastAsia="仿宋_GB2312"/>
          <w:color w:val="000000"/>
          <w:sz w:val="32"/>
          <w:szCs w:val="32"/>
        </w:rPr>
        <w:t>3、响应文件必须密封完好，装有响应文件的文件袋须贴有密封条，于骑缝处加盖企业公章。不得以快递文件袋作为密封。</w:t>
      </w:r>
    </w:p>
    <w:p w14:paraId="6EF8497D">
      <w:pPr>
        <w:spacing w:before="156" w:line="600" w:lineRule="exact"/>
        <w:ind w:firstLine="640" w:firstLineChars="200"/>
        <w:rPr>
          <w:rFonts w:eastAsia="仿宋_GB2312"/>
          <w:color w:val="000000"/>
          <w:sz w:val="32"/>
          <w:szCs w:val="32"/>
        </w:rPr>
      </w:pPr>
      <w:r>
        <w:rPr>
          <w:rFonts w:hint="eastAsia" w:eastAsia="仿宋_GB2312"/>
          <w:color w:val="000000"/>
          <w:sz w:val="32"/>
          <w:szCs w:val="32"/>
        </w:rPr>
        <w:t>4、</w:t>
      </w:r>
      <w:r>
        <w:rPr>
          <w:rFonts w:hint="eastAsia" w:eastAsia="仿宋_GB2312"/>
          <w:color w:val="000000"/>
          <w:sz w:val="32"/>
          <w:szCs w:val="32"/>
          <w:lang w:eastAsia="zh-CN"/>
        </w:rPr>
        <w:t>响应人</w:t>
      </w:r>
      <w:r>
        <w:rPr>
          <w:rFonts w:hint="eastAsia" w:eastAsia="仿宋_GB2312"/>
          <w:color w:val="000000"/>
          <w:sz w:val="32"/>
          <w:szCs w:val="32"/>
        </w:rPr>
        <w:t>所递交的响应文件必须为盖章原件，公章、私章或签字不得为彩色/黑白的打印件/复印件。</w:t>
      </w:r>
    </w:p>
    <w:p w14:paraId="01FD6C76">
      <w:pPr>
        <w:spacing w:before="156" w:line="600" w:lineRule="exact"/>
        <w:ind w:firstLine="640" w:firstLineChars="200"/>
        <w:rPr>
          <w:rFonts w:eastAsia="仿宋_GB2312"/>
          <w:color w:val="000000"/>
          <w:sz w:val="32"/>
          <w:szCs w:val="32"/>
        </w:rPr>
      </w:pPr>
      <w:r>
        <w:rPr>
          <w:rFonts w:hint="eastAsia" w:eastAsia="仿宋_GB2312"/>
          <w:color w:val="000000"/>
          <w:sz w:val="32"/>
          <w:szCs w:val="32"/>
        </w:rPr>
        <w:t>5、</w:t>
      </w:r>
      <w:r>
        <w:rPr>
          <w:rFonts w:hint="eastAsia" w:eastAsia="仿宋_GB2312"/>
          <w:color w:val="000000"/>
          <w:sz w:val="32"/>
          <w:szCs w:val="32"/>
          <w:lang w:eastAsia="zh-CN"/>
        </w:rPr>
        <w:t>响应人</w:t>
      </w:r>
      <w:r>
        <w:rPr>
          <w:rFonts w:hint="eastAsia" w:eastAsia="仿宋_GB2312"/>
          <w:color w:val="000000"/>
          <w:sz w:val="32"/>
          <w:szCs w:val="32"/>
        </w:rPr>
        <w:t>需将本项目密封文件袋封面（附件一）粘贴于响应文件密封袋上。</w:t>
      </w:r>
    </w:p>
    <w:p w14:paraId="795E7C1F">
      <w:pPr>
        <w:spacing w:before="156" w:line="600" w:lineRule="exact"/>
        <w:ind w:firstLine="640" w:firstLineChars="200"/>
        <w:rPr>
          <w:rFonts w:eastAsia="仿宋_GB2312"/>
          <w:color w:val="000000"/>
          <w:sz w:val="32"/>
          <w:szCs w:val="32"/>
        </w:rPr>
      </w:pPr>
      <w:r>
        <w:rPr>
          <w:rFonts w:hint="eastAsia" w:eastAsia="仿宋_GB2312"/>
          <w:color w:val="000000"/>
          <w:sz w:val="32"/>
          <w:szCs w:val="32"/>
        </w:rPr>
        <w:t>6、不符合本项要求的响应文件为无效报价。</w:t>
      </w:r>
      <w:bookmarkEnd w:id="9"/>
    </w:p>
    <w:p w14:paraId="7DF4FB13">
      <w:pPr>
        <w:adjustRightInd w:val="0"/>
        <w:snapToGrid w:val="0"/>
        <w:spacing w:before="156" w:line="600" w:lineRule="exact"/>
        <w:ind w:firstLine="640" w:firstLineChars="200"/>
        <w:outlineLvl w:val="1"/>
        <w:rPr>
          <w:rFonts w:eastAsia="黑体"/>
          <w:color w:val="000000"/>
          <w:sz w:val="32"/>
          <w:szCs w:val="32"/>
        </w:rPr>
      </w:pPr>
      <w:r>
        <w:rPr>
          <w:rFonts w:hint="eastAsia" w:eastAsia="黑体"/>
          <w:color w:val="000000"/>
          <w:sz w:val="32"/>
          <w:szCs w:val="32"/>
        </w:rPr>
        <w:t>十二、开标时间及地址</w:t>
      </w:r>
    </w:p>
    <w:p w14:paraId="5FCD510D">
      <w:pPr>
        <w:spacing w:before="156" w:line="600" w:lineRule="exact"/>
        <w:ind w:firstLine="643" w:firstLineChars="200"/>
        <w:rPr>
          <w:rFonts w:eastAsia="仿宋_GB2312"/>
          <w:b/>
          <w:color w:val="000000"/>
          <w:sz w:val="32"/>
          <w:szCs w:val="32"/>
        </w:rPr>
      </w:pPr>
      <w:bookmarkStart w:id="10" w:name="_Hlk90417299"/>
      <w:r>
        <w:rPr>
          <w:rFonts w:hint="eastAsia" w:eastAsia="仿宋_GB2312"/>
          <w:b/>
          <w:color w:val="000000"/>
          <w:sz w:val="32"/>
          <w:szCs w:val="32"/>
        </w:rPr>
        <w:t>开标时间：</w:t>
      </w:r>
      <w:r>
        <w:rPr>
          <w:rFonts w:eastAsia="仿宋_GB2312"/>
          <w:b w:val="0"/>
          <w:bCs/>
          <w:color w:val="000000"/>
          <w:sz w:val="32"/>
          <w:szCs w:val="32"/>
          <w:u w:val="single"/>
        </w:rPr>
        <w:t>20</w:t>
      </w:r>
      <w:r>
        <w:rPr>
          <w:rFonts w:hint="eastAsia" w:eastAsia="仿宋_GB2312"/>
          <w:b w:val="0"/>
          <w:bCs/>
          <w:color w:val="000000"/>
          <w:sz w:val="32"/>
          <w:szCs w:val="32"/>
          <w:u w:val="single"/>
        </w:rPr>
        <w:t>2</w:t>
      </w:r>
      <w:r>
        <w:rPr>
          <w:rFonts w:hint="eastAsia" w:eastAsia="仿宋_GB2312"/>
          <w:b w:val="0"/>
          <w:bCs/>
          <w:color w:val="000000"/>
          <w:sz w:val="32"/>
          <w:szCs w:val="32"/>
          <w:u w:val="single"/>
          <w:lang w:val="en-US" w:eastAsia="zh-CN"/>
        </w:rPr>
        <w:t>6</w:t>
      </w:r>
      <w:r>
        <w:rPr>
          <w:rFonts w:hint="eastAsia" w:eastAsia="仿宋_GB2312"/>
          <w:b w:val="0"/>
          <w:bCs/>
          <w:color w:val="000000"/>
          <w:sz w:val="32"/>
          <w:szCs w:val="32"/>
        </w:rPr>
        <w:t>年</w:t>
      </w:r>
      <w:r>
        <w:rPr>
          <w:rFonts w:hint="eastAsia" w:eastAsia="仿宋_GB2312"/>
          <w:b w:val="0"/>
          <w:bCs/>
          <w:color w:val="000000"/>
          <w:sz w:val="32"/>
          <w:szCs w:val="32"/>
          <w:lang w:val="en-US" w:eastAsia="zh-CN"/>
        </w:rPr>
        <w:t>4</w:t>
      </w:r>
      <w:r>
        <w:rPr>
          <w:rFonts w:hint="eastAsia" w:eastAsia="仿宋_GB2312"/>
          <w:b w:val="0"/>
          <w:bCs/>
          <w:color w:val="000000"/>
          <w:sz w:val="32"/>
          <w:szCs w:val="32"/>
        </w:rPr>
        <w:t>月</w:t>
      </w:r>
      <w:r>
        <w:rPr>
          <w:rFonts w:hint="eastAsia" w:eastAsia="仿宋_GB2312"/>
          <w:b w:val="0"/>
          <w:bCs/>
          <w:color w:val="000000"/>
          <w:sz w:val="32"/>
          <w:szCs w:val="32"/>
          <w:lang w:val="en-US" w:eastAsia="zh-CN"/>
        </w:rPr>
        <w:t>23</w:t>
      </w:r>
      <w:r>
        <w:rPr>
          <w:rFonts w:hint="eastAsia" w:eastAsia="仿宋_GB2312"/>
          <w:b w:val="0"/>
          <w:bCs/>
          <w:color w:val="000000"/>
          <w:sz w:val="32"/>
          <w:szCs w:val="32"/>
        </w:rPr>
        <w:t>日（</w:t>
      </w:r>
      <w:r>
        <w:rPr>
          <w:rFonts w:hint="eastAsia" w:eastAsia="仿宋_GB2312"/>
          <w:b w:val="0"/>
          <w:bCs/>
          <w:color w:val="000000"/>
          <w:sz w:val="32"/>
          <w:szCs w:val="32"/>
          <w:u w:val="single"/>
        </w:rPr>
        <w:t>星期</w:t>
      </w:r>
      <w:r>
        <w:rPr>
          <w:rFonts w:hint="eastAsia" w:eastAsia="仿宋_GB2312"/>
          <w:b w:val="0"/>
          <w:bCs/>
          <w:color w:val="000000"/>
          <w:sz w:val="32"/>
          <w:szCs w:val="32"/>
          <w:u w:val="single"/>
          <w:lang w:val="en-US" w:eastAsia="zh-CN"/>
        </w:rPr>
        <w:t>四）</w:t>
      </w:r>
      <w:r>
        <w:rPr>
          <w:rFonts w:hint="eastAsia" w:eastAsia="仿宋_GB2312"/>
          <w:b w:val="0"/>
          <w:bCs/>
          <w:color w:val="000000"/>
          <w:sz w:val="32"/>
          <w:szCs w:val="32"/>
          <w:lang w:val="en-US" w:eastAsia="zh-CN"/>
        </w:rPr>
        <w:t>上</w:t>
      </w:r>
      <w:r>
        <w:rPr>
          <w:rFonts w:hint="eastAsia" w:eastAsia="仿宋_GB2312"/>
          <w:b w:val="0"/>
          <w:bCs/>
          <w:color w:val="000000"/>
          <w:sz w:val="32"/>
          <w:szCs w:val="32"/>
        </w:rPr>
        <w:t>午</w:t>
      </w:r>
      <w:r>
        <w:rPr>
          <w:rFonts w:hint="eastAsia" w:eastAsia="仿宋_GB2312"/>
          <w:b w:val="0"/>
          <w:bCs/>
          <w:color w:val="000000"/>
          <w:sz w:val="32"/>
          <w:szCs w:val="32"/>
          <w:lang w:val="en-US" w:eastAsia="zh-CN"/>
        </w:rPr>
        <w:t>10 ：30</w:t>
      </w:r>
    </w:p>
    <w:bookmarkEnd w:id="10"/>
    <w:p w14:paraId="79515B5A">
      <w:pPr>
        <w:spacing w:before="156" w:line="600" w:lineRule="exact"/>
        <w:ind w:firstLine="640" w:firstLineChars="200"/>
        <w:outlineLvl w:val="9"/>
        <w:rPr>
          <w:rFonts w:hint="eastAsia" w:eastAsia="仿宋_GB2312"/>
          <w:color w:val="000000"/>
          <w:sz w:val="32"/>
          <w:szCs w:val="32"/>
        </w:rPr>
      </w:pPr>
      <w:r>
        <w:rPr>
          <w:rFonts w:hint="eastAsia" w:eastAsia="仿宋_GB2312"/>
          <w:color w:val="000000"/>
          <w:sz w:val="32"/>
          <w:szCs w:val="32"/>
        </w:rPr>
        <w:t>本项目</w:t>
      </w:r>
      <w:r>
        <w:rPr>
          <w:rFonts w:hint="eastAsia" w:eastAsia="仿宋_GB2312"/>
          <w:color w:val="000000"/>
          <w:sz w:val="32"/>
          <w:szCs w:val="32"/>
          <w:lang w:eastAsia="zh-CN"/>
        </w:rPr>
        <w:t>响应人</w:t>
      </w:r>
      <w:r>
        <w:rPr>
          <w:rFonts w:hint="eastAsia" w:eastAsia="仿宋_GB2312"/>
          <w:color w:val="000000"/>
          <w:sz w:val="32"/>
          <w:szCs w:val="32"/>
        </w:rPr>
        <w:t>可选择现场递交报价文件或邮寄报价文件，其中：</w:t>
      </w:r>
    </w:p>
    <w:p w14:paraId="64D409EC">
      <w:pPr>
        <w:spacing w:before="156" w:line="600" w:lineRule="exact"/>
        <w:ind w:firstLine="640" w:firstLineChars="200"/>
        <w:outlineLvl w:val="9"/>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lang w:val="en-US" w:eastAsia="zh-CN"/>
        </w:rPr>
        <w:t>1）</w:t>
      </w:r>
      <w:r>
        <w:rPr>
          <w:rFonts w:hint="eastAsia" w:ascii="Times New Roman" w:hAnsi="Times New Roman" w:eastAsia="仿宋_GB2312"/>
          <w:color w:val="000000"/>
          <w:sz w:val="32"/>
          <w:szCs w:val="32"/>
        </w:rPr>
        <w:t>现场递交报价文件</w:t>
      </w:r>
      <w:r>
        <w:rPr>
          <w:rFonts w:hint="eastAsia" w:ascii="Times New Roman" w:hAnsi="Times New Roman" w:eastAsia="仿宋_GB2312"/>
          <w:color w:val="000000"/>
          <w:sz w:val="32"/>
          <w:szCs w:val="32"/>
          <w:lang w:eastAsia="zh-CN"/>
        </w:rPr>
        <w:t>：</w:t>
      </w:r>
      <w:r>
        <w:rPr>
          <w:rFonts w:hint="eastAsia" w:eastAsia="仿宋_GB2312"/>
          <w:color w:val="000000"/>
          <w:sz w:val="32"/>
          <w:szCs w:val="32"/>
          <w:lang w:eastAsia="zh-CN"/>
        </w:rPr>
        <w:t>响应人</w:t>
      </w:r>
      <w:r>
        <w:rPr>
          <w:rFonts w:hint="eastAsia" w:ascii="Times New Roman" w:hAnsi="Times New Roman" w:eastAsia="仿宋_GB2312"/>
          <w:color w:val="000000"/>
          <w:sz w:val="32"/>
          <w:szCs w:val="32"/>
        </w:rPr>
        <w:t>须委派法定代表人或授权委托人</w:t>
      </w:r>
      <w:r>
        <w:rPr>
          <w:rFonts w:hint="eastAsia" w:ascii="Times New Roman" w:hAnsi="Times New Roman" w:eastAsia="仿宋_GB2312"/>
          <w:color w:val="000000"/>
          <w:sz w:val="32"/>
          <w:szCs w:val="32"/>
          <w:lang w:val="en-US" w:eastAsia="zh-CN"/>
        </w:rPr>
        <w:t>按时</w:t>
      </w:r>
      <w:r>
        <w:rPr>
          <w:rFonts w:hint="eastAsia" w:ascii="Times New Roman" w:hAnsi="Times New Roman" w:eastAsia="仿宋_GB2312"/>
          <w:color w:val="000000"/>
          <w:sz w:val="32"/>
          <w:szCs w:val="32"/>
        </w:rPr>
        <w:t>到开标地址提交报价文件并参加开标会议</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rPr>
        <w:t>开标时间后</w:t>
      </w:r>
      <w:r>
        <w:rPr>
          <w:rFonts w:hint="eastAsia" w:ascii="Times New Roman" w:hAnsi="Times New Roman" w:eastAsia="仿宋_GB2312"/>
          <w:color w:val="000000"/>
          <w:sz w:val="32"/>
          <w:szCs w:val="32"/>
          <w:lang w:val="en-US" w:eastAsia="zh-CN"/>
        </w:rPr>
        <w:t>到达</w:t>
      </w:r>
      <w:r>
        <w:rPr>
          <w:rFonts w:hint="eastAsia" w:ascii="Times New Roman" w:hAnsi="Times New Roman" w:eastAsia="仿宋_GB2312"/>
          <w:color w:val="000000"/>
          <w:sz w:val="32"/>
          <w:szCs w:val="32"/>
        </w:rPr>
        <w:t>的</w:t>
      </w:r>
      <w:r>
        <w:rPr>
          <w:rFonts w:hint="eastAsia" w:ascii="Times New Roman" w:hAnsi="Times New Roman" w:eastAsia="仿宋_GB2312"/>
          <w:color w:val="000000"/>
          <w:sz w:val="32"/>
          <w:szCs w:val="32"/>
          <w:lang w:val="en-US" w:eastAsia="zh-CN"/>
        </w:rPr>
        <w:t>拒收报价文件</w:t>
      </w:r>
      <w:r>
        <w:rPr>
          <w:rFonts w:hint="eastAsia" w:ascii="Times New Roman" w:hAnsi="Times New Roman" w:eastAsia="仿宋_GB2312"/>
          <w:color w:val="000000"/>
          <w:sz w:val="32"/>
          <w:szCs w:val="32"/>
        </w:rPr>
        <w:t>。</w:t>
      </w:r>
    </w:p>
    <w:p w14:paraId="0115EABD">
      <w:pPr>
        <w:spacing w:before="156" w:line="600" w:lineRule="exact"/>
        <w:ind w:firstLine="640" w:firstLineChars="200"/>
        <w:outlineLvl w:val="9"/>
        <w:rPr>
          <w:rFonts w:hint="eastAsia" w:ascii="Times New Roman" w:hAnsi="Times New Roman" w:eastAsia="仿宋_GB2312"/>
          <w:color w:val="000000"/>
          <w:sz w:val="32"/>
          <w:szCs w:val="32"/>
          <w:lang w:val="en-US" w:eastAsia="zh-CN"/>
        </w:rPr>
      </w:pPr>
      <w:r>
        <w:rPr>
          <w:rFonts w:hint="eastAsia" w:eastAsia="仿宋_GB2312"/>
          <w:color w:val="000000"/>
          <w:sz w:val="32"/>
          <w:szCs w:val="32"/>
          <w:lang w:eastAsia="zh-CN"/>
        </w:rPr>
        <w:t>响应人</w:t>
      </w:r>
      <w:r>
        <w:rPr>
          <w:rFonts w:hint="eastAsia" w:ascii="Times New Roman" w:hAnsi="Times New Roman" w:eastAsia="仿宋_GB2312"/>
          <w:color w:val="000000"/>
          <w:sz w:val="32"/>
          <w:szCs w:val="32"/>
        </w:rPr>
        <w:t>提交报价文件地址：东莞市麻涌镇大步村海心沙岛</w:t>
      </w:r>
      <w:r>
        <w:rPr>
          <w:rFonts w:hint="eastAsia" w:ascii="Times New Roman" w:hAnsi="Times New Roman" w:eastAsia="仿宋_GB2312"/>
          <w:color w:val="000000"/>
          <w:sz w:val="32"/>
          <w:szCs w:val="32"/>
          <w:lang w:val="en-US" w:eastAsia="zh-CN"/>
        </w:rPr>
        <w:t>东莞市新东元环保投资有限公司二楼</w:t>
      </w:r>
      <w:r>
        <w:rPr>
          <w:rFonts w:hint="eastAsia" w:ascii="Times New Roman" w:hAnsi="Times New Roman" w:eastAsia="仿宋_GB2312"/>
          <w:color w:val="000000"/>
          <w:sz w:val="32"/>
          <w:szCs w:val="32"/>
        </w:rPr>
        <w:t>会议室（</w:t>
      </w:r>
      <w:r>
        <w:rPr>
          <w:rFonts w:hint="eastAsia" w:ascii="Times New Roman" w:hAnsi="Times New Roman" w:eastAsia="仿宋_GB2312"/>
          <w:color w:val="000000"/>
          <w:sz w:val="32"/>
          <w:szCs w:val="32"/>
          <w:lang w:val="en-US" w:eastAsia="zh-CN"/>
        </w:rPr>
        <w:t>路线指导图如下</w:t>
      </w:r>
      <w:r>
        <w:rPr>
          <w:rFonts w:hint="eastAsia" w:ascii="Times New Roman" w:hAnsi="Times New Roman" w:eastAsia="仿宋_GB2312"/>
          <w:color w:val="000000"/>
          <w:sz w:val="32"/>
          <w:szCs w:val="32"/>
        </w:rPr>
        <w:t>）</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lang w:val="en-US" w:eastAsia="zh-CN"/>
        </w:rPr>
        <w:t>逾期无效。</w:t>
      </w:r>
    </w:p>
    <w:p w14:paraId="2E9F583F">
      <w:pPr>
        <w:pStyle w:val="20"/>
        <w:rPr>
          <w:rFonts w:hint="eastAsia" w:eastAsia="宋体"/>
          <w:lang w:eastAsia="zh-CN"/>
        </w:rPr>
      </w:pPr>
      <w:r>
        <w:rPr>
          <w:rFonts w:hint="eastAsia" w:eastAsia="宋体"/>
          <w:lang w:eastAsia="zh-CN"/>
        </w:rPr>
        <w:drawing>
          <wp:inline distT="0" distB="0" distL="114300" distR="114300">
            <wp:extent cx="4739640" cy="3422015"/>
            <wp:effectExtent l="0" t="0" r="10160" b="0"/>
            <wp:docPr id="13" name="图片 13" descr="d51ca4f950ea6da1bee83e43c380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d51ca4f950ea6da1bee83e43c380412"/>
                    <pic:cNvPicPr>
                      <a:picLocks noChangeAspect="1"/>
                    </pic:cNvPicPr>
                  </pic:nvPicPr>
                  <pic:blipFill>
                    <a:blip r:embed="rId19"/>
                    <a:stretch>
                      <a:fillRect/>
                    </a:stretch>
                  </pic:blipFill>
                  <pic:spPr>
                    <a:xfrm>
                      <a:off x="0" y="0"/>
                      <a:ext cx="4739640" cy="3422015"/>
                    </a:xfrm>
                    <a:prstGeom prst="rect">
                      <a:avLst/>
                    </a:prstGeom>
                  </pic:spPr>
                </pic:pic>
              </a:graphicData>
            </a:graphic>
          </wp:inline>
        </w:drawing>
      </w:r>
    </w:p>
    <w:p w14:paraId="23FAFDDC">
      <w:pPr>
        <w:spacing w:before="156" w:line="600" w:lineRule="exact"/>
        <w:ind w:firstLine="640" w:firstLineChars="200"/>
        <w:outlineLvl w:val="9"/>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lang w:val="en-US" w:eastAsia="zh-CN"/>
        </w:rPr>
        <w:t>2）邮寄</w:t>
      </w:r>
      <w:r>
        <w:rPr>
          <w:rFonts w:hint="eastAsia" w:ascii="Times New Roman" w:hAnsi="Times New Roman" w:eastAsia="仿宋_GB2312"/>
          <w:color w:val="000000"/>
          <w:sz w:val="32"/>
          <w:szCs w:val="32"/>
        </w:rPr>
        <w:t>递交报价文件</w:t>
      </w:r>
      <w:r>
        <w:rPr>
          <w:rFonts w:hint="eastAsia" w:ascii="Times New Roman" w:hAnsi="Times New Roman" w:eastAsia="仿宋_GB2312"/>
          <w:color w:val="000000"/>
          <w:sz w:val="32"/>
          <w:szCs w:val="32"/>
          <w:lang w:eastAsia="zh-CN"/>
        </w:rPr>
        <w:t>：</w:t>
      </w:r>
      <w:r>
        <w:rPr>
          <w:rFonts w:hint="eastAsia" w:eastAsia="仿宋_GB2312"/>
          <w:color w:val="000000"/>
          <w:sz w:val="32"/>
          <w:szCs w:val="32"/>
          <w:lang w:eastAsia="zh-CN"/>
        </w:rPr>
        <w:t>响应人</w:t>
      </w:r>
      <w:r>
        <w:rPr>
          <w:rFonts w:hint="eastAsia" w:ascii="Times New Roman" w:hAnsi="Times New Roman" w:eastAsia="仿宋_GB2312"/>
          <w:color w:val="000000"/>
          <w:sz w:val="32"/>
          <w:szCs w:val="32"/>
        </w:rPr>
        <w:t>必须确保响应文件密封完好，在开标截止时间前一日送达采购人处，须使用顺丰速运提前寄送（运费自理，采购人拒收到付件），因邮寄造成响应文件破损无效或文件丢失的责任由</w:t>
      </w:r>
      <w:r>
        <w:rPr>
          <w:rFonts w:hint="eastAsia" w:eastAsia="仿宋_GB2312"/>
          <w:color w:val="000000"/>
          <w:sz w:val="32"/>
          <w:szCs w:val="32"/>
          <w:lang w:eastAsia="zh-CN"/>
        </w:rPr>
        <w:t>响应人</w:t>
      </w:r>
      <w:r>
        <w:rPr>
          <w:rFonts w:hint="eastAsia" w:ascii="Times New Roman" w:hAnsi="Times New Roman" w:eastAsia="仿宋_GB2312"/>
          <w:color w:val="000000"/>
          <w:sz w:val="32"/>
          <w:szCs w:val="32"/>
        </w:rPr>
        <w:t>自负，因快递派件人员无工作证等原因（如顺丰即日达）造成快递派件问题的责任由</w:t>
      </w:r>
      <w:r>
        <w:rPr>
          <w:rFonts w:hint="eastAsia" w:eastAsia="仿宋_GB2312"/>
          <w:color w:val="000000"/>
          <w:sz w:val="32"/>
          <w:szCs w:val="32"/>
          <w:lang w:eastAsia="zh-CN"/>
        </w:rPr>
        <w:t>响应人</w:t>
      </w:r>
      <w:r>
        <w:rPr>
          <w:rFonts w:hint="eastAsia" w:ascii="Times New Roman" w:hAnsi="Times New Roman" w:eastAsia="仿宋_GB2312"/>
          <w:color w:val="000000"/>
          <w:sz w:val="32"/>
          <w:szCs w:val="32"/>
        </w:rPr>
        <w:t>自负，开标时间后送达的响应文件无效。</w:t>
      </w:r>
    </w:p>
    <w:p w14:paraId="295584CE">
      <w:pPr>
        <w:spacing w:before="156" w:line="600" w:lineRule="exact"/>
        <w:ind w:firstLine="640" w:firstLineChars="200"/>
        <w:rPr>
          <w:rFonts w:eastAsia="仿宋_GB2312"/>
          <w:color w:val="000000"/>
          <w:sz w:val="32"/>
          <w:szCs w:val="32"/>
        </w:rPr>
      </w:pPr>
      <w:r>
        <w:rPr>
          <w:rFonts w:hint="eastAsia" w:eastAsia="仿宋_GB2312"/>
          <w:color w:val="000000"/>
          <w:sz w:val="32"/>
          <w:szCs w:val="32"/>
        </w:rPr>
        <w:t>收件地址：东莞市麻涌镇大步村海心沙岛东莞市新东元环保投资有限公司二楼</w:t>
      </w:r>
    </w:p>
    <w:p w14:paraId="32F0CB3A">
      <w:pPr>
        <w:spacing w:before="156" w:line="600" w:lineRule="exact"/>
        <w:ind w:firstLine="640" w:firstLineChars="200"/>
        <w:rPr>
          <w:rFonts w:eastAsia="仿宋_GB2312"/>
          <w:color w:val="000000"/>
          <w:sz w:val="32"/>
          <w:szCs w:val="32"/>
        </w:rPr>
      </w:pPr>
      <w:r>
        <w:rPr>
          <w:rFonts w:hint="eastAsia" w:eastAsia="仿宋_GB2312"/>
          <w:color w:val="000000"/>
          <w:sz w:val="32"/>
          <w:szCs w:val="32"/>
        </w:rPr>
        <w:t>联系人：徐小姐</w:t>
      </w:r>
    </w:p>
    <w:p w14:paraId="32F0F5BA">
      <w:pPr>
        <w:spacing w:before="156" w:line="600" w:lineRule="exact"/>
        <w:ind w:firstLine="640" w:firstLineChars="200"/>
        <w:rPr>
          <w:rFonts w:eastAsia="仿宋_GB2312"/>
          <w:color w:val="000000"/>
          <w:sz w:val="32"/>
          <w:szCs w:val="32"/>
        </w:rPr>
      </w:pPr>
      <w:r>
        <w:rPr>
          <w:rFonts w:hint="eastAsia" w:eastAsia="仿宋_GB2312"/>
          <w:color w:val="000000"/>
          <w:sz w:val="32"/>
          <w:szCs w:val="32"/>
        </w:rPr>
        <w:t>联系电话：0769-81219261</w:t>
      </w:r>
    </w:p>
    <w:p w14:paraId="259246A4">
      <w:pPr>
        <w:spacing w:before="156"/>
        <w:rPr>
          <w:rFonts w:eastAsia="黑体"/>
          <w:color w:val="000000"/>
          <w:sz w:val="32"/>
          <w:szCs w:val="32"/>
        </w:rPr>
      </w:pPr>
      <w:r>
        <w:rPr>
          <w:rFonts w:hint="eastAsia" w:eastAsia="黑体"/>
          <w:color w:val="000000"/>
          <w:sz w:val="32"/>
          <w:szCs w:val="32"/>
        </w:rPr>
        <w:t>十三、注意事项</w:t>
      </w:r>
    </w:p>
    <w:p w14:paraId="6D743CE3">
      <w:pPr>
        <w:spacing w:line="360" w:lineRule="auto"/>
        <w:ind w:firstLine="640" w:firstLineChars="200"/>
        <w:outlineLvl w:val="1"/>
        <w:rPr>
          <w:rFonts w:ascii="仿宋" w:hAnsi="仿宋" w:eastAsia="仿宋" w:cs="仿宋"/>
          <w:color w:val="000000"/>
          <w:sz w:val="32"/>
          <w:szCs w:val="32"/>
          <w:highlight w:val="none"/>
        </w:rPr>
      </w:pPr>
      <w:bookmarkStart w:id="11" w:name="_Hlk517879660"/>
      <w:r>
        <w:rPr>
          <w:rFonts w:hint="eastAsia" w:ascii="仿宋" w:hAnsi="仿宋" w:eastAsia="仿宋" w:cs="仿宋"/>
          <w:color w:val="000000"/>
          <w:sz w:val="32"/>
          <w:szCs w:val="32"/>
          <w:highlight w:val="none"/>
        </w:rPr>
        <w:t>1、若</w:t>
      </w:r>
      <w:r>
        <w:rPr>
          <w:rFonts w:hint="eastAsia" w:ascii="仿宋" w:hAnsi="仿宋" w:eastAsia="仿宋" w:cs="仿宋"/>
          <w:color w:val="000000"/>
          <w:sz w:val="32"/>
          <w:szCs w:val="32"/>
          <w:highlight w:val="none"/>
          <w:lang w:eastAsia="zh-CN"/>
        </w:rPr>
        <w:t>响应人</w:t>
      </w:r>
      <w:r>
        <w:rPr>
          <w:rFonts w:hint="eastAsia" w:ascii="仿宋" w:hAnsi="仿宋" w:eastAsia="仿宋" w:cs="仿宋"/>
          <w:color w:val="000000"/>
          <w:sz w:val="32"/>
          <w:szCs w:val="32"/>
          <w:highlight w:val="none"/>
        </w:rPr>
        <w:t>未按规定时间递交响应文件，视为放弃报价资格。</w:t>
      </w:r>
    </w:p>
    <w:p w14:paraId="37EA9368">
      <w:pPr>
        <w:spacing w:line="360" w:lineRule="auto"/>
        <w:ind w:firstLine="640" w:firstLineChars="200"/>
        <w:outlineLvl w:val="1"/>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2、</w:t>
      </w:r>
      <w:r>
        <w:rPr>
          <w:rFonts w:hint="eastAsia" w:ascii="仿宋" w:hAnsi="仿宋" w:eastAsia="仿宋" w:cs="仿宋"/>
          <w:color w:val="000000"/>
          <w:sz w:val="32"/>
          <w:szCs w:val="32"/>
          <w:highlight w:val="none"/>
          <w:lang w:eastAsia="zh-CN"/>
        </w:rPr>
        <w:t>响应人</w:t>
      </w:r>
      <w:r>
        <w:rPr>
          <w:rFonts w:hint="eastAsia" w:ascii="仿宋" w:hAnsi="仿宋" w:eastAsia="仿宋" w:cs="仿宋"/>
          <w:color w:val="000000"/>
          <w:sz w:val="32"/>
          <w:szCs w:val="32"/>
          <w:highlight w:val="none"/>
        </w:rPr>
        <w:t>如未按要求交纳保证金，则视为放弃报价/成交资格。</w:t>
      </w:r>
    </w:p>
    <w:p w14:paraId="204322AB">
      <w:pPr>
        <w:spacing w:line="360" w:lineRule="auto"/>
        <w:ind w:firstLine="640" w:firstLineChars="200"/>
        <w:outlineLvl w:val="1"/>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3、采购人向</w:t>
      </w:r>
      <w:r>
        <w:rPr>
          <w:rFonts w:hint="eastAsia" w:ascii="仿宋" w:hAnsi="仿宋" w:eastAsia="仿宋" w:cs="仿宋"/>
          <w:color w:val="000000"/>
          <w:sz w:val="32"/>
          <w:szCs w:val="32"/>
          <w:highlight w:val="none"/>
          <w:lang w:eastAsia="zh-CN"/>
        </w:rPr>
        <w:t>响应人</w:t>
      </w:r>
      <w:r>
        <w:rPr>
          <w:rFonts w:hint="eastAsia" w:ascii="仿宋" w:hAnsi="仿宋" w:eastAsia="仿宋" w:cs="仿宋"/>
          <w:color w:val="000000"/>
          <w:sz w:val="32"/>
          <w:szCs w:val="32"/>
          <w:highlight w:val="none"/>
        </w:rPr>
        <w:t>提供的有关资料和数据，是采购人现有的能使</w:t>
      </w:r>
      <w:r>
        <w:rPr>
          <w:rFonts w:hint="eastAsia" w:ascii="仿宋" w:hAnsi="仿宋" w:eastAsia="仿宋" w:cs="仿宋"/>
          <w:color w:val="000000"/>
          <w:sz w:val="32"/>
          <w:szCs w:val="32"/>
          <w:highlight w:val="none"/>
          <w:lang w:eastAsia="zh-CN"/>
        </w:rPr>
        <w:t>响应人</w:t>
      </w:r>
      <w:r>
        <w:rPr>
          <w:rFonts w:hint="eastAsia" w:ascii="仿宋" w:hAnsi="仿宋" w:eastAsia="仿宋" w:cs="仿宋"/>
          <w:color w:val="000000"/>
          <w:sz w:val="32"/>
          <w:szCs w:val="32"/>
          <w:highlight w:val="none"/>
        </w:rPr>
        <w:t>利用的资料，采购人对</w:t>
      </w:r>
      <w:r>
        <w:rPr>
          <w:rFonts w:hint="eastAsia" w:ascii="仿宋" w:hAnsi="仿宋" w:eastAsia="仿宋" w:cs="仿宋"/>
          <w:color w:val="000000"/>
          <w:sz w:val="32"/>
          <w:szCs w:val="32"/>
          <w:highlight w:val="none"/>
          <w:lang w:eastAsia="zh-CN"/>
        </w:rPr>
        <w:t>响应人</w:t>
      </w:r>
      <w:r>
        <w:rPr>
          <w:rFonts w:hint="eastAsia" w:ascii="仿宋" w:hAnsi="仿宋" w:eastAsia="仿宋" w:cs="仿宋"/>
          <w:color w:val="000000"/>
          <w:sz w:val="32"/>
          <w:szCs w:val="32"/>
          <w:highlight w:val="none"/>
        </w:rPr>
        <w:t>由此而做出的推论、理解和结论概不负责。</w:t>
      </w:r>
    </w:p>
    <w:p w14:paraId="73FAC526">
      <w:pPr>
        <w:spacing w:line="360" w:lineRule="auto"/>
        <w:ind w:firstLine="640" w:firstLineChars="200"/>
        <w:outlineLvl w:val="1"/>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4、本项目执行过程中将遵循国家、省、市有关法律、法规、标准、技术规范和规范性文件的最新规定。</w:t>
      </w:r>
    </w:p>
    <w:p w14:paraId="2D5EC5F5">
      <w:pPr>
        <w:keepNext w:val="0"/>
        <w:keepLines w:val="0"/>
        <w:pageBreakBefore w:val="0"/>
        <w:widowControl w:val="0"/>
        <w:kinsoku/>
        <w:wordWrap/>
        <w:overflowPunct/>
        <w:topLinePunct w:val="0"/>
        <w:autoSpaceDE/>
        <w:autoSpaceDN/>
        <w:bidi w:val="0"/>
        <w:adjustRightInd/>
        <w:snapToGrid w:val="0"/>
        <w:spacing w:line="324" w:lineRule="auto"/>
        <w:ind w:firstLine="640" w:firstLineChars="200"/>
        <w:textAlignment w:val="auto"/>
        <w:outlineLvl w:val="1"/>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5、本项目仅可提交一个报价方案，提交两个或以上报价方案的</w:t>
      </w:r>
      <w:r>
        <w:rPr>
          <w:rFonts w:hint="eastAsia" w:ascii="仿宋" w:hAnsi="仿宋" w:eastAsia="仿宋" w:cs="仿宋"/>
          <w:color w:val="000000"/>
          <w:sz w:val="32"/>
          <w:szCs w:val="32"/>
          <w:highlight w:val="none"/>
          <w:lang w:eastAsia="zh-CN"/>
        </w:rPr>
        <w:t>响应人</w:t>
      </w:r>
      <w:r>
        <w:rPr>
          <w:rFonts w:hint="eastAsia" w:ascii="仿宋" w:hAnsi="仿宋" w:eastAsia="仿宋" w:cs="仿宋"/>
          <w:color w:val="000000"/>
          <w:sz w:val="32"/>
          <w:szCs w:val="32"/>
          <w:highlight w:val="none"/>
        </w:rPr>
        <w:t>视为无效报价。</w:t>
      </w:r>
    </w:p>
    <w:p w14:paraId="4CDE610E">
      <w:pPr>
        <w:keepNext w:val="0"/>
        <w:keepLines w:val="0"/>
        <w:pageBreakBefore w:val="0"/>
        <w:widowControl w:val="0"/>
        <w:kinsoku/>
        <w:wordWrap/>
        <w:overflowPunct/>
        <w:topLinePunct w:val="0"/>
        <w:autoSpaceDE/>
        <w:autoSpaceDN/>
        <w:bidi w:val="0"/>
        <w:adjustRightInd/>
        <w:snapToGrid w:val="0"/>
        <w:spacing w:line="324" w:lineRule="auto"/>
        <w:ind w:firstLine="640" w:firstLineChars="200"/>
        <w:textAlignment w:val="auto"/>
        <w:outlineLvl w:val="1"/>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6、本项目不接受</w:t>
      </w:r>
      <w:r>
        <w:rPr>
          <w:rFonts w:hint="eastAsia" w:ascii="仿宋" w:hAnsi="仿宋" w:eastAsia="仿宋" w:cs="仿宋"/>
          <w:color w:val="000000"/>
          <w:sz w:val="32"/>
          <w:szCs w:val="32"/>
          <w:highlight w:val="none"/>
          <w:lang w:eastAsia="zh-CN"/>
        </w:rPr>
        <w:t>响应人</w:t>
      </w:r>
      <w:r>
        <w:rPr>
          <w:rFonts w:hint="eastAsia" w:ascii="仿宋" w:hAnsi="仿宋" w:eastAsia="仿宋" w:cs="仿宋"/>
          <w:color w:val="000000"/>
          <w:sz w:val="32"/>
          <w:szCs w:val="32"/>
          <w:highlight w:val="none"/>
        </w:rPr>
        <w:t>其他附加条件。</w:t>
      </w:r>
    </w:p>
    <w:p w14:paraId="6773C560">
      <w:pPr>
        <w:keepNext w:val="0"/>
        <w:keepLines w:val="0"/>
        <w:pageBreakBefore w:val="0"/>
        <w:widowControl w:val="0"/>
        <w:kinsoku/>
        <w:wordWrap/>
        <w:overflowPunct/>
        <w:topLinePunct w:val="0"/>
        <w:autoSpaceDE/>
        <w:autoSpaceDN/>
        <w:bidi w:val="0"/>
        <w:adjustRightInd/>
        <w:snapToGrid w:val="0"/>
        <w:spacing w:line="324" w:lineRule="auto"/>
        <w:ind w:firstLine="640" w:firstLineChars="200"/>
        <w:textAlignment w:val="auto"/>
        <w:outlineLvl w:val="1"/>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7、有下列情形之一的，报价保证金将被没收，并纳入采购人供应商黑名单：</w:t>
      </w:r>
    </w:p>
    <w:p w14:paraId="5673FE1B">
      <w:pPr>
        <w:keepNext w:val="0"/>
        <w:keepLines w:val="0"/>
        <w:pageBreakBefore w:val="0"/>
        <w:widowControl w:val="0"/>
        <w:kinsoku/>
        <w:wordWrap/>
        <w:overflowPunct/>
        <w:topLinePunct w:val="0"/>
        <w:autoSpaceDE/>
        <w:autoSpaceDN/>
        <w:bidi w:val="0"/>
        <w:adjustRightInd/>
        <w:snapToGrid w:val="0"/>
        <w:spacing w:line="324" w:lineRule="auto"/>
        <w:ind w:firstLine="640" w:firstLineChars="200"/>
        <w:textAlignment w:val="auto"/>
        <w:outlineLvl w:val="1"/>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1）中标后无正当理由放弃中标或不与采购人签订合同。</w:t>
      </w:r>
    </w:p>
    <w:p w14:paraId="554E464D">
      <w:pPr>
        <w:keepNext w:val="0"/>
        <w:keepLines w:val="0"/>
        <w:pageBreakBefore w:val="0"/>
        <w:widowControl w:val="0"/>
        <w:kinsoku/>
        <w:wordWrap/>
        <w:overflowPunct/>
        <w:topLinePunct w:val="0"/>
        <w:autoSpaceDE/>
        <w:autoSpaceDN/>
        <w:bidi w:val="0"/>
        <w:adjustRightInd/>
        <w:snapToGrid w:val="0"/>
        <w:spacing w:line="324" w:lineRule="auto"/>
        <w:ind w:firstLine="640" w:firstLineChars="200"/>
        <w:textAlignment w:val="auto"/>
        <w:outlineLvl w:val="1"/>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2）成交人将本项目转让给他人，或者在报价文件中未说明，且未经采购人同意，将中标项目分包给他人。</w:t>
      </w:r>
    </w:p>
    <w:p w14:paraId="0D8BA9E6">
      <w:pPr>
        <w:keepNext w:val="0"/>
        <w:keepLines w:val="0"/>
        <w:pageBreakBefore w:val="0"/>
        <w:widowControl w:val="0"/>
        <w:kinsoku/>
        <w:wordWrap/>
        <w:overflowPunct/>
        <w:topLinePunct w:val="0"/>
        <w:autoSpaceDE/>
        <w:autoSpaceDN/>
        <w:bidi w:val="0"/>
        <w:adjustRightInd/>
        <w:snapToGrid w:val="0"/>
        <w:spacing w:line="324" w:lineRule="auto"/>
        <w:ind w:firstLine="640" w:firstLineChars="200"/>
        <w:textAlignment w:val="auto"/>
        <w:outlineLvl w:val="1"/>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3）</w:t>
      </w:r>
      <w:r>
        <w:rPr>
          <w:rFonts w:hint="eastAsia" w:ascii="仿宋" w:hAnsi="仿宋" w:eastAsia="仿宋" w:cs="仿宋"/>
          <w:color w:val="000000"/>
          <w:sz w:val="32"/>
          <w:szCs w:val="32"/>
          <w:highlight w:val="none"/>
          <w:lang w:eastAsia="zh-CN"/>
        </w:rPr>
        <w:t>响应人</w:t>
      </w:r>
      <w:r>
        <w:rPr>
          <w:rFonts w:hint="eastAsia" w:ascii="仿宋" w:hAnsi="仿宋" w:eastAsia="仿宋" w:cs="仿宋"/>
          <w:color w:val="000000"/>
          <w:sz w:val="32"/>
          <w:szCs w:val="32"/>
          <w:highlight w:val="none"/>
        </w:rPr>
        <w:t>提供虚假报价文件或虚假补充文件。</w:t>
      </w:r>
    </w:p>
    <w:p w14:paraId="16EC4CFF">
      <w:pPr>
        <w:keepNext w:val="0"/>
        <w:keepLines w:val="0"/>
        <w:pageBreakBefore w:val="0"/>
        <w:widowControl w:val="0"/>
        <w:kinsoku/>
        <w:wordWrap/>
        <w:overflowPunct/>
        <w:topLinePunct w:val="0"/>
        <w:autoSpaceDE/>
        <w:autoSpaceDN/>
        <w:bidi w:val="0"/>
        <w:adjustRightInd/>
        <w:snapToGrid w:val="0"/>
        <w:spacing w:line="324" w:lineRule="auto"/>
        <w:ind w:firstLine="640" w:firstLineChars="200"/>
        <w:textAlignment w:val="auto"/>
        <w:outlineLvl w:val="1"/>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8、有下列情形之一的，视为</w:t>
      </w:r>
      <w:r>
        <w:rPr>
          <w:rFonts w:hint="eastAsia" w:ascii="仿宋" w:hAnsi="仿宋" w:eastAsia="仿宋" w:cs="仿宋"/>
          <w:color w:val="000000"/>
          <w:sz w:val="32"/>
          <w:szCs w:val="32"/>
          <w:highlight w:val="none"/>
          <w:lang w:eastAsia="zh-CN"/>
        </w:rPr>
        <w:t>响应人</w:t>
      </w:r>
      <w:r>
        <w:rPr>
          <w:rFonts w:hint="eastAsia" w:ascii="仿宋" w:hAnsi="仿宋" w:eastAsia="仿宋" w:cs="仿宋"/>
          <w:color w:val="000000"/>
          <w:sz w:val="32"/>
          <w:szCs w:val="32"/>
          <w:highlight w:val="none"/>
        </w:rPr>
        <w:t>串通询价，</w:t>
      </w:r>
      <w:r>
        <w:rPr>
          <w:rFonts w:hint="eastAsia" w:eastAsia="仿宋_GB2312"/>
          <w:color w:val="000000"/>
          <w:sz w:val="32"/>
          <w:szCs w:val="32"/>
        </w:rPr>
        <w:t>其</w:t>
      </w:r>
      <w:r>
        <w:rPr>
          <w:rFonts w:hint="eastAsia" w:eastAsia="仿宋_GB2312"/>
          <w:color w:val="000000"/>
          <w:sz w:val="32"/>
          <w:szCs w:val="32"/>
          <w:lang w:val="en-US" w:eastAsia="zh-CN"/>
        </w:rPr>
        <w:t>响应</w:t>
      </w:r>
      <w:r>
        <w:rPr>
          <w:rFonts w:hint="eastAsia" w:eastAsia="仿宋_GB2312"/>
          <w:color w:val="000000"/>
          <w:sz w:val="32"/>
          <w:szCs w:val="32"/>
        </w:rPr>
        <w:t>无效</w:t>
      </w:r>
      <w:r>
        <w:rPr>
          <w:rFonts w:hint="eastAsia" w:eastAsia="仿宋_GB2312"/>
          <w:color w:val="000000"/>
          <w:sz w:val="32"/>
          <w:szCs w:val="32"/>
          <w:lang w:eastAsia="zh-CN"/>
        </w:rPr>
        <w:t>，</w:t>
      </w:r>
      <w:r>
        <w:rPr>
          <w:rFonts w:hint="eastAsia" w:ascii="仿宋" w:hAnsi="仿宋" w:eastAsia="仿宋" w:cs="仿宋"/>
          <w:color w:val="000000"/>
          <w:sz w:val="32"/>
          <w:szCs w:val="32"/>
          <w:highlight w:val="none"/>
          <w:lang w:val="en-US" w:eastAsia="zh-CN"/>
        </w:rPr>
        <w:t>并纳入采购人供应商黑名单</w:t>
      </w:r>
      <w:r>
        <w:rPr>
          <w:rFonts w:hint="eastAsia" w:ascii="仿宋" w:hAnsi="仿宋" w:eastAsia="仿宋" w:cs="仿宋"/>
          <w:color w:val="000000"/>
          <w:sz w:val="32"/>
          <w:szCs w:val="32"/>
          <w:highlight w:val="none"/>
        </w:rPr>
        <w:t>：</w:t>
      </w:r>
    </w:p>
    <w:p w14:paraId="5C99AB23">
      <w:pPr>
        <w:keepNext w:val="0"/>
        <w:keepLines w:val="0"/>
        <w:pageBreakBefore w:val="0"/>
        <w:widowControl w:val="0"/>
        <w:kinsoku/>
        <w:wordWrap/>
        <w:overflowPunct/>
        <w:topLinePunct w:val="0"/>
        <w:autoSpaceDE/>
        <w:autoSpaceDN/>
        <w:bidi w:val="0"/>
        <w:adjustRightInd/>
        <w:snapToGrid w:val="0"/>
        <w:spacing w:line="324" w:lineRule="auto"/>
        <w:ind w:firstLine="640" w:firstLineChars="200"/>
        <w:textAlignment w:val="auto"/>
        <w:outlineLvl w:val="1"/>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（1）不同</w:t>
      </w:r>
      <w:r>
        <w:rPr>
          <w:rFonts w:hint="eastAsia" w:ascii="仿宋" w:hAnsi="仿宋" w:eastAsia="仿宋" w:cs="仿宋"/>
          <w:color w:val="000000"/>
          <w:sz w:val="32"/>
          <w:szCs w:val="32"/>
          <w:highlight w:val="none"/>
          <w:lang w:eastAsia="zh-CN"/>
        </w:rPr>
        <w:t>响应人</w:t>
      </w:r>
      <w:r>
        <w:rPr>
          <w:rFonts w:hint="eastAsia" w:ascii="仿宋" w:hAnsi="仿宋" w:eastAsia="仿宋" w:cs="仿宋"/>
          <w:color w:val="000000"/>
          <w:sz w:val="32"/>
          <w:szCs w:val="32"/>
          <w:highlight w:val="none"/>
        </w:rPr>
        <w:t>的响应文件由同一单位或者个人编制；</w:t>
      </w:r>
    </w:p>
    <w:p w14:paraId="0F5BFD14">
      <w:pPr>
        <w:keepNext w:val="0"/>
        <w:keepLines w:val="0"/>
        <w:pageBreakBefore w:val="0"/>
        <w:widowControl w:val="0"/>
        <w:kinsoku/>
        <w:wordWrap/>
        <w:overflowPunct/>
        <w:topLinePunct w:val="0"/>
        <w:autoSpaceDE/>
        <w:autoSpaceDN/>
        <w:bidi w:val="0"/>
        <w:adjustRightInd/>
        <w:snapToGrid w:val="0"/>
        <w:spacing w:line="324" w:lineRule="auto"/>
        <w:ind w:firstLine="640" w:firstLineChars="200"/>
        <w:textAlignment w:val="auto"/>
        <w:outlineLvl w:val="1"/>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（2）不同</w:t>
      </w:r>
      <w:r>
        <w:rPr>
          <w:rFonts w:hint="eastAsia" w:ascii="仿宋" w:hAnsi="仿宋" w:eastAsia="仿宋" w:cs="仿宋"/>
          <w:color w:val="000000"/>
          <w:sz w:val="32"/>
          <w:szCs w:val="32"/>
          <w:highlight w:val="none"/>
          <w:lang w:eastAsia="zh-CN"/>
        </w:rPr>
        <w:t>响应人</w:t>
      </w:r>
      <w:r>
        <w:rPr>
          <w:rFonts w:hint="eastAsia" w:ascii="仿宋" w:hAnsi="仿宋" w:eastAsia="仿宋" w:cs="仿宋"/>
          <w:color w:val="000000"/>
          <w:sz w:val="32"/>
          <w:szCs w:val="32"/>
          <w:highlight w:val="none"/>
        </w:rPr>
        <w:t>委托同一单位或者个人办理响应事宜；</w:t>
      </w:r>
    </w:p>
    <w:p w14:paraId="60869D78">
      <w:pPr>
        <w:keepNext w:val="0"/>
        <w:keepLines w:val="0"/>
        <w:pageBreakBefore w:val="0"/>
        <w:widowControl w:val="0"/>
        <w:kinsoku/>
        <w:wordWrap/>
        <w:overflowPunct/>
        <w:topLinePunct w:val="0"/>
        <w:autoSpaceDE/>
        <w:autoSpaceDN/>
        <w:bidi w:val="0"/>
        <w:adjustRightInd/>
        <w:snapToGrid w:val="0"/>
        <w:spacing w:line="324" w:lineRule="auto"/>
        <w:ind w:firstLine="640" w:firstLineChars="200"/>
        <w:textAlignment w:val="auto"/>
        <w:outlineLvl w:val="1"/>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（3）不同</w:t>
      </w:r>
      <w:r>
        <w:rPr>
          <w:rFonts w:hint="eastAsia" w:ascii="仿宋" w:hAnsi="仿宋" w:eastAsia="仿宋" w:cs="仿宋"/>
          <w:color w:val="000000"/>
          <w:sz w:val="32"/>
          <w:szCs w:val="32"/>
          <w:highlight w:val="none"/>
          <w:lang w:eastAsia="zh-CN"/>
        </w:rPr>
        <w:t>响应人</w:t>
      </w:r>
      <w:r>
        <w:rPr>
          <w:rFonts w:hint="eastAsia" w:ascii="仿宋" w:hAnsi="仿宋" w:eastAsia="仿宋" w:cs="仿宋"/>
          <w:color w:val="000000"/>
          <w:sz w:val="32"/>
          <w:szCs w:val="32"/>
          <w:highlight w:val="none"/>
        </w:rPr>
        <w:t>的响应文件载明的项目管理成员或者联系人员为同一人；</w:t>
      </w:r>
    </w:p>
    <w:p w14:paraId="0A655E6A">
      <w:pPr>
        <w:keepNext w:val="0"/>
        <w:keepLines w:val="0"/>
        <w:pageBreakBefore w:val="0"/>
        <w:widowControl w:val="0"/>
        <w:kinsoku/>
        <w:wordWrap/>
        <w:overflowPunct/>
        <w:topLinePunct w:val="0"/>
        <w:autoSpaceDE/>
        <w:autoSpaceDN/>
        <w:bidi w:val="0"/>
        <w:adjustRightInd/>
        <w:snapToGrid w:val="0"/>
        <w:spacing w:line="324" w:lineRule="auto"/>
        <w:ind w:firstLine="640" w:firstLineChars="200"/>
        <w:textAlignment w:val="auto"/>
        <w:outlineLvl w:val="1"/>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（4）不同</w:t>
      </w:r>
      <w:r>
        <w:rPr>
          <w:rFonts w:hint="eastAsia" w:ascii="仿宋" w:hAnsi="仿宋" w:eastAsia="仿宋" w:cs="仿宋"/>
          <w:color w:val="000000"/>
          <w:sz w:val="32"/>
          <w:szCs w:val="32"/>
          <w:highlight w:val="none"/>
          <w:lang w:eastAsia="zh-CN"/>
        </w:rPr>
        <w:t>响应人</w:t>
      </w:r>
      <w:r>
        <w:rPr>
          <w:rFonts w:hint="eastAsia" w:ascii="仿宋" w:hAnsi="仿宋" w:eastAsia="仿宋" w:cs="仿宋"/>
          <w:color w:val="000000"/>
          <w:sz w:val="32"/>
          <w:szCs w:val="32"/>
          <w:highlight w:val="none"/>
        </w:rPr>
        <w:t>的响应文件异常一致或者响应报价呈规律性差异；</w:t>
      </w:r>
    </w:p>
    <w:p w14:paraId="7EC33A51">
      <w:pPr>
        <w:keepNext w:val="0"/>
        <w:keepLines w:val="0"/>
        <w:pageBreakBefore w:val="0"/>
        <w:widowControl w:val="0"/>
        <w:kinsoku/>
        <w:wordWrap/>
        <w:overflowPunct/>
        <w:topLinePunct w:val="0"/>
        <w:autoSpaceDE/>
        <w:autoSpaceDN/>
        <w:bidi w:val="0"/>
        <w:adjustRightInd/>
        <w:snapToGrid w:val="0"/>
        <w:spacing w:line="324" w:lineRule="auto"/>
        <w:ind w:firstLine="640" w:firstLineChars="200"/>
        <w:textAlignment w:val="auto"/>
        <w:outlineLvl w:val="1"/>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（5）不同</w:t>
      </w:r>
      <w:r>
        <w:rPr>
          <w:rFonts w:hint="eastAsia" w:ascii="仿宋" w:hAnsi="仿宋" w:eastAsia="仿宋" w:cs="仿宋"/>
          <w:color w:val="000000"/>
          <w:sz w:val="32"/>
          <w:szCs w:val="32"/>
          <w:highlight w:val="none"/>
          <w:lang w:eastAsia="zh-CN"/>
        </w:rPr>
        <w:t>响应人</w:t>
      </w:r>
      <w:r>
        <w:rPr>
          <w:rFonts w:hint="eastAsia" w:ascii="仿宋" w:hAnsi="仿宋" w:eastAsia="仿宋" w:cs="仿宋"/>
          <w:color w:val="000000"/>
          <w:sz w:val="32"/>
          <w:szCs w:val="32"/>
          <w:highlight w:val="none"/>
        </w:rPr>
        <w:t>的响应文件相互混装；</w:t>
      </w:r>
    </w:p>
    <w:p w14:paraId="23B9D1BF">
      <w:pPr>
        <w:keepNext w:val="0"/>
        <w:keepLines w:val="0"/>
        <w:pageBreakBefore w:val="0"/>
        <w:widowControl w:val="0"/>
        <w:kinsoku/>
        <w:wordWrap/>
        <w:overflowPunct/>
        <w:topLinePunct w:val="0"/>
        <w:autoSpaceDE/>
        <w:autoSpaceDN/>
        <w:bidi w:val="0"/>
        <w:adjustRightInd/>
        <w:snapToGrid w:val="0"/>
        <w:spacing w:line="324" w:lineRule="auto"/>
        <w:ind w:firstLine="640" w:firstLineChars="200"/>
        <w:textAlignment w:val="auto"/>
        <w:outlineLvl w:val="1"/>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（6）不同</w:t>
      </w:r>
      <w:r>
        <w:rPr>
          <w:rFonts w:hint="eastAsia" w:ascii="仿宋" w:hAnsi="仿宋" w:eastAsia="仿宋" w:cs="仿宋"/>
          <w:color w:val="000000"/>
          <w:sz w:val="32"/>
          <w:szCs w:val="32"/>
          <w:highlight w:val="none"/>
          <w:lang w:eastAsia="zh-CN"/>
        </w:rPr>
        <w:t>响应人</w:t>
      </w:r>
      <w:r>
        <w:rPr>
          <w:rFonts w:hint="eastAsia" w:ascii="仿宋" w:hAnsi="仿宋" w:eastAsia="仿宋" w:cs="仿宋"/>
          <w:color w:val="000000"/>
          <w:sz w:val="32"/>
          <w:szCs w:val="32"/>
          <w:highlight w:val="none"/>
        </w:rPr>
        <w:t>的响应保证金从同一单位或者个人的账户转出。</w:t>
      </w:r>
    </w:p>
    <w:p w14:paraId="14488A6B">
      <w:pPr>
        <w:keepNext w:val="0"/>
        <w:keepLines w:val="0"/>
        <w:pageBreakBefore w:val="0"/>
        <w:widowControl w:val="0"/>
        <w:kinsoku/>
        <w:wordWrap/>
        <w:overflowPunct/>
        <w:topLinePunct w:val="0"/>
        <w:autoSpaceDE/>
        <w:autoSpaceDN/>
        <w:bidi w:val="0"/>
        <w:adjustRightInd/>
        <w:snapToGrid w:val="0"/>
        <w:spacing w:before="156" w:line="324" w:lineRule="auto"/>
        <w:ind w:firstLine="640" w:firstLineChars="200"/>
        <w:textAlignment w:val="auto"/>
        <w:outlineLvl w:val="1"/>
        <w:rPr>
          <w:rFonts w:ascii="仿宋" w:hAnsi="仿宋" w:eastAsia="仿宋"/>
          <w:sz w:val="32"/>
          <w:szCs w:val="32"/>
          <w:highlight w:val="none"/>
        </w:rPr>
      </w:pPr>
      <w:r>
        <w:rPr>
          <w:rFonts w:hint="eastAsia" w:ascii="仿宋" w:hAnsi="仿宋" w:eastAsia="仿宋" w:cs="仿宋"/>
          <w:color w:val="000000"/>
          <w:sz w:val="32"/>
          <w:szCs w:val="32"/>
          <w:highlight w:val="none"/>
        </w:rPr>
        <w:t>9、已列入采购人及上级单位部门黑名单的</w:t>
      </w:r>
      <w:r>
        <w:rPr>
          <w:rFonts w:hint="eastAsia" w:ascii="仿宋" w:hAnsi="仿宋" w:eastAsia="仿宋" w:cs="仿宋"/>
          <w:color w:val="000000"/>
          <w:sz w:val="32"/>
          <w:szCs w:val="32"/>
          <w:highlight w:val="none"/>
          <w:lang w:eastAsia="zh-CN"/>
        </w:rPr>
        <w:t>响应人</w:t>
      </w:r>
      <w:r>
        <w:rPr>
          <w:rFonts w:hint="eastAsia" w:ascii="仿宋" w:hAnsi="仿宋" w:eastAsia="仿宋" w:cs="仿宋"/>
          <w:color w:val="000000"/>
          <w:sz w:val="32"/>
          <w:szCs w:val="32"/>
          <w:highlight w:val="none"/>
        </w:rPr>
        <w:t>视为无效报价。</w:t>
      </w:r>
      <w:bookmarkEnd w:id="11"/>
    </w:p>
    <w:p w14:paraId="4FDE62B2">
      <w:pPr>
        <w:spacing w:before="156" w:line="600" w:lineRule="exact"/>
        <w:ind w:firstLine="640" w:firstLineChars="200"/>
        <w:jc w:val="right"/>
        <w:rPr>
          <w:rFonts w:eastAsia="仿宋_GB2312"/>
          <w:color w:val="000000"/>
          <w:sz w:val="32"/>
          <w:szCs w:val="32"/>
        </w:rPr>
      </w:pPr>
      <w:r>
        <w:rPr>
          <w:rFonts w:hint="eastAsia" w:eastAsia="仿宋_GB2312"/>
          <w:color w:val="000000"/>
          <w:sz w:val="32"/>
          <w:szCs w:val="32"/>
        </w:rPr>
        <w:t>东莞市新东元环保投资有限公司</w:t>
      </w:r>
    </w:p>
    <w:p w14:paraId="7E8D8F22">
      <w:pPr>
        <w:spacing w:before="156" w:line="600" w:lineRule="exact"/>
        <w:ind w:firstLine="640" w:firstLineChars="200"/>
        <w:jc w:val="right"/>
        <w:rPr>
          <w:rFonts w:eastAsia="仿宋_GB2312"/>
          <w:color w:val="000000"/>
          <w:sz w:val="32"/>
          <w:szCs w:val="32"/>
        </w:rPr>
      </w:pPr>
      <w:r>
        <w:rPr>
          <w:rFonts w:hint="eastAsia" w:eastAsia="仿宋_GB2312"/>
          <w:color w:val="000000"/>
          <w:sz w:val="32"/>
          <w:szCs w:val="32"/>
        </w:rPr>
        <w:t>202</w:t>
      </w:r>
      <w:r>
        <w:rPr>
          <w:rFonts w:hint="eastAsia" w:eastAsia="仿宋_GB2312"/>
          <w:color w:val="000000"/>
          <w:sz w:val="32"/>
          <w:szCs w:val="32"/>
          <w:lang w:val="en-US" w:eastAsia="zh-CN"/>
        </w:rPr>
        <w:t>6</w:t>
      </w:r>
      <w:r>
        <w:rPr>
          <w:rFonts w:hint="eastAsia" w:eastAsia="仿宋_GB2312"/>
          <w:color w:val="000000"/>
          <w:sz w:val="32"/>
          <w:szCs w:val="32"/>
        </w:rPr>
        <w:t>年</w:t>
      </w:r>
      <w:r>
        <w:rPr>
          <w:rFonts w:hint="eastAsia" w:eastAsia="仿宋_GB2312"/>
          <w:color w:val="000000"/>
          <w:sz w:val="32"/>
          <w:szCs w:val="32"/>
          <w:lang w:val="en-US" w:eastAsia="zh-CN"/>
        </w:rPr>
        <w:t xml:space="preserve">4 </w:t>
      </w:r>
      <w:r>
        <w:rPr>
          <w:rFonts w:hint="eastAsia" w:eastAsia="仿宋_GB2312"/>
          <w:color w:val="000000"/>
          <w:sz w:val="32"/>
          <w:szCs w:val="32"/>
        </w:rPr>
        <w:t>月</w:t>
      </w:r>
      <w:r>
        <w:rPr>
          <w:rFonts w:hint="eastAsia" w:eastAsia="仿宋_GB2312"/>
          <w:color w:val="000000"/>
          <w:sz w:val="32"/>
          <w:szCs w:val="32"/>
          <w:lang w:val="en-US" w:eastAsia="zh-CN"/>
        </w:rPr>
        <w:t xml:space="preserve"> 15 </w:t>
      </w:r>
      <w:r>
        <w:rPr>
          <w:rFonts w:hint="eastAsia" w:eastAsia="仿宋_GB2312"/>
          <w:color w:val="000000"/>
          <w:sz w:val="32"/>
          <w:szCs w:val="32"/>
        </w:rPr>
        <w:t>日</w:t>
      </w:r>
    </w:p>
    <w:p w14:paraId="688226CB">
      <w:pPr>
        <w:spacing w:before="156" w:line="600" w:lineRule="exact"/>
        <w:ind w:firstLine="640" w:firstLineChars="200"/>
        <w:rPr>
          <w:rFonts w:eastAsia="仿宋_GB2312"/>
          <w:color w:val="000000"/>
          <w:sz w:val="32"/>
          <w:szCs w:val="32"/>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720" w:num="1"/>
          <w:docGrid w:type="lines" w:linePitch="312" w:charSpace="0"/>
        </w:sectPr>
      </w:pPr>
    </w:p>
    <w:p w14:paraId="11ADEFDC">
      <w:pPr>
        <w:pStyle w:val="255"/>
        <w:numPr>
          <w:ilvl w:val="0"/>
          <w:numId w:val="5"/>
        </w:numPr>
        <w:spacing w:before="156"/>
        <w:ind w:left="420" w:firstLineChars="0"/>
        <w:outlineLvl w:val="1"/>
        <w:rPr>
          <w:rFonts w:ascii="仿宋" w:hAnsi="仿宋" w:eastAsia="仿宋"/>
          <w:b/>
          <w:bCs/>
          <w:sz w:val="28"/>
          <w:szCs w:val="44"/>
        </w:rPr>
      </w:pPr>
      <w:bookmarkStart w:id="12" w:name="_Hlk524442005"/>
      <w:r>
        <w:rPr>
          <w:rFonts w:hint="eastAsia" w:ascii="仿宋" w:hAnsi="仿宋" w:eastAsia="仿宋"/>
          <w:b/>
          <w:bCs/>
          <w:sz w:val="28"/>
          <w:szCs w:val="44"/>
        </w:rPr>
        <w:t>密封文件袋封面</w:t>
      </w:r>
    </w:p>
    <w:p w14:paraId="6853F778">
      <w:pPr>
        <w:adjustRightInd w:val="0"/>
        <w:snapToGrid w:val="0"/>
        <w:spacing w:before="156"/>
        <w:jc w:val="center"/>
        <w:rPr>
          <w:rFonts w:hint="eastAsia" w:ascii="仿宋" w:hAnsi="仿宋" w:eastAsia="仿宋"/>
          <w:b/>
          <w:bCs/>
          <w:sz w:val="52"/>
          <w:szCs w:val="52"/>
        </w:rPr>
      </w:pPr>
    </w:p>
    <w:p w14:paraId="0043637B">
      <w:pPr>
        <w:adjustRightInd w:val="0"/>
        <w:snapToGrid w:val="0"/>
        <w:spacing w:before="156"/>
        <w:jc w:val="center"/>
        <w:rPr>
          <w:rFonts w:hint="eastAsia" w:ascii="仿宋" w:hAnsi="仿宋" w:eastAsia="仿宋"/>
          <w:b/>
          <w:bCs/>
          <w:sz w:val="52"/>
          <w:szCs w:val="52"/>
        </w:rPr>
      </w:pPr>
    </w:p>
    <w:p w14:paraId="422AFA24">
      <w:pPr>
        <w:adjustRightInd w:val="0"/>
        <w:snapToGrid w:val="0"/>
        <w:spacing w:before="156"/>
        <w:jc w:val="center"/>
        <w:rPr>
          <w:rFonts w:ascii="仿宋" w:hAnsi="仿宋" w:eastAsia="仿宋"/>
          <w:b/>
          <w:bCs/>
          <w:sz w:val="52"/>
          <w:szCs w:val="52"/>
        </w:rPr>
      </w:pPr>
      <w:r>
        <w:rPr>
          <w:rFonts w:hint="eastAsia" w:ascii="仿宋" w:hAnsi="仿宋" w:eastAsia="仿宋"/>
          <w:b/>
          <w:bCs/>
          <w:sz w:val="52"/>
          <w:szCs w:val="52"/>
        </w:rPr>
        <w:t>东莞市海心沙资源综合利用中心环保热电厂垃圾储坑渗滤液格栅维修采购项目响应文件</w:t>
      </w:r>
    </w:p>
    <w:p w14:paraId="11E6B959">
      <w:pPr>
        <w:spacing w:before="156"/>
        <w:rPr>
          <w:rFonts w:ascii="仿宋" w:hAnsi="仿宋" w:eastAsia="仿宋"/>
          <w:sz w:val="32"/>
          <w:szCs w:val="32"/>
        </w:rPr>
      </w:pPr>
    </w:p>
    <w:p w14:paraId="7F721CBA">
      <w:pPr>
        <w:spacing w:before="156"/>
        <w:rPr>
          <w:rFonts w:ascii="仿宋" w:hAnsi="仿宋" w:eastAsia="仿宋"/>
          <w:sz w:val="32"/>
          <w:szCs w:val="32"/>
        </w:rPr>
      </w:pPr>
    </w:p>
    <w:p w14:paraId="0F995CB6">
      <w:pPr>
        <w:spacing w:before="156"/>
        <w:rPr>
          <w:rFonts w:ascii="仿宋" w:hAnsi="仿宋" w:eastAsia="仿宋"/>
          <w:sz w:val="32"/>
          <w:szCs w:val="32"/>
        </w:rPr>
      </w:pPr>
    </w:p>
    <w:p w14:paraId="0D0DE080">
      <w:pPr>
        <w:spacing w:before="156"/>
        <w:rPr>
          <w:rFonts w:ascii="仿宋" w:hAnsi="仿宋" w:eastAsia="仿宋"/>
          <w:sz w:val="32"/>
          <w:szCs w:val="32"/>
        </w:rPr>
      </w:pPr>
    </w:p>
    <w:p w14:paraId="1B749B1D">
      <w:pPr>
        <w:spacing w:before="156"/>
        <w:ind w:firstLine="566" w:firstLineChars="177"/>
        <w:rPr>
          <w:rFonts w:ascii="仿宋" w:hAnsi="仿宋" w:eastAsia="仿宋"/>
          <w:sz w:val="32"/>
          <w:szCs w:val="32"/>
        </w:rPr>
      </w:pPr>
      <w:r>
        <w:rPr>
          <w:rFonts w:hint="eastAsia" w:ascii="仿宋" w:hAnsi="仿宋" w:eastAsia="仿宋"/>
          <w:sz w:val="32"/>
          <w:szCs w:val="32"/>
          <w:lang w:eastAsia="zh-CN"/>
        </w:rPr>
        <w:t>响应人</w:t>
      </w:r>
      <w:r>
        <w:rPr>
          <w:rFonts w:hint="eastAsia" w:ascii="仿宋" w:hAnsi="仿宋" w:eastAsia="仿宋"/>
          <w:sz w:val="32"/>
          <w:szCs w:val="32"/>
        </w:rPr>
        <w:t>名称（加盖公章）：</w:t>
      </w:r>
      <w:r>
        <w:rPr>
          <w:rFonts w:hint="eastAsia" w:ascii="仿宋" w:hAnsi="仿宋" w:eastAsia="仿宋"/>
          <w:sz w:val="32"/>
          <w:szCs w:val="32"/>
          <w:u w:val="single"/>
        </w:rPr>
        <w:t xml:space="preserve"> </w:t>
      </w:r>
      <w:r>
        <w:rPr>
          <w:rFonts w:ascii="仿宋" w:hAnsi="仿宋" w:eastAsia="仿宋"/>
          <w:sz w:val="32"/>
          <w:szCs w:val="32"/>
          <w:u w:val="single"/>
        </w:rPr>
        <w:t xml:space="preserve">                        </w:t>
      </w:r>
    </w:p>
    <w:p w14:paraId="5C3DB614">
      <w:pPr>
        <w:spacing w:before="156"/>
        <w:ind w:firstLine="566" w:firstLineChars="177"/>
        <w:rPr>
          <w:rFonts w:ascii="仿宋" w:hAnsi="仿宋" w:eastAsia="仿宋"/>
          <w:sz w:val="32"/>
          <w:szCs w:val="32"/>
        </w:rPr>
      </w:pPr>
      <w:r>
        <w:rPr>
          <w:rFonts w:hint="eastAsia" w:ascii="仿宋" w:hAnsi="仿宋" w:eastAsia="仿宋"/>
          <w:sz w:val="32"/>
          <w:szCs w:val="32"/>
        </w:rPr>
        <w:t>联系人：</w:t>
      </w:r>
      <w:r>
        <w:rPr>
          <w:rFonts w:hint="eastAsia" w:ascii="仿宋" w:hAnsi="仿宋" w:eastAsia="仿宋"/>
          <w:sz w:val="32"/>
          <w:szCs w:val="32"/>
          <w:u w:val="single"/>
        </w:rPr>
        <w:t xml:space="preserve"> </w:t>
      </w:r>
      <w:r>
        <w:rPr>
          <w:rFonts w:ascii="仿宋" w:hAnsi="仿宋" w:eastAsia="仿宋"/>
          <w:sz w:val="32"/>
          <w:szCs w:val="32"/>
          <w:u w:val="single"/>
        </w:rPr>
        <w:t xml:space="preserve">                        </w:t>
      </w:r>
    </w:p>
    <w:p w14:paraId="5C688D91">
      <w:pPr>
        <w:spacing w:before="156"/>
        <w:ind w:firstLine="566" w:firstLineChars="177"/>
        <w:rPr>
          <w:rFonts w:ascii="仿宋" w:hAnsi="仿宋" w:eastAsia="仿宋"/>
          <w:sz w:val="32"/>
          <w:szCs w:val="32"/>
        </w:rPr>
      </w:pPr>
      <w:r>
        <w:rPr>
          <w:rFonts w:hint="eastAsia" w:ascii="仿宋" w:hAnsi="仿宋" w:eastAsia="仿宋"/>
          <w:sz w:val="32"/>
          <w:szCs w:val="32"/>
        </w:rPr>
        <w:t>联系电话：</w:t>
      </w:r>
      <w:r>
        <w:rPr>
          <w:rFonts w:hint="eastAsia" w:ascii="仿宋" w:hAnsi="仿宋" w:eastAsia="仿宋"/>
          <w:sz w:val="32"/>
          <w:szCs w:val="32"/>
          <w:u w:val="single"/>
        </w:rPr>
        <w:t xml:space="preserve"> </w:t>
      </w:r>
      <w:r>
        <w:rPr>
          <w:rFonts w:ascii="仿宋" w:hAnsi="仿宋" w:eastAsia="仿宋"/>
          <w:sz w:val="32"/>
          <w:szCs w:val="32"/>
          <w:u w:val="single"/>
        </w:rPr>
        <w:t xml:space="preserve">                        </w:t>
      </w:r>
    </w:p>
    <w:p w14:paraId="1CFB0898">
      <w:pPr>
        <w:spacing w:before="156"/>
        <w:ind w:firstLine="566" w:firstLineChars="177"/>
        <w:rPr>
          <w:rFonts w:ascii="仿宋" w:hAnsi="仿宋" w:eastAsia="仿宋"/>
          <w:sz w:val="32"/>
          <w:szCs w:val="32"/>
          <w:u w:val="single"/>
        </w:rPr>
      </w:pPr>
      <w:r>
        <w:rPr>
          <w:rFonts w:hint="eastAsia" w:ascii="仿宋" w:hAnsi="仿宋" w:eastAsia="仿宋"/>
          <w:sz w:val="32"/>
          <w:szCs w:val="32"/>
        </w:rPr>
        <w:t>日期：</w:t>
      </w:r>
      <w:r>
        <w:rPr>
          <w:rFonts w:hint="eastAsia" w:ascii="仿宋" w:hAnsi="仿宋" w:eastAsia="仿宋"/>
          <w:sz w:val="32"/>
          <w:szCs w:val="32"/>
          <w:u w:val="single"/>
        </w:rPr>
        <w:t xml:space="preserve"> </w:t>
      </w:r>
      <w:r>
        <w:rPr>
          <w:rFonts w:ascii="仿宋" w:hAnsi="仿宋" w:eastAsia="仿宋"/>
          <w:sz w:val="32"/>
          <w:szCs w:val="32"/>
          <w:u w:val="single"/>
        </w:rPr>
        <w:t xml:space="preserve">                         </w:t>
      </w:r>
    </w:p>
    <w:p w14:paraId="2388E57F">
      <w:pPr>
        <w:pStyle w:val="2"/>
        <w:spacing w:before="156"/>
        <w:ind w:left="0" w:leftChars="0" w:firstLine="480"/>
      </w:pPr>
    </w:p>
    <w:p w14:paraId="4D6AF4D0">
      <w:pPr>
        <w:pStyle w:val="2"/>
        <w:spacing w:before="156"/>
        <w:ind w:left="0" w:leftChars="0" w:firstLine="480"/>
      </w:pPr>
    </w:p>
    <w:p w14:paraId="3E00E191">
      <w:pPr>
        <w:pStyle w:val="2"/>
        <w:spacing w:before="156"/>
        <w:ind w:left="0" w:leftChars="0" w:firstLine="480"/>
      </w:pPr>
    </w:p>
    <w:p w14:paraId="611F35BC">
      <w:pPr>
        <w:spacing w:before="156"/>
        <w:ind w:left="0" w:leftChars="0"/>
      </w:pPr>
    </w:p>
    <w:p w14:paraId="03EBBEEE">
      <w:pPr>
        <w:pStyle w:val="255"/>
        <w:numPr>
          <w:ilvl w:val="0"/>
          <w:numId w:val="5"/>
        </w:numPr>
        <w:spacing w:before="156"/>
        <w:ind w:left="420" w:firstLineChars="0"/>
        <w:outlineLvl w:val="1"/>
        <w:rPr>
          <w:rFonts w:ascii="仿宋" w:hAnsi="仿宋" w:eastAsia="仿宋"/>
          <w:b/>
          <w:bCs/>
          <w:sz w:val="28"/>
          <w:szCs w:val="44"/>
        </w:rPr>
      </w:pPr>
      <w:r>
        <w:rPr>
          <w:rFonts w:ascii="仿宋" w:hAnsi="仿宋" w:eastAsia="仿宋"/>
          <w:b/>
          <w:bCs/>
          <w:sz w:val="28"/>
          <w:szCs w:val="44"/>
        </w:rPr>
        <w:t>报价函</w:t>
      </w:r>
    </w:p>
    <w:p w14:paraId="1EF60360">
      <w:pPr>
        <w:spacing w:before="156"/>
        <w:jc w:val="center"/>
        <w:rPr>
          <w:rFonts w:ascii="仿宋" w:hAnsi="仿宋" w:eastAsia="仿宋"/>
          <w:sz w:val="44"/>
          <w:szCs w:val="44"/>
        </w:rPr>
      </w:pPr>
      <w:r>
        <w:rPr>
          <w:rFonts w:ascii="仿宋" w:hAnsi="仿宋" w:eastAsia="仿宋"/>
          <w:sz w:val="44"/>
          <w:szCs w:val="44"/>
        </w:rPr>
        <w:t>报价函</w:t>
      </w:r>
    </w:p>
    <w:p w14:paraId="7BB634F8">
      <w:pPr>
        <w:spacing w:before="156"/>
        <w:ind w:firstLine="560"/>
        <w:rPr>
          <w:rFonts w:ascii="仿宋" w:hAnsi="仿宋" w:eastAsia="仿宋"/>
          <w:sz w:val="32"/>
          <w:szCs w:val="32"/>
        </w:rPr>
      </w:pPr>
    </w:p>
    <w:p w14:paraId="4196838A">
      <w:pPr>
        <w:spacing w:before="156"/>
        <w:rPr>
          <w:rFonts w:ascii="仿宋" w:hAnsi="仿宋" w:eastAsia="仿宋"/>
          <w:sz w:val="32"/>
          <w:szCs w:val="32"/>
        </w:rPr>
      </w:pPr>
      <w:r>
        <w:rPr>
          <w:rFonts w:ascii="仿宋" w:hAnsi="仿宋" w:eastAsia="仿宋"/>
          <w:sz w:val="32"/>
          <w:szCs w:val="32"/>
        </w:rPr>
        <w:t>东莞市</w:t>
      </w:r>
      <w:r>
        <w:rPr>
          <w:rFonts w:hint="eastAsia" w:ascii="仿宋" w:hAnsi="仿宋" w:eastAsia="仿宋"/>
          <w:sz w:val="32"/>
          <w:szCs w:val="32"/>
        </w:rPr>
        <w:t>新东元</w:t>
      </w:r>
      <w:r>
        <w:rPr>
          <w:rFonts w:ascii="仿宋" w:hAnsi="仿宋" w:eastAsia="仿宋"/>
          <w:sz w:val="32"/>
          <w:szCs w:val="32"/>
        </w:rPr>
        <w:t>环保投资有限公司：</w:t>
      </w:r>
    </w:p>
    <w:p w14:paraId="111B395A">
      <w:pPr>
        <w:spacing w:before="156"/>
        <w:ind w:firstLine="640" w:firstLineChars="200"/>
        <w:rPr>
          <w:rFonts w:hint="eastAsia" w:ascii="仿宋" w:hAnsi="仿宋" w:eastAsia="仿宋"/>
          <w:sz w:val="32"/>
          <w:szCs w:val="32"/>
          <w:lang w:eastAsia="zh-CN"/>
        </w:rPr>
      </w:pPr>
      <w:r>
        <w:rPr>
          <w:rFonts w:ascii="仿宋" w:hAnsi="仿宋" w:eastAsia="仿宋"/>
          <w:sz w:val="32"/>
          <w:szCs w:val="32"/>
        </w:rPr>
        <w:t>针对贵司关于</w:t>
      </w:r>
      <w:r>
        <w:rPr>
          <w:rFonts w:hint="eastAsia" w:eastAsia="仿宋_GB2312"/>
          <w:color w:val="000000"/>
          <w:sz w:val="32"/>
          <w:szCs w:val="32"/>
          <w:u w:val="single"/>
          <w:lang w:eastAsia="zh-CN"/>
        </w:rPr>
        <w:t>东莞市海心沙资源综合利用中心环保热电厂垃圾储坑渗滤液格栅维修采购项目</w:t>
      </w:r>
      <w:r>
        <w:rPr>
          <w:rFonts w:ascii="仿宋" w:hAnsi="仿宋" w:eastAsia="仿宋"/>
          <w:sz w:val="32"/>
          <w:szCs w:val="32"/>
        </w:rPr>
        <w:t>，我司愿意以价税合计人民币xxxx元（大写），</w:t>
      </w:r>
      <w:r>
        <w:rPr>
          <w:rFonts w:ascii="Calibri" w:hAnsi="Calibri" w:eastAsia="仿宋" w:cs="Calibri"/>
          <w:sz w:val="32"/>
          <w:szCs w:val="32"/>
        </w:rPr>
        <w:t>¥</w:t>
      </w:r>
      <w:r>
        <w:rPr>
          <w:rFonts w:ascii="仿宋" w:hAnsi="仿宋" w:eastAsia="仿宋"/>
          <w:sz w:val="32"/>
          <w:szCs w:val="32"/>
        </w:rPr>
        <w:t>xxx.00（小写）</w:t>
      </w:r>
      <w:r>
        <w:rPr>
          <w:rFonts w:hint="eastAsia" w:ascii="仿宋" w:hAnsi="仿宋" w:eastAsia="仿宋"/>
          <w:sz w:val="32"/>
          <w:szCs w:val="32"/>
        </w:rPr>
        <w:t>承接此项目的</w:t>
      </w:r>
      <w:r>
        <w:rPr>
          <w:rFonts w:hint="eastAsia" w:ascii="仿宋" w:hAnsi="仿宋" w:eastAsia="仿宋"/>
          <w:sz w:val="32"/>
          <w:szCs w:val="32"/>
          <w:lang w:val="en-US" w:eastAsia="zh-CN"/>
        </w:rPr>
        <w:t>设计、供货及安装维修</w:t>
      </w:r>
      <w:r>
        <w:rPr>
          <w:rFonts w:hint="eastAsia" w:ascii="仿宋" w:hAnsi="仿宋" w:eastAsia="仿宋"/>
          <w:sz w:val="32"/>
          <w:szCs w:val="32"/>
        </w:rPr>
        <w:t>工作</w:t>
      </w:r>
      <w:r>
        <w:rPr>
          <w:rFonts w:hint="eastAsia" w:ascii="仿宋" w:hAnsi="仿宋" w:eastAsia="仿宋"/>
          <w:sz w:val="32"/>
          <w:szCs w:val="32"/>
          <w:lang w:eastAsia="zh-CN"/>
        </w:rPr>
        <w:t>。</w:t>
      </w:r>
    </w:p>
    <w:p w14:paraId="164112D0">
      <w:pPr>
        <w:spacing w:before="156"/>
        <w:rPr>
          <w:rFonts w:ascii="仿宋" w:hAnsi="仿宋" w:eastAsia="仿宋"/>
          <w:sz w:val="32"/>
          <w:szCs w:val="32"/>
        </w:rPr>
      </w:pPr>
    </w:p>
    <w:p w14:paraId="429192C1">
      <w:pPr>
        <w:spacing w:before="156"/>
        <w:rPr>
          <w:rFonts w:ascii="仿宋" w:hAnsi="仿宋" w:eastAsia="仿宋"/>
          <w:sz w:val="32"/>
          <w:szCs w:val="32"/>
        </w:rPr>
      </w:pPr>
    </w:p>
    <w:p w14:paraId="133BFFBF">
      <w:pPr>
        <w:spacing w:before="156"/>
        <w:rPr>
          <w:rFonts w:ascii="仿宋" w:hAnsi="仿宋" w:eastAsia="仿宋"/>
          <w:sz w:val="32"/>
          <w:szCs w:val="32"/>
        </w:rPr>
      </w:pPr>
      <w:r>
        <w:rPr>
          <w:rFonts w:hint="eastAsia" w:ascii="仿宋" w:hAnsi="仿宋" w:eastAsia="仿宋"/>
          <w:sz w:val="32"/>
          <w:szCs w:val="32"/>
          <w:lang w:eastAsia="zh-CN"/>
        </w:rPr>
        <w:t>响应人</w:t>
      </w:r>
      <w:r>
        <w:rPr>
          <w:rFonts w:ascii="仿宋" w:hAnsi="仿宋" w:eastAsia="仿宋"/>
          <w:sz w:val="32"/>
          <w:szCs w:val="32"/>
        </w:rPr>
        <w:t>名称（加盖公章）：</w:t>
      </w:r>
    </w:p>
    <w:p w14:paraId="4815C463">
      <w:pPr>
        <w:wordWrap w:val="0"/>
        <w:spacing w:before="156"/>
        <w:rPr>
          <w:rFonts w:ascii="仿宋" w:hAnsi="仿宋" w:eastAsia="仿宋"/>
          <w:sz w:val="32"/>
          <w:szCs w:val="32"/>
        </w:rPr>
      </w:pPr>
      <w:r>
        <w:rPr>
          <w:rFonts w:ascii="仿宋" w:hAnsi="仿宋" w:eastAsia="仿宋"/>
          <w:sz w:val="32"/>
          <w:szCs w:val="32"/>
        </w:rPr>
        <w:t>法定代表人（签名或盖章）：</w:t>
      </w:r>
    </w:p>
    <w:p w14:paraId="4C6B01AD">
      <w:pPr>
        <w:wordWrap w:val="0"/>
        <w:spacing w:before="156"/>
        <w:rPr>
          <w:rFonts w:ascii="仿宋" w:hAnsi="仿宋" w:eastAsia="仿宋"/>
          <w:sz w:val="32"/>
          <w:szCs w:val="32"/>
        </w:rPr>
      </w:pPr>
      <w:r>
        <w:rPr>
          <w:rFonts w:ascii="仿宋" w:hAnsi="仿宋" w:eastAsia="仿宋"/>
          <w:sz w:val="32"/>
          <w:szCs w:val="32"/>
        </w:rPr>
        <w:t>联系人：</w:t>
      </w:r>
    </w:p>
    <w:p w14:paraId="493C5620">
      <w:pPr>
        <w:wordWrap w:val="0"/>
        <w:spacing w:before="156"/>
        <w:rPr>
          <w:rFonts w:ascii="仿宋" w:hAnsi="仿宋" w:eastAsia="仿宋"/>
          <w:sz w:val="32"/>
          <w:szCs w:val="32"/>
        </w:rPr>
      </w:pPr>
      <w:r>
        <w:rPr>
          <w:rFonts w:ascii="仿宋" w:hAnsi="仿宋" w:eastAsia="仿宋"/>
          <w:sz w:val="32"/>
          <w:szCs w:val="32"/>
        </w:rPr>
        <w:t>联系电话：</w:t>
      </w:r>
    </w:p>
    <w:p w14:paraId="50894ADC">
      <w:pPr>
        <w:wordWrap w:val="0"/>
        <w:spacing w:before="156"/>
        <w:rPr>
          <w:rFonts w:ascii="仿宋" w:hAnsi="仿宋" w:eastAsia="仿宋"/>
          <w:sz w:val="32"/>
          <w:szCs w:val="32"/>
        </w:rPr>
      </w:pPr>
      <w:r>
        <w:rPr>
          <w:rFonts w:ascii="仿宋" w:hAnsi="仿宋" w:eastAsia="仿宋"/>
          <w:sz w:val="32"/>
          <w:szCs w:val="32"/>
        </w:rPr>
        <w:t>日期：</w:t>
      </w:r>
    </w:p>
    <w:p w14:paraId="0FADF4C5">
      <w:pPr>
        <w:spacing w:before="156"/>
        <w:rPr>
          <w:rFonts w:ascii="宋体" w:hAnsi="宋体"/>
          <w:sz w:val="36"/>
          <w:szCs w:val="36"/>
        </w:rPr>
      </w:pPr>
    </w:p>
    <w:p w14:paraId="20DD6B2C">
      <w:pPr>
        <w:widowControl/>
        <w:spacing w:beforeLines="0" w:line="240" w:lineRule="auto"/>
        <w:rPr>
          <w:rFonts w:ascii="宋体" w:hAnsi="宋体"/>
          <w:sz w:val="36"/>
          <w:szCs w:val="36"/>
        </w:rPr>
      </w:pPr>
      <w:r>
        <w:rPr>
          <w:rFonts w:ascii="宋体" w:hAnsi="宋体"/>
          <w:sz w:val="36"/>
          <w:szCs w:val="36"/>
        </w:rPr>
        <w:br w:type="page"/>
      </w:r>
    </w:p>
    <w:p w14:paraId="3726DBA5">
      <w:pPr>
        <w:spacing w:before="156"/>
        <w:jc w:val="center"/>
        <w:rPr>
          <w:rFonts w:ascii="宋体" w:hAnsi="宋体"/>
          <w:sz w:val="32"/>
          <w:szCs w:val="32"/>
        </w:rPr>
      </w:pPr>
      <w:r>
        <w:rPr>
          <w:rFonts w:hint="eastAsia" w:ascii="宋体" w:hAnsi="宋体"/>
          <w:sz w:val="36"/>
          <w:szCs w:val="36"/>
        </w:rPr>
        <w:t>报价清单（格式自拟）</w:t>
      </w:r>
    </w:p>
    <w:p w14:paraId="7BF1D4D0">
      <w:pPr>
        <w:wordWrap w:val="0"/>
        <w:spacing w:before="156"/>
        <w:rPr>
          <w:rFonts w:ascii="仿宋" w:hAnsi="仿宋" w:eastAsia="仿宋"/>
          <w:sz w:val="32"/>
          <w:szCs w:val="32"/>
        </w:rPr>
      </w:pPr>
    </w:p>
    <w:p w14:paraId="38DD3DB8">
      <w:pPr>
        <w:wordWrap w:val="0"/>
        <w:spacing w:before="156"/>
        <w:rPr>
          <w:rFonts w:ascii="仿宋" w:hAnsi="仿宋" w:eastAsia="仿宋"/>
          <w:sz w:val="32"/>
          <w:szCs w:val="32"/>
        </w:rPr>
      </w:pPr>
    </w:p>
    <w:p w14:paraId="5E41C154">
      <w:pPr>
        <w:wordWrap w:val="0"/>
        <w:spacing w:before="156"/>
        <w:rPr>
          <w:rFonts w:ascii="仿宋" w:hAnsi="仿宋" w:eastAsia="仿宋"/>
          <w:sz w:val="32"/>
          <w:szCs w:val="32"/>
        </w:rPr>
      </w:pPr>
    </w:p>
    <w:p w14:paraId="31B759AF">
      <w:pPr>
        <w:wordWrap w:val="0"/>
        <w:spacing w:before="156"/>
        <w:rPr>
          <w:rFonts w:ascii="仿宋" w:hAnsi="仿宋" w:eastAsia="仿宋"/>
          <w:sz w:val="32"/>
          <w:szCs w:val="32"/>
        </w:rPr>
      </w:pPr>
    </w:p>
    <w:p w14:paraId="7B73E557">
      <w:pPr>
        <w:wordWrap w:val="0"/>
        <w:spacing w:before="156"/>
        <w:rPr>
          <w:rFonts w:ascii="仿宋" w:hAnsi="仿宋" w:eastAsia="仿宋"/>
          <w:sz w:val="32"/>
          <w:szCs w:val="32"/>
        </w:rPr>
      </w:pPr>
    </w:p>
    <w:p w14:paraId="5985ED16">
      <w:pPr>
        <w:wordWrap w:val="0"/>
        <w:spacing w:before="156"/>
        <w:rPr>
          <w:rFonts w:ascii="仿宋" w:hAnsi="仿宋" w:eastAsia="仿宋"/>
          <w:sz w:val="32"/>
          <w:szCs w:val="32"/>
        </w:rPr>
      </w:pPr>
    </w:p>
    <w:p w14:paraId="483E15D5">
      <w:pPr>
        <w:wordWrap w:val="0"/>
        <w:spacing w:before="156"/>
        <w:rPr>
          <w:rFonts w:ascii="仿宋" w:hAnsi="仿宋" w:eastAsia="仿宋"/>
          <w:sz w:val="32"/>
          <w:szCs w:val="32"/>
        </w:rPr>
      </w:pPr>
    </w:p>
    <w:p w14:paraId="07BEE696">
      <w:pPr>
        <w:wordWrap w:val="0"/>
        <w:spacing w:before="156"/>
        <w:rPr>
          <w:rFonts w:ascii="仿宋" w:hAnsi="仿宋" w:eastAsia="仿宋"/>
          <w:sz w:val="32"/>
          <w:szCs w:val="32"/>
        </w:rPr>
      </w:pPr>
    </w:p>
    <w:p w14:paraId="57C5BF63">
      <w:pPr>
        <w:wordWrap w:val="0"/>
        <w:spacing w:before="156"/>
        <w:rPr>
          <w:rFonts w:ascii="仿宋" w:hAnsi="仿宋" w:eastAsia="仿宋"/>
          <w:sz w:val="32"/>
          <w:szCs w:val="32"/>
        </w:rPr>
      </w:pPr>
    </w:p>
    <w:p w14:paraId="764A34FA">
      <w:pPr>
        <w:wordWrap w:val="0"/>
        <w:spacing w:before="156"/>
        <w:rPr>
          <w:rFonts w:ascii="仿宋" w:hAnsi="仿宋" w:eastAsia="仿宋"/>
          <w:sz w:val="32"/>
          <w:szCs w:val="32"/>
        </w:rPr>
      </w:pPr>
    </w:p>
    <w:p w14:paraId="755CE89B">
      <w:pPr>
        <w:wordWrap w:val="0"/>
        <w:spacing w:before="156"/>
        <w:rPr>
          <w:rFonts w:ascii="仿宋" w:hAnsi="仿宋" w:eastAsia="仿宋"/>
          <w:sz w:val="32"/>
          <w:szCs w:val="32"/>
        </w:rPr>
      </w:pPr>
    </w:p>
    <w:p w14:paraId="7CEAD70D">
      <w:pPr>
        <w:wordWrap w:val="0"/>
        <w:spacing w:before="156"/>
        <w:rPr>
          <w:rFonts w:ascii="仿宋" w:hAnsi="仿宋" w:eastAsia="仿宋"/>
          <w:sz w:val="32"/>
          <w:szCs w:val="32"/>
        </w:rPr>
      </w:pPr>
    </w:p>
    <w:p w14:paraId="39CAE3B8">
      <w:pPr>
        <w:wordWrap w:val="0"/>
        <w:spacing w:before="156"/>
        <w:rPr>
          <w:rFonts w:ascii="仿宋" w:hAnsi="仿宋" w:eastAsia="仿宋"/>
          <w:sz w:val="32"/>
          <w:szCs w:val="32"/>
        </w:rPr>
      </w:pPr>
    </w:p>
    <w:p w14:paraId="6E98BFE4">
      <w:pPr>
        <w:widowControl/>
        <w:spacing w:beforeLines="0" w:line="240" w:lineRule="auto"/>
        <w:rPr>
          <w:rFonts w:asciiTheme="minorEastAsia" w:hAnsiTheme="minorEastAsia" w:eastAsiaTheme="minorEastAsia"/>
          <w:b/>
          <w:sz w:val="52"/>
          <w:szCs w:val="52"/>
        </w:rPr>
      </w:pPr>
      <w:r>
        <w:rPr>
          <w:rFonts w:asciiTheme="minorEastAsia" w:hAnsiTheme="minorEastAsia" w:eastAsiaTheme="minorEastAsia"/>
          <w:b/>
          <w:sz w:val="52"/>
          <w:szCs w:val="52"/>
        </w:rPr>
        <w:br w:type="page"/>
      </w:r>
    </w:p>
    <w:p w14:paraId="28B20636">
      <w:pPr>
        <w:pStyle w:val="255"/>
        <w:numPr>
          <w:ilvl w:val="0"/>
          <w:numId w:val="5"/>
        </w:numPr>
        <w:spacing w:before="156"/>
        <w:ind w:left="420" w:firstLineChars="0"/>
        <w:outlineLvl w:val="1"/>
        <w:rPr>
          <w:rFonts w:ascii="仿宋" w:hAnsi="仿宋" w:eastAsia="仿宋"/>
          <w:b/>
          <w:bCs/>
          <w:sz w:val="28"/>
          <w:szCs w:val="44"/>
        </w:rPr>
      </w:pPr>
      <w:r>
        <w:rPr>
          <w:rFonts w:ascii="仿宋" w:hAnsi="仿宋" w:eastAsia="仿宋"/>
          <w:b/>
          <w:bCs/>
          <w:sz w:val="28"/>
          <w:szCs w:val="44"/>
        </w:rPr>
        <w:t>法人证明</w:t>
      </w:r>
    </w:p>
    <w:p w14:paraId="31283AEE">
      <w:pPr>
        <w:spacing w:before="156"/>
        <w:jc w:val="center"/>
        <w:rPr>
          <w:rFonts w:ascii="仿宋" w:hAnsi="仿宋" w:eastAsia="仿宋"/>
          <w:b/>
          <w:bCs/>
          <w:sz w:val="32"/>
          <w:szCs w:val="32"/>
        </w:rPr>
      </w:pPr>
      <w:r>
        <w:rPr>
          <w:rFonts w:ascii="仿宋" w:hAnsi="仿宋" w:eastAsia="仿宋"/>
          <w:b/>
          <w:bCs/>
          <w:sz w:val="32"/>
          <w:szCs w:val="32"/>
        </w:rPr>
        <w:t>法定代表人身份证明书</w:t>
      </w:r>
    </w:p>
    <w:p w14:paraId="25FAD4F0">
      <w:pPr>
        <w:spacing w:before="156"/>
        <w:rPr>
          <w:rFonts w:ascii="仿宋" w:hAnsi="仿宋" w:eastAsia="仿宋"/>
          <w:sz w:val="32"/>
          <w:szCs w:val="32"/>
        </w:rPr>
      </w:pPr>
    </w:p>
    <w:p w14:paraId="2EDE3B2D">
      <w:pPr>
        <w:pStyle w:val="256"/>
        <w:spacing w:before="156" w:line="360" w:lineRule="auto"/>
        <w:ind w:firstLine="0" w:firstLineChars="0"/>
        <w:rPr>
          <w:rFonts w:ascii="仿宋" w:hAnsi="仿宋" w:eastAsia="仿宋"/>
          <w:sz w:val="32"/>
          <w:szCs w:val="32"/>
        </w:rPr>
      </w:pPr>
      <w:r>
        <w:rPr>
          <w:sz w:val="32"/>
          <w:szCs w:val="32"/>
        </w:rPr>
        <w:t>东莞市新东</w:t>
      </w:r>
      <w:r>
        <w:rPr>
          <w:rFonts w:hint="eastAsia"/>
          <w:sz w:val="32"/>
          <w:szCs w:val="32"/>
        </w:rPr>
        <w:t>元</w:t>
      </w:r>
      <w:r>
        <w:rPr>
          <w:sz w:val="32"/>
          <w:szCs w:val="32"/>
        </w:rPr>
        <w:t>环保投资有限公司</w:t>
      </w:r>
      <w:r>
        <w:rPr>
          <w:rFonts w:ascii="仿宋" w:hAnsi="仿宋" w:eastAsia="仿宋"/>
          <w:sz w:val="32"/>
          <w:szCs w:val="32"/>
        </w:rPr>
        <w:t>：</w:t>
      </w:r>
    </w:p>
    <w:p w14:paraId="0B27D2E6">
      <w:pPr>
        <w:pStyle w:val="256"/>
        <w:spacing w:before="156" w:line="360" w:lineRule="auto"/>
        <w:ind w:firstLine="659"/>
        <w:rPr>
          <w:rFonts w:ascii="仿宋" w:hAnsi="仿宋" w:eastAsia="仿宋"/>
          <w:sz w:val="32"/>
          <w:szCs w:val="32"/>
        </w:rPr>
      </w:pPr>
      <w:r>
        <w:rPr>
          <w:rFonts w:ascii="仿宋" w:hAnsi="仿宋" w:eastAsia="仿宋"/>
          <w:sz w:val="32"/>
          <w:szCs w:val="32"/>
        </w:rPr>
        <w:t>本证明书声明：注册于</w:t>
      </w:r>
      <w:r>
        <w:rPr>
          <w:rFonts w:ascii="仿宋" w:hAnsi="仿宋" w:eastAsia="仿宋"/>
          <w:sz w:val="32"/>
          <w:szCs w:val="32"/>
          <w:u w:val="single"/>
        </w:rPr>
        <w:t xml:space="preserve">     </w:t>
      </w:r>
      <w:r>
        <w:rPr>
          <w:rFonts w:ascii="仿宋" w:hAnsi="仿宋" w:eastAsia="仿宋"/>
          <w:sz w:val="32"/>
          <w:szCs w:val="32"/>
        </w:rPr>
        <w:t>（国家名称）的</w:t>
      </w:r>
      <w:r>
        <w:rPr>
          <w:rFonts w:ascii="仿宋" w:hAnsi="仿宋" w:eastAsia="仿宋"/>
          <w:sz w:val="32"/>
          <w:szCs w:val="32"/>
          <w:u w:val="single"/>
        </w:rPr>
        <w:t>　　</w:t>
      </w:r>
      <w:r>
        <w:rPr>
          <w:rFonts w:ascii="仿宋" w:hAnsi="仿宋" w:eastAsia="仿宋"/>
          <w:sz w:val="32"/>
          <w:szCs w:val="32"/>
        </w:rPr>
        <w:t>（</w:t>
      </w:r>
      <w:r>
        <w:rPr>
          <w:rFonts w:hint="eastAsia" w:ascii="仿宋" w:hAnsi="仿宋" w:eastAsia="仿宋"/>
          <w:sz w:val="32"/>
          <w:szCs w:val="32"/>
          <w:lang w:eastAsia="zh-CN"/>
        </w:rPr>
        <w:t>响应人</w:t>
      </w:r>
      <w:r>
        <w:rPr>
          <w:rFonts w:ascii="仿宋" w:hAnsi="仿宋" w:eastAsia="仿宋"/>
          <w:sz w:val="32"/>
          <w:szCs w:val="32"/>
        </w:rPr>
        <w:t>名称）在下面签字的</w:t>
      </w:r>
      <w:r>
        <w:rPr>
          <w:rFonts w:ascii="仿宋" w:hAnsi="仿宋" w:eastAsia="仿宋"/>
          <w:sz w:val="32"/>
          <w:szCs w:val="32"/>
          <w:u w:val="single"/>
        </w:rPr>
        <w:t>　　　　　</w:t>
      </w:r>
      <w:r>
        <w:rPr>
          <w:rFonts w:ascii="仿宋" w:hAnsi="仿宋" w:eastAsia="仿宋"/>
          <w:sz w:val="32"/>
          <w:szCs w:val="32"/>
        </w:rPr>
        <w:t>（法定代表人姓名、职务）为本公司的合法代表人（</w:t>
      </w:r>
      <w:r>
        <w:rPr>
          <w:rFonts w:ascii="仿宋" w:hAnsi="仿宋" w:eastAsia="仿宋"/>
          <w:b/>
          <w:bCs/>
          <w:sz w:val="32"/>
          <w:szCs w:val="32"/>
        </w:rPr>
        <w:t>须附</w:t>
      </w:r>
      <w:r>
        <w:rPr>
          <w:rFonts w:hint="eastAsia" w:ascii="仿宋" w:hAnsi="仿宋" w:eastAsia="仿宋"/>
          <w:b/>
          <w:bCs/>
          <w:sz w:val="32"/>
          <w:szCs w:val="32"/>
        </w:rPr>
        <w:t>营业执照复印件及</w:t>
      </w:r>
      <w:r>
        <w:rPr>
          <w:rFonts w:ascii="仿宋" w:hAnsi="仿宋" w:eastAsia="仿宋"/>
          <w:b/>
          <w:bCs/>
          <w:sz w:val="32"/>
          <w:szCs w:val="32"/>
        </w:rPr>
        <w:t>法定代表人身份证复印件</w:t>
      </w:r>
      <w:r>
        <w:rPr>
          <w:rFonts w:ascii="仿宋" w:hAnsi="仿宋" w:eastAsia="仿宋"/>
          <w:sz w:val="32"/>
          <w:szCs w:val="32"/>
        </w:rPr>
        <w:t>）。</w:t>
      </w:r>
    </w:p>
    <w:p w14:paraId="4E6E71DE">
      <w:pPr>
        <w:spacing w:before="156"/>
        <w:ind w:firstLine="480" w:firstLineChars="150"/>
        <w:rPr>
          <w:rFonts w:ascii="仿宋" w:hAnsi="仿宋" w:eastAsia="仿宋"/>
          <w:sz w:val="32"/>
          <w:szCs w:val="32"/>
        </w:rPr>
      </w:pPr>
      <w:r>
        <w:rPr>
          <w:rFonts w:ascii="仿宋" w:hAnsi="仿宋" w:eastAsia="仿宋"/>
          <w:sz w:val="32"/>
          <w:szCs w:val="32"/>
        </w:rPr>
        <w:t>特此证明</w:t>
      </w:r>
    </w:p>
    <w:p w14:paraId="67D65113">
      <w:pPr>
        <w:spacing w:before="156"/>
        <w:rPr>
          <w:rFonts w:ascii="仿宋" w:hAnsi="仿宋" w:eastAsia="仿宋"/>
          <w:sz w:val="32"/>
          <w:szCs w:val="32"/>
        </w:rPr>
      </w:pPr>
    </w:p>
    <w:p w14:paraId="38F82BA7">
      <w:pPr>
        <w:spacing w:before="156"/>
        <w:rPr>
          <w:rFonts w:ascii="仿宋" w:hAnsi="仿宋" w:eastAsia="仿宋"/>
          <w:sz w:val="32"/>
          <w:szCs w:val="32"/>
        </w:rPr>
      </w:pPr>
    </w:p>
    <w:p w14:paraId="58AE957F">
      <w:pPr>
        <w:spacing w:before="156"/>
        <w:rPr>
          <w:rFonts w:ascii="仿宋" w:hAnsi="仿宋" w:eastAsia="仿宋"/>
          <w:sz w:val="32"/>
          <w:szCs w:val="32"/>
        </w:rPr>
      </w:pPr>
    </w:p>
    <w:p w14:paraId="74ACE090">
      <w:pPr>
        <w:spacing w:before="156"/>
        <w:rPr>
          <w:rFonts w:ascii="仿宋" w:hAnsi="仿宋" w:eastAsia="仿宋"/>
          <w:sz w:val="32"/>
          <w:szCs w:val="32"/>
        </w:rPr>
      </w:pPr>
      <w:r>
        <w:rPr>
          <w:rFonts w:hint="eastAsia" w:ascii="仿宋" w:hAnsi="仿宋" w:eastAsia="仿宋"/>
          <w:sz w:val="32"/>
          <w:szCs w:val="32"/>
          <w:lang w:eastAsia="zh-CN"/>
        </w:rPr>
        <w:t>响应人</w:t>
      </w:r>
      <w:r>
        <w:rPr>
          <w:rFonts w:ascii="仿宋" w:hAnsi="仿宋" w:eastAsia="仿宋"/>
          <w:sz w:val="32"/>
          <w:szCs w:val="32"/>
        </w:rPr>
        <w:t>名称（加盖公章）：</w:t>
      </w:r>
    </w:p>
    <w:p w14:paraId="5F46CB47">
      <w:pPr>
        <w:spacing w:before="156"/>
        <w:rPr>
          <w:rFonts w:ascii="仿宋" w:hAnsi="仿宋" w:eastAsia="仿宋"/>
          <w:sz w:val="32"/>
          <w:szCs w:val="32"/>
        </w:rPr>
      </w:pPr>
      <w:r>
        <w:rPr>
          <w:rFonts w:hint="eastAsia" w:ascii="仿宋" w:hAnsi="仿宋" w:eastAsia="仿宋"/>
          <w:sz w:val="32"/>
          <w:szCs w:val="32"/>
          <w:lang w:eastAsia="zh-CN"/>
        </w:rPr>
        <w:t>响应人</w:t>
      </w:r>
      <w:r>
        <w:rPr>
          <w:rFonts w:ascii="仿宋" w:hAnsi="仿宋" w:eastAsia="仿宋"/>
          <w:sz w:val="32"/>
          <w:szCs w:val="32"/>
        </w:rPr>
        <w:t>地址：</w:t>
      </w:r>
    </w:p>
    <w:p w14:paraId="0A4CFA66">
      <w:pPr>
        <w:spacing w:before="156"/>
        <w:rPr>
          <w:rFonts w:ascii="仿宋" w:hAnsi="仿宋" w:eastAsia="仿宋"/>
          <w:sz w:val="32"/>
          <w:szCs w:val="32"/>
        </w:rPr>
      </w:pPr>
      <w:r>
        <w:rPr>
          <w:rFonts w:ascii="仿宋" w:hAnsi="仿宋" w:eastAsia="仿宋"/>
          <w:sz w:val="32"/>
          <w:szCs w:val="32"/>
        </w:rPr>
        <w:t>法定代表人（签名或盖私章）：</w:t>
      </w:r>
    </w:p>
    <w:p w14:paraId="1A4F9726">
      <w:pPr>
        <w:spacing w:before="156"/>
        <w:rPr>
          <w:rFonts w:ascii="仿宋" w:hAnsi="仿宋" w:eastAsia="仿宋"/>
          <w:sz w:val="32"/>
          <w:szCs w:val="32"/>
        </w:rPr>
      </w:pPr>
      <w:r>
        <w:rPr>
          <w:rFonts w:ascii="仿宋" w:hAnsi="仿宋" w:eastAsia="仿宋"/>
          <w:sz w:val="32"/>
          <w:szCs w:val="32"/>
        </w:rPr>
        <w:t>职务：</w:t>
      </w:r>
    </w:p>
    <w:p w14:paraId="33D84C2A">
      <w:pPr>
        <w:pStyle w:val="2"/>
        <w:spacing w:before="156"/>
        <w:ind w:left="480" w:firstLine="480"/>
      </w:pPr>
      <w:r>
        <w:br w:type="page"/>
      </w:r>
    </w:p>
    <w:p w14:paraId="6931F117">
      <w:pPr>
        <w:spacing w:before="156"/>
        <w:jc w:val="center"/>
        <w:rPr>
          <w:rFonts w:ascii="仿宋" w:hAnsi="仿宋" w:eastAsia="仿宋"/>
          <w:sz w:val="32"/>
          <w:szCs w:val="32"/>
        </w:rPr>
      </w:pPr>
      <w:r>
        <w:rPr>
          <w:rFonts w:ascii="仿宋" w:hAnsi="仿宋" w:eastAsia="仿宋"/>
          <w:b/>
          <w:bCs/>
          <w:sz w:val="32"/>
          <w:szCs w:val="32"/>
        </w:rPr>
        <w:t>法定代表人身份证复印件</w:t>
      </w:r>
      <w:r>
        <w:rPr>
          <w:rFonts w:hint="eastAsia" w:ascii="仿宋" w:hAnsi="仿宋" w:eastAsia="仿宋"/>
          <w:b/>
          <w:bCs/>
          <w:sz w:val="32"/>
          <w:szCs w:val="32"/>
        </w:rPr>
        <w:t>（加盖公章）</w:t>
      </w:r>
    </w:p>
    <w:p w14:paraId="08053FCC">
      <w:pPr>
        <w:spacing w:before="156"/>
        <w:rPr>
          <w:rFonts w:ascii="仿宋" w:hAnsi="仿宋" w:eastAsia="仿宋"/>
          <w:sz w:val="32"/>
          <w:szCs w:val="32"/>
        </w:rPr>
      </w:pPr>
    </w:p>
    <w:p w14:paraId="3914517D">
      <w:pPr>
        <w:widowControl/>
        <w:spacing w:before="156"/>
        <w:rPr>
          <w:rFonts w:ascii="仿宋" w:hAnsi="仿宋" w:eastAsia="仿宋"/>
          <w:b/>
          <w:bCs/>
          <w:sz w:val="28"/>
          <w:szCs w:val="44"/>
        </w:rPr>
      </w:pPr>
      <w:r>
        <w:rPr>
          <w:rFonts w:ascii="仿宋" w:hAnsi="仿宋" w:eastAsia="仿宋"/>
          <w:sz w:val="32"/>
          <w:szCs w:val="32"/>
        </w:rPr>
        <w:br w:type="page"/>
      </w:r>
      <w:r>
        <w:rPr>
          <w:rFonts w:ascii="仿宋" w:hAnsi="仿宋" w:eastAsia="仿宋"/>
          <w:b/>
          <w:bCs/>
          <w:sz w:val="28"/>
          <w:szCs w:val="44"/>
        </w:rPr>
        <w:t>法人授权书</w:t>
      </w:r>
    </w:p>
    <w:p w14:paraId="6949982A">
      <w:pPr>
        <w:widowControl/>
        <w:spacing w:before="156"/>
        <w:jc w:val="center"/>
        <w:rPr>
          <w:rFonts w:ascii="仿宋" w:hAnsi="仿宋" w:eastAsia="仿宋"/>
          <w:sz w:val="32"/>
          <w:szCs w:val="32"/>
        </w:rPr>
      </w:pPr>
      <w:r>
        <w:rPr>
          <w:rFonts w:ascii="仿宋" w:hAnsi="仿宋" w:eastAsia="仿宋"/>
          <w:b/>
          <w:sz w:val="32"/>
          <w:szCs w:val="32"/>
        </w:rPr>
        <w:t>授权委托书</w:t>
      </w:r>
    </w:p>
    <w:p w14:paraId="1C9404E1">
      <w:pPr>
        <w:pStyle w:val="256"/>
        <w:spacing w:before="156" w:line="360" w:lineRule="auto"/>
        <w:ind w:firstLine="0" w:firstLineChars="0"/>
        <w:rPr>
          <w:rFonts w:ascii="仿宋" w:hAnsi="仿宋" w:eastAsia="仿宋"/>
          <w:sz w:val="32"/>
          <w:szCs w:val="32"/>
        </w:rPr>
      </w:pPr>
      <w:r>
        <w:rPr>
          <w:sz w:val="32"/>
          <w:szCs w:val="32"/>
        </w:rPr>
        <w:t>东莞市新东</w:t>
      </w:r>
      <w:r>
        <w:rPr>
          <w:rFonts w:hint="eastAsia"/>
          <w:sz w:val="32"/>
          <w:szCs w:val="32"/>
        </w:rPr>
        <w:t>元环</w:t>
      </w:r>
      <w:r>
        <w:rPr>
          <w:sz w:val="32"/>
          <w:szCs w:val="32"/>
        </w:rPr>
        <w:t>保投资有限公司</w:t>
      </w:r>
      <w:r>
        <w:rPr>
          <w:rFonts w:ascii="仿宋" w:hAnsi="仿宋" w:eastAsia="仿宋"/>
          <w:sz w:val="32"/>
          <w:szCs w:val="32"/>
        </w:rPr>
        <w:t>：</w:t>
      </w:r>
    </w:p>
    <w:p w14:paraId="7BC297DE">
      <w:pPr>
        <w:pStyle w:val="256"/>
        <w:spacing w:before="156" w:line="360" w:lineRule="auto"/>
        <w:ind w:firstLine="659"/>
        <w:rPr>
          <w:rFonts w:ascii="仿宋" w:hAnsi="仿宋" w:eastAsia="仿宋"/>
          <w:sz w:val="32"/>
          <w:szCs w:val="32"/>
        </w:rPr>
      </w:pPr>
      <w:r>
        <w:rPr>
          <w:rFonts w:ascii="仿宋" w:hAnsi="仿宋" w:eastAsia="仿宋"/>
          <w:sz w:val="32"/>
          <w:szCs w:val="32"/>
        </w:rPr>
        <w:t>本委托书声明：在下面签字的</w:t>
      </w:r>
      <w:r>
        <w:rPr>
          <w:rFonts w:ascii="仿宋" w:hAnsi="仿宋" w:eastAsia="仿宋"/>
          <w:sz w:val="32"/>
          <w:szCs w:val="32"/>
          <w:u w:val="single"/>
        </w:rPr>
        <w:t>（</w:t>
      </w:r>
      <w:r>
        <w:rPr>
          <w:rFonts w:hint="eastAsia" w:ascii="仿宋" w:hAnsi="仿宋" w:eastAsia="仿宋"/>
          <w:sz w:val="32"/>
          <w:szCs w:val="32"/>
          <w:u w:val="single"/>
        </w:rPr>
        <w:t>填写</w:t>
      </w:r>
      <w:r>
        <w:rPr>
          <w:rFonts w:ascii="仿宋" w:hAnsi="仿宋" w:eastAsia="仿宋"/>
          <w:sz w:val="32"/>
          <w:szCs w:val="32"/>
          <w:u w:val="single"/>
        </w:rPr>
        <w:t>法定代表人姓名、职务）</w:t>
      </w:r>
      <w:r>
        <w:rPr>
          <w:rFonts w:ascii="仿宋" w:hAnsi="仿宋" w:eastAsia="仿宋"/>
          <w:sz w:val="32"/>
          <w:szCs w:val="32"/>
        </w:rPr>
        <w:t>代表</w:t>
      </w:r>
      <w:r>
        <w:rPr>
          <w:rFonts w:ascii="仿宋" w:hAnsi="仿宋" w:eastAsia="仿宋"/>
          <w:sz w:val="32"/>
          <w:szCs w:val="32"/>
          <w:u w:val="single"/>
        </w:rPr>
        <w:t>（</w:t>
      </w:r>
      <w:r>
        <w:rPr>
          <w:rFonts w:hint="eastAsia" w:ascii="仿宋" w:hAnsi="仿宋" w:eastAsia="仿宋"/>
          <w:sz w:val="32"/>
          <w:szCs w:val="32"/>
          <w:u w:val="single"/>
        </w:rPr>
        <w:t>填写</w:t>
      </w:r>
      <w:r>
        <w:rPr>
          <w:rFonts w:hint="eastAsia" w:ascii="仿宋" w:hAnsi="仿宋" w:eastAsia="仿宋"/>
          <w:sz w:val="32"/>
          <w:szCs w:val="32"/>
          <w:u w:val="single"/>
          <w:lang w:eastAsia="zh-CN"/>
        </w:rPr>
        <w:t>响应人</w:t>
      </w:r>
      <w:r>
        <w:rPr>
          <w:rFonts w:ascii="仿宋" w:hAnsi="仿宋" w:eastAsia="仿宋"/>
          <w:sz w:val="32"/>
          <w:szCs w:val="32"/>
          <w:u w:val="single"/>
        </w:rPr>
        <w:t>名称）</w:t>
      </w:r>
      <w:r>
        <w:rPr>
          <w:rFonts w:ascii="仿宋" w:hAnsi="仿宋" w:eastAsia="仿宋"/>
          <w:sz w:val="32"/>
          <w:szCs w:val="32"/>
        </w:rPr>
        <w:t>委托在下面签字的</w:t>
      </w:r>
      <w:r>
        <w:rPr>
          <w:rFonts w:ascii="仿宋" w:hAnsi="仿宋" w:eastAsia="仿宋"/>
          <w:sz w:val="32"/>
          <w:szCs w:val="32"/>
          <w:u w:val="single"/>
        </w:rPr>
        <w:t>（</w:t>
      </w:r>
      <w:r>
        <w:rPr>
          <w:rFonts w:hint="eastAsia" w:ascii="仿宋" w:hAnsi="仿宋" w:eastAsia="仿宋"/>
          <w:sz w:val="32"/>
          <w:szCs w:val="32"/>
          <w:u w:val="single"/>
        </w:rPr>
        <w:t>填写</w:t>
      </w:r>
      <w:r>
        <w:rPr>
          <w:rFonts w:ascii="仿宋" w:hAnsi="仿宋" w:eastAsia="仿宋"/>
          <w:sz w:val="32"/>
          <w:szCs w:val="32"/>
          <w:u w:val="single"/>
        </w:rPr>
        <w:t>受委托人的姓名、职务）</w:t>
      </w:r>
      <w:r>
        <w:rPr>
          <w:rFonts w:ascii="仿宋" w:hAnsi="仿宋" w:eastAsia="仿宋"/>
          <w:sz w:val="32"/>
          <w:szCs w:val="32"/>
        </w:rPr>
        <w:t>为本公司的合法代表人，就</w:t>
      </w:r>
      <w:r>
        <w:rPr>
          <w:rFonts w:hint="eastAsia" w:ascii="仿宋" w:hAnsi="仿宋" w:eastAsia="仿宋"/>
          <w:sz w:val="32"/>
          <w:szCs w:val="32"/>
          <w:u w:val="single"/>
        </w:rPr>
        <w:t>东莞市海心沙资源综合利用中心环保热电厂垃圾储坑渗滤液格栅维修采购项目</w:t>
      </w:r>
      <w:r>
        <w:rPr>
          <w:rFonts w:ascii="仿宋" w:hAnsi="仿宋" w:eastAsia="仿宋"/>
          <w:sz w:val="32"/>
          <w:szCs w:val="32"/>
        </w:rPr>
        <w:t>的谈判和合同的</w:t>
      </w:r>
      <w:r>
        <w:rPr>
          <w:rFonts w:hint="eastAsia" w:ascii="仿宋" w:hAnsi="仿宋" w:eastAsia="仿宋"/>
          <w:sz w:val="32"/>
          <w:szCs w:val="32"/>
        </w:rPr>
        <w:t>签订、</w:t>
      </w:r>
      <w:r>
        <w:rPr>
          <w:rFonts w:ascii="仿宋" w:hAnsi="仿宋" w:eastAsia="仿宋"/>
          <w:sz w:val="32"/>
          <w:szCs w:val="32"/>
        </w:rPr>
        <w:t>执行，以我方的名义处理一切与之有关的事宜（相关身份证复印件须附后）。</w:t>
      </w:r>
    </w:p>
    <w:p w14:paraId="24591548">
      <w:pPr>
        <w:pStyle w:val="256"/>
        <w:spacing w:before="156" w:line="360" w:lineRule="auto"/>
        <w:ind w:firstLine="659"/>
        <w:rPr>
          <w:rFonts w:ascii="仿宋" w:hAnsi="仿宋" w:eastAsia="仿宋"/>
          <w:sz w:val="32"/>
          <w:szCs w:val="32"/>
        </w:rPr>
      </w:pPr>
      <w:r>
        <w:rPr>
          <w:rFonts w:ascii="仿宋" w:hAnsi="仿宋" w:eastAsia="仿宋"/>
          <w:sz w:val="32"/>
          <w:szCs w:val="32"/>
        </w:rPr>
        <w:t>本委托书于</w:t>
      </w:r>
      <w:r>
        <w:rPr>
          <w:rFonts w:ascii="仿宋" w:hAnsi="仿宋" w:eastAsia="仿宋"/>
          <w:sz w:val="32"/>
          <w:szCs w:val="32"/>
          <w:u w:val="single"/>
        </w:rPr>
        <w:t>　</w:t>
      </w:r>
      <w:r>
        <w:rPr>
          <w:rFonts w:ascii="仿宋" w:hAnsi="仿宋" w:eastAsia="仿宋"/>
          <w:sz w:val="32"/>
          <w:szCs w:val="32"/>
        </w:rPr>
        <w:t>年</w:t>
      </w:r>
      <w:r>
        <w:rPr>
          <w:rFonts w:ascii="仿宋" w:hAnsi="仿宋" w:eastAsia="仿宋"/>
          <w:sz w:val="32"/>
          <w:szCs w:val="32"/>
          <w:u w:val="single"/>
        </w:rPr>
        <w:t>　</w:t>
      </w:r>
      <w:r>
        <w:rPr>
          <w:rFonts w:ascii="仿宋" w:hAnsi="仿宋" w:eastAsia="仿宋"/>
          <w:sz w:val="32"/>
          <w:szCs w:val="32"/>
        </w:rPr>
        <w:t>月</w:t>
      </w:r>
      <w:r>
        <w:rPr>
          <w:rFonts w:ascii="仿宋" w:hAnsi="仿宋" w:eastAsia="仿宋"/>
          <w:sz w:val="32"/>
          <w:szCs w:val="32"/>
          <w:u w:val="single"/>
        </w:rPr>
        <w:t>　</w:t>
      </w:r>
      <w:r>
        <w:rPr>
          <w:rFonts w:ascii="仿宋" w:hAnsi="仿宋" w:eastAsia="仿宋"/>
          <w:sz w:val="32"/>
          <w:szCs w:val="32"/>
        </w:rPr>
        <w:t>日至</w:t>
      </w:r>
      <w:r>
        <w:rPr>
          <w:rFonts w:ascii="仿宋" w:hAnsi="仿宋" w:eastAsia="仿宋"/>
          <w:sz w:val="32"/>
          <w:szCs w:val="32"/>
          <w:u w:val="single"/>
        </w:rPr>
        <w:t>　</w:t>
      </w:r>
      <w:r>
        <w:rPr>
          <w:rFonts w:ascii="仿宋" w:hAnsi="仿宋" w:eastAsia="仿宋"/>
          <w:sz w:val="32"/>
          <w:szCs w:val="32"/>
        </w:rPr>
        <w:t>年</w:t>
      </w:r>
      <w:r>
        <w:rPr>
          <w:rFonts w:ascii="仿宋" w:hAnsi="仿宋" w:eastAsia="仿宋"/>
          <w:sz w:val="32"/>
          <w:szCs w:val="32"/>
          <w:u w:val="single"/>
        </w:rPr>
        <w:t>　</w:t>
      </w:r>
      <w:r>
        <w:rPr>
          <w:rFonts w:ascii="仿宋" w:hAnsi="仿宋" w:eastAsia="仿宋"/>
          <w:sz w:val="32"/>
          <w:szCs w:val="32"/>
        </w:rPr>
        <w:t>月</w:t>
      </w:r>
      <w:r>
        <w:rPr>
          <w:rFonts w:ascii="仿宋" w:hAnsi="仿宋" w:eastAsia="仿宋"/>
          <w:sz w:val="32"/>
          <w:szCs w:val="32"/>
          <w:u w:val="single"/>
        </w:rPr>
        <w:t>　</w:t>
      </w:r>
      <w:r>
        <w:rPr>
          <w:rFonts w:ascii="仿宋" w:hAnsi="仿宋" w:eastAsia="仿宋"/>
          <w:sz w:val="32"/>
          <w:szCs w:val="32"/>
        </w:rPr>
        <w:t>日签字生效，特此声明。</w:t>
      </w:r>
      <w:r>
        <w:rPr>
          <w:rFonts w:hint="eastAsia" w:ascii="仿宋" w:hAnsi="仿宋" w:eastAsia="仿宋"/>
          <w:sz w:val="32"/>
          <w:szCs w:val="32"/>
        </w:rPr>
        <w:t>（有效期不得少于</w:t>
      </w:r>
      <w:r>
        <w:rPr>
          <w:rFonts w:ascii="仿宋" w:hAnsi="仿宋" w:eastAsia="仿宋"/>
          <w:sz w:val="32"/>
          <w:szCs w:val="32"/>
        </w:rPr>
        <w:t>90个日历日）</w:t>
      </w:r>
    </w:p>
    <w:p w14:paraId="42449EDC">
      <w:pPr>
        <w:pStyle w:val="256"/>
        <w:spacing w:before="156" w:line="360" w:lineRule="auto"/>
        <w:ind w:right="160" w:firstLine="0" w:firstLineChars="0"/>
        <w:rPr>
          <w:rFonts w:hint="eastAsia" w:ascii="仿宋" w:hAnsi="仿宋" w:eastAsia="仿宋"/>
          <w:sz w:val="32"/>
          <w:szCs w:val="32"/>
          <w:lang w:eastAsia="zh-CN"/>
        </w:rPr>
      </w:pPr>
    </w:p>
    <w:p w14:paraId="5B3975FA">
      <w:pPr>
        <w:pStyle w:val="256"/>
        <w:spacing w:before="156" w:line="360" w:lineRule="auto"/>
        <w:ind w:right="160" w:firstLine="0" w:firstLineChars="0"/>
        <w:rPr>
          <w:rFonts w:ascii="仿宋" w:hAnsi="仿宋" w:eastAsia="仿宋"/>
          <w:sz w:val="32"/>
          <w:szCs w:val="32"/>
        </w:rPr>
      </w:pPr>
      <w:r>
        <w:rPr>
          <w:rFonts w:hint="eastAsia" w:ascii="仿宋" w:hAnsi="仿宋" w:eastAsia="仿宋"/>
          <w:sz w:val="32"/>
          <w:szCs w:val="32"/>
          <w:lang w:eastAsia="zh-CN"/>
        </w:rPr>
        <w:t>响应人</w:t>
      </w:r>
      <w:r>
        <w:rPr>
          <w:rFonts w:ascii="仿宋" w:hAnsi="仿宋" w:eastAsia="仿宋"/>
          <w:sz w:val="32"/>
          <w:szCs w:val="32"/>
        </w:rPr>
        <w:t>名称（加盖公章）：</w:t>
      </w:r>
    </w:p>
    <w:p w14:paraId="6004E31D">
      <w:pPr>
        <w:pStyle w:val="256"/>
        <w:wordWrap w:val="0"/>
        <w:spacing w:before="156" w:line="360" w:lineRule="auto"/>
        <w:ind w:firstLine="0" w:firstLineChars="0"/>
        <w:rPr>
          <w:rFonts w:ascii="仿宋" w:hAnsi="仿宋" w:eastAsia="仿宋"/>
          <w:sz w:val="32"/>
          <w:szCs w:val="32"/>
        </w:rPr>
      </w:pPr>
      <w:r>
        <w:rPr>
          <w:rFonts w:hint="eastAsia" w:ascii="仿宋" w:hAnsi="仿宋" w:eastAsia="仿宋"/>
          <w:sz w:val="32"/>
          <w:szCs w:val="32"/>
          <w:lang w:eastAsia="zh-CN"/>
        </w:rPr>
        <w:t>响应人</w:t>
      </w:r>
      <w:r>
        <w:rPr>
          <w:rFonts w:ascii="仿宋" w:hAnsi="仿宋" w:eastAsia="仿宋"/>
          <w:sz w:val="32"/>
          <w:szCs w:val="32"/>
        </w:rPr>
        <w:t>地址：</w:t>
      </w:r>
    </w:p>
    <w:p w14:paraId="348E210D">
      <w:pPr>
        <w:pStyle w:val="256"/>
        <w:wordWrap w:val="0"/>
        <w:spacing w:before="156" w:line="360" w:lineRule="auto"/>
        <w:ind w:firstLine="0" w:firstLineChars="0"/>
        <w:rPr>
          <w:rFonts w:ascii="仿宋" w:hAnsi="仿宋" w:eastAsia="仿宋"/>
          <w:sz w:val="32"/>
          <w:szCs w:val="32"/>
        </w:rPr>
      </w:pPr>
      <w:r>
        <w:rPr>
          <w:rFonts w:ascii="仿宋" w:hAnsi="仿宋" w:eastAsia="仿宋"/>
          <w:sz w:val="32"/>
          <w:szCs w:val="32"/>
        </w:rPr>
        <w:t>法定代表人（签字或盖章）：</w:t>
      </w:r>
    </w:p>
    <w:p w14:paraId="0D9B985E">
      <w:pPr>
        <w:pStyle w:val="256"/>
        <w:wordWrap w:val="0"/>
        <w:spacing w:before="156" w:line="360" w:lineRule="auto"/>
        <w:ind w:firstLine="0" w:firstLineChars="0"/>
        <w:rPr>
          <w:rFonts w:ascii="仿宋" w:hAnsi="仿宋" w:eastAsia="仿宋"/>
          <w:sz w:val="32"/>
          <w:szCs w:val="32"/>
        </w:rPr>
      </w:pPr>
      <w:r>
        <w:rPr>
          <w:rFonts w:ascii="仿宋" w:hAnsi="仿宋" w:eastAsia="仿宋"/>
          <w:sz w:val="32"/>
          <w:szCs w:val="32"/>
        </w:rPr>
        <w:t>职务：</w:t>
      </w:r>
    </w:p>
    <w:p w14:paraId="7ECB8042">
      <w:pPr>
        <w:pStyle w:val="256"/>
        <w:wordWrap w:val="0"/>
        <w:spacing w:before="156" w:line="360" w:lineRule="auto"/>
        <w:ind w:firstLine="0" w:firstLineChars="0"/>
        <w:rPr>
          <w:rFonts w:ascii="仿宋" w:hAnsi="仿宋" w:eastAsia="仿宋"/>
          <w:sz w:val="32"/>
          <w:szCs w:val="32"/>
        </w:rPr>
      </w:pPr>
      <w:r>
        <w:rPr>
          <w:rFonts w:ascii="仿宋" w:hAnsi="仿宋" w:eastAsia="仿宋"/>
          <w:sz w:val="32"/>
          <w:szCs w:val="32"/>
        </w:rPr>
        <w:t>受委托人（签字或盖章）：</w:t>
      </w:r>
    </w:p>
    <w:p w14:paraId="0D2B4E67">
      <w:pPr>
        <w:pStyle w:val="256"/>
        <w:wordWrap w:val="0"/>
        <w:spacing w:before="156" w:line="360" w:lineRule="auto"/>
        <w:ind w:firstLine="0" w:firstLineChars="0"/>
        <w:rPr>
          <w:rFonts w:ascii="仿宋" w:hAnsi="仿宋" w:eastAsia="仿宋"/>
          <w:sz w:val="32"/>
          <w:szCs w:val="32"/>
        </w:rPr>
      </w:pPr>
      <w:r>
        <w:rPr>
          <w:rFonts w:ascii="仿宋" w:hAnsi="仿宋" w:eastAsia="仿宋"/>
          <w:sz w:val="32"/>
          <w:szCs w:val="32"/>
        </w:rPr>
        <w:t>职务：</w:t>
      </w:r>
    </w:p>
    <w:p w14:paraId="37AE0E6D">
      <w:pPr>
        <w:pStyle w:val="256"/>
        <w:spacing w:before="156" w:line="360" w:lineRule="auto"/>
        <w:ind w:firstLine="0" w:firstLineChars="0"/>
        <w:rPr>
          <w:rFonts w:ascii="仿宋" w:hAnsi="仿宋" w:eastAsia="仿宋"/>
          <w:sz w:val="32"/>
          <w:szCs w:val="32"/>
        </w:rPr>
      </w:pPr>
      <w:r>
        <w:rPr>
          <w:rFonts w:ascii="仿宋" w:hAnsi="仿宋" w:eastAsia="仿宋"/>
          <w:sz w:val="32"/>
          <w:szCs w:val="32"/>
        </w:rPr>
        <w:t>日期：</w:t>
      </w:r>
    </w:p>
    <w:p w14:paraId="587A7936">
      <w:pPr>
        <w:widowControl/>
        <w:spacing w:beforeLines="0" w:line="240" w:lineRule="auto"/>
      </w:pPr>
      <w:r>
        <w:br w:type="page"/>
      </w:r>
    </w:p>
    <w:p w14:paraId="6BD21E17">
      <w:pPr>
        <w:pStyle w:val="2"/>
        <w:spacing w:before="156"/>
        <w:ind w:left="0" w:leftChars="0" w:firstLine="0" w:firstLineChars="0"/>
        <w:jc w:val="center"/>
        <w:rPr>
          <w:rFonts w:ascii="仿宋" w:hAnsi="仿宋" w:eastAsia="仿宋"/>
          <w:kern w:val="0"/>
          <w:sz w:val="32"/>
          <w:szCs w:val="32"/>
        </w:rPr>
      </w:pPr>
      <w:r>
        <w:rPr>
          <w:rFonts w:hint="eastAsia" w:ascii="仿宋" w:hAnsi="仿宋" w:eastAsia="仿宋"/>
          <w:b/>
          <w:bCs/>
          <w:sz w:val="32"/>
          <w:szCs w:val="32"/>
        </w:rPr>
        <w:t>授权委托人</w:t>
      </w:r>
      <w:r>
        <w:rPr>
          <w:rFonts w:ascii="仿宋" w:hAnsi="仿宋" w:eastAsia="仿宋"/>
          <w:b/>
          <w:bCs/>
          <w:sz w:val="32"/>
          <w:szCs w:val="32"/>
        </w:rPr>
        <w:t>身份证复印件</w:t>
      </w:r>
      <w:r>
        <w:rPr>
          <w:rFonts w:hint="eastAsia" w:ascii="仿宋" w:hAnsi="仿宋" w:eastAsia="仿宋"/>
          <w:b/>
          <w:bCs/>
          <w:sz w:val="32"/>
          <w:szCs w:val="32"/>
        </w:rPr>
        <w:t>（加盖公章）</w:t>
      </w:r>
    </w:p>
    <w:p w14:paraId="301A2AB2">
      <w:pPr>
        <w:widowControl/>
        <w:spacing w:beforeLines="0" w:line="240" w:lineRule="auto"/>
        <w:rPr>
          <w:rFonts w:ascii="仿宋" w:hAnsi="仿宋" w:eastAsia="仿宋"/>
          <w:kern w:val="0"/>
          <w:sz w:val="32"/>
          <w:szCs w:val="32"/>
        </w:rPr>
      </w:pPr>
      <w:r>
        <w:rPr>
          <w:rFonts w:ascii="仿宋" w:hAnsi="仿宋" w:eastAsia="仿宋"/>
          <w:sz w:val="32"/>
          <w:szCs w:val="32"/>
        </w:rPr>
        <w:br w:type="page"/>
      </w:r>
    </w:p>
    <w:p w14:paraId="50DCFA14">
      <w:pPr>
        <w:pStyle w:val="256"/>
        <w:spacing w:before="156" w:line="360" w:lineRule="auto"/>
        <w:ind w:firstLine="0" w:firstLineChars="0"/>
        <w:rPr>
          <w:rFonts w:ascii="仿宋" w:hAnsi="仿宋" w:eastAsia="仿宋"/>
          <w:sz w:val="32"/>
          <w:szCs w:val="32"/>
        </w:rPr>
        <w:sectPr>
          <w:footerReference r:id="rId11" w:type="default"/>
          <w:pgSz w:w="11906" w:h="16838"/>
          <w:pgMar w:top="1276" w:right="1800" w:bottom="1418" w:left="1800" w:header="851" w:footer="992" w:gutter="0"/>
          <w:cols w:space="720" w:num="1"/>
          <w:docGrid w:type="lines" w:linePitch="312" w:charSpace="0"/>
        </w:sectPr>
      </w:pPr>
    </w:p>
    <w:bookmarkEnd w:id="12"/>
    <w:p w14:paraId="51A89CD9">
      <w:pPr>
        <w:pStyle w:val="255"/>
        <w:numPr>
          <w:ilvl w:val="0"/>
          <w:numId w:val="5"/>
        </w:numPr>
        <w:spacing w:before="120"/>
        <w:ind w:left="420" w:firstLineChars="0"/>
        <w:outlineLvl w:val="1"/>
        <w:rPr>
          <w:rFonts w:ascii="宋体" w:hAnsi="宋体"/>
          <w:b/>
          <w:bCs/>
          <w:szCs w:val="40"/>
        </w:rPr>
      </w:pPr>
      <w:r>
        <w:rPr>
          <w:rFonts w:hint="eastAsia" w:ascii="宋体" w:hAnsi="宋体"/>
          <w:b/>
          <w:bCs/>
          <w:szCs w:val="40"/>
          <w:lang w:eastAsia="zh-CN"/>
        </w:rPr>
        <w:t>响应人</w:t>
      </w:r>
      <w:r>
        <w:rPr>
          <w:rFonts w:hint="eastAsia" w:ascii="宋体" w:hAnsi="宋体"/>
          <w:b/>
          <w:bCs/>
          <w:szCs w:val="40"/>
        </w:rPr>
        <w:t>未到场声明</w:t>
      </w:r>
    </w:p>
    <w:p w14:paraId="402BCB66">
      <w:pPr>
        <w:pStyle w:val="255"/>
        <w:spacing w:before="120"/>
        <w:ind w:firstLine="0" w:firstLineChars="0"/>
        <w:jc w:val="center"/>
        <w:outlineLvl w:val="1"/>
        <w:rPr>
          <w:rFonts w:ascii="仿宋" w:hAnsi="仿宋" w:eastAsia="仿宋" w:cs="仿宋"/>
          <w:b/>
          <w:sz w:val="32"/>
          <w:szCs w:val="32"/>
        </w:rPr>
      </w:pPr>
      <w:r>
        <w:rPr>
          <w:rFonts w:hint="eastAsia" w:ascii="仿宋" w:hAnsi="仿宋" w:eastAsia="仿宋" w:cs="仿宋"/>
          <w:b/>
          <w:sz w:val="32"/>
          <w:szCs w:val="32"/>
          <w:lang w:eastAsia="zh-CN"/>
        </w:rPr>
        <w:t>响应人</w:t>
      </w:r>
      <w:r>
        <w:rPr>
          <w:rFonts w:hint="eastAsia" w:ascii="仿宋" w:hAnsi="仿宋" w:eastAsia="仿宋" w:cs="仿宋"/>
          <w:b/>
          <w:sz w:val="32"/>
          <w:szCs w:val="32"/>
        </w:rPr>
        <w:t>未到场声明</w:t>
      </w:r>
    </w:p>
    <w:p w14:paraId="70F604DF">
      <w:pPr>
        <w:pStyle w:val="256"/>
        <w:spacing w:before="156"/>
        <w:ind w:firstLine="0" w:firstLineChars="0"/>
        <w:rPr>
          <w:rFonts w:ascii="仿宋" w:hAnsi="仿宋" w:eastAsia="仿宋" w:cs="Times New Roman"/>
          <w:sz w:val="32"/>
          <w:szCs w:val="32"/>
        </w:rPr>
      </w:pPr>
      <w:r>
        <w:rPr>
          <w:rFonts w:hint="default" w:ascii="仿宋" w:hAnsi="仿宋" w:eastAsia="仿宋" w:cs="Times New Roman"/>
          <w:sz w:val="32"/>
          <w:szCs w:val="32"/>
        </w:rPr>
        <w:t>东莞市新东元环保投资有限公司：</w:t>
      </w:r>
    </w:p>
    <w:p w14:paraId="34491336">
      <w:pPr>
        <w:pStyle w:val="256"/>
        <w:spacing w:before="156"/>
        <w:ind w:firstLine="640" w:firstLineChars="200"/>
        <w:rPr>
          <w:rFonts w:ascii="仿宋" w:hAnsi="仿宋" w:eastAsia="仿宋" w:cs="Times New Roman"/>
          <w:sz w:val="32"/>
          <w:szCs w:val="32"/>
        </w:rPr>
      </w:pPr>
      <w:r>
        <w:rPr>
          <w:rFonts w:hint="default" w:ascii="仿宋" w:hAnsi="仿宋" w:eastAsia="仿宋" w:cs="Times New Roman"/>
          <w:sz w:val="32"/>
          <w:szCs w:val="32"/>
        </w:rPr>
        <w:t>我司就参加</w:t>
      </w:r>
      <w:r>
        <w:rPr>
          <w:rFonts w:hint="default" w:ascii="仿宋" w:hAnsi="仿宋" w:eastAsia="仿宋"/>
          <w:color w:val="000000"/>
          <w:sz w:val="32"/>
          <w:szCs w:val="32"/>
          <w:u w:val="none"/>
          <w:lang w:eastAsia="zh-CN"/>
        </w:rPr>
        <w:t>东莞市海心沙资源综合利用中心环保热电厂垃圾储坑渗滤液格栅维修采购项目</w:t>
      </w:r>
      <w:r>
        <w:rPr>
          <w:rFonts w:hint="default" w:ascii="仿宋" w:hAnsi="仿宋" w:eastAsia="仿宋" w:cs="Times New Roman"/>
          <w:sz w:val="32"/>
          <w:szCs w:val="32"/>
        </w:rPr>
        <w:t>报价工作，作出郑重说明：</w:t>
      </w:r>
    </w:p>
    <w:p w14:paraId="731DBCB1">
      <w:pPr>
        <w:pStyle w:val="256"/>
        <w:spacing w:before="156"/>
        <w:ind w:firstLine="640" w:firstLineChars="200"/>
        <w:rPr>
          <w:rFonts w:ascii="仿宋" w:hAnsi="仿宋" w:eastAsia="仿宋" w:cs="Times New Roman"/>
          <w:sz w:val="32"/>
          <w:szCs w:val="32"/>
        </w:rPr>
      </w:pPr>
      <w:r>
        <w:rPr>
          <w:rFonts w:hint="default" w:ascii="仿宋" w:hAnsi="仿宋" w:eastAsia="仿宋" w:cs="Times New Roman"/>
          <w:sz w:val="32"/>
          <w:szCs w:val="32"/>
        </w:rPr>
        <w:t>我司保证响应文件及其后提供的一切材料都是真实的；</w:t>
      </w:r>
    </w:p>
    <w:p w14:paraId="07FBD5A3">
      <w:pPr>
        <w:pStyle w:val="256"/>
        <w:spacing w:before="156"/>
        <w:ind w:firstLine="640" w:firstLineChars="200"/>
        <w:rPr>
          <w:rFonts w:ascii="仿宋" w:hAnsi="仿宋" w:eastAsia="仿宋" w:cs="Times New Roman"/>
          <w:sz w:val="32"/>
          <w:szCs w:val="32"/>
        </w:rPr>
      </w:pPr>
      <w:r>
        <w:rPr>
          <w:rFonts w:hint="default" w:ascii="仿宋" w:hAnsi="仿宋" w:eastAsia="仿宋" w:cs="Times New Roman"/>
          <w:sz w:val="32"/>
          <w:szCs w:val="32"/>
        </w:rPr>
        <w:t>我司因</w:t>
      </w:r>
      <w:r>
        <w:rPr>
          <w:rFonts w:hint="default" w:ascii="仿宋" w:hAnsi="仿宋" w:eastAsia="仿宋" w:cs="Times New Roman"/>
          <w:sz w:val="32"/>
          <w:szCs w:val="32"/>
          <w:u w:val="single"/>
          <w:lang w:val="en-US" w:eastAsia="zh-CN"/>
        </w:rPr>
        <w:t xml:space="preserve">          </w:t>
      </w:r>
      <w:r>
        <w:rPr>
          <w:rFonts w:hint="default" w:ascii="仿宋" w:hAnsi="仿宋" w:eastAsia="仿宋" w:cs="Times New Roman"/>
          <w:sz w:val="32"/>
          <w:szCs w:val="32"/>
          <w:u w:val="none"/>
        </w:rPr>
        <w:t>原因</w:t>
      </w:r>
      <w:r>
        <w:rPr>
          <w:rFonts w:hint="default" w:ascii="仿宋" w:hAnsi="仿宋" w:eastAsia="仿宋" w:cs="Times New Roman"/>
          <w:sz w:val="32"/>
          <w:szCs w:val="32"/>
        </w:rPr>
        <w:t>情况未能到现场参加开标工作，对开标结果不存在任何异议。</w:t>
      </w:r>
    </w:p>
    <w:p w14:paraId="421465D3">
      <w:pPr>
        <w:spacing w:before="120"/>
        <w:ind w:firstLine="640" w:firstLineChars="200"/>
        <w:rPr>
          <w:rFonts w:ascii="仿宋" w:hAnsi="仿宋" w:eastAsia="仿宋" w:cs="Times New Roman"/>
          <w:sz w:val="32"/>
          <w:szCs w:val="32"/>
        </w:rPr>
      </w:pPr>
      <w:r>
        <w:rPr>
          <w:rFonts w:hint="eastAsia" w:ascii="仿宋" w:hAnsi="仿宋" w:eastAsia="仿宋" w:cs="仿宋"/>
          <w:sz w:val="32"/>
          <w:szCs w:val="32"/>
        </w:rPr>
        <w:t xml:space="preserve">  </w:t>
      </w:r>
    </w:p>
    <w:p w14:paraId="13E56ED8">
      <w:pPr>
        <w:pStyle w:val="256"/>
        <w:wordWrap w:val="0"/>
        <w:spacing w:before="156"/>
        <w:ind w:firstLine="0" w:firstLineChars="0"/>
        <w:rPr>
          <w:rFonts w:ascii="仿宋" w:hAnsi="仿宋" w:eastAsia="仿宋" w:cs="Times New Roman"/>
          <w:sz w:val="32"/>
          <w:szCs w:val="32"/>
        </w:rPr>
      </w:pPr>
      <w:r>
        <w:rPr>
          <w:rFonts w:hint="default" w:ascii="仿宋" w:hAnsi="仿宋" w:eastAsia="仿宋" w:cs="Times New Roman"/>
          <w:sz w:val="32"/>
          <w:szCs w:val="32"/>
          <w:lang w:eastAsia="zh-CN"/>
        </w:rPr>
        <w:t>响应人</w:t>
      </w:r>
      <w:r>
        <w:rPr>
          <w:rFonts w:hint="default" w:ascii="仿宋" w:hAnsi="仿宋" w:eastAsia="仿宋" w:cs="Times New Roman"/>
          <w:sz w:val="32"/>
          <w:szCs w:val="32"/>
        </w:rPr>
        <w:t>名称（加盖公章）：</w:t>
      </w:r>
    </w:p>
    <w:p w14:paraId="6FDB5E12">
      <w:pPr>
        <w:pStyle w:val="256"/>
        <w:wordWrap w:val="0"/>
        <w:spacing w:before="156"/>
        <w:ind w:firstLine="0" w:firstLineChars="0"/>
        <w:rPr>
          <w:rFonts w:ascii="仿宋" w:hAnsi="仿宋" w:eastAsia="仿宋" w:cs="Times New Roman"/>
          <w:sz w:val="32"/>
          <w:szCs w:val="32"/>
        </w:rPr>
      </w:pPr>
      <w:r>
        <w:rPr>
          <w:rFonts w:hint="default" w:ascii="仿宋" w:hAnsi="仿宋" w:eastAsia="仿宋" w:cs="Times New Roman"/>
          <w:sz w:val="32"/>
          <w:szCs w:val="32"/>
        </w:rPr>
        <w:t>法定代表人（签字或盖章）：</w:t>
      </w:r>
    </w:p>
    <w:p w14:paraId="0B11C6E1">
      <w:pPr>
        <w:pStyle w:val="256"/>
        <w:wordWrap w:val="0"/>
        <w:spacing w:before="156"/>
        <w:ind w:firstLine="0" w:firstLineChars="0"/>
        <w:rPr>
          <w:rFonts w:hint="default" w:ascii="仿宋" w:hAnsi="仿宋" w:eastAsia="仿宋" w:cs="Times New Roman"/>
          <w:sz w:val="32"/>
          <w:szCs w:val="32"/>
        </w:rPr>
      </w:pPr>
      <w:r>
        <w:rPr>
          <w:rFonts w:hint="default" w:ascii="仿宋" w:hAnsi="仿宋" w:eastAsia="仿宋" w:cs="Times New Roman"/>
          <w:sz w:val="32"/>
          <w:szCs w:val="32"/>
        </w:rPr>
        <w:t>日期：</w:t>
      </w:r>
    </w:p>
    <w:p w14:paraId="31622A43">
      <w:r>
        <w:br w:type="page"/>
      </w:r>
    </w:p>
    <w:p w14:paraId="73F39FEA">
      <w:pPr>
        <w:pStyle w:val="255"/>
        <w:numPr>
          <w:ilvl w:val="0"/>
          <w:numId w:val="5"/>
        </w:numPr>
        <w:spacing w:before="120"/>
        <w:ind w:left="420" w:firstLineChars="0"/>
        <w:outlineLvl w:val="1"/>
        <w:rPr>
          <w:rFonts w:ascii="宋体" w:hAnsi="宋体"/>
          <w:b/>
          <w:bCs/>
          <w:szCs w:val="40"/>
        </w:rPr>
      </w:pPr>
      <w:r>
        <w:rPr>
          <w:rFonts w:hint="eastAsia" w:ascii="宋体" w:hAnsi="宋体"/>
          <w:b/>
          <w:bCs/>
          <w:szCs w:val="40"/>
          <w:lang w:val="en-US" w:eastAsia="zh-CN"/>
        </w:rPr>
        <w:t>踏勘及响应承诺函</w:t>
      </w:r>
    </w:p>
    <w:p w14:paraId="16A364B8">
      <w:pPr>
        <w:pStyle w:val="255"/>
        <w:ind w:firstLine="0" w:firstLineChars="0"/>
        <w:jc w:val="center"/>
        <w:rPr>
          <w:rFonts w:hint="eastAsia" w:eastAsia="仿宋_GB2312"/>
          <w:b/>
          <w:color w:val="000000"/>
          <w:sz w:val="32"/>
          <w:szCs w:val="32"/>
          <w:lang w:val="en-US" w:eastAsia="zh-CN"/>
        </w:rPr>
      </w:pPr>
      <w:r>
        <w:rPr>
          <w:rFonts w:hint="eastAsia" w:eastAsia="仿宋_GB2312"/>
          <w:b/>
          <w:color w:val="000000"/>
          <w:sz w:val="32"/>
          <w:szCs w:val="32"/>
          <w:lang w:val="en-US" w:eastAsia="zh-CN"/>
        </w:rPr>
        <w:t>踏勘响应</w:t>
      </w:r>
      <w:r>
        <w:rPr>
          <w:rFonts w:hint="eastAsia" w:eastAsia="仿宋_GB2312"/>
          <w:b/>
          <w:color w:val="000000"/>
          <w:sz w:val="32"/>
          <w:szCs w:val="32"/>
        </w:rPr>
        <w:t>承诺</w:t>
      </w:r>
      <w:r>
        <w:rPr>
          <w:rFonts w:hint="eastAsia" w:eastAsia="仿宋_GB2312"/>
          <w:b/>
          <w:color w:val="000000"/>
          <w:sz w:val="32"/>
          <w:szCs w:val="32"/>
          <w:lang w:val="en-US" w:eastAsia="zh-CN"/>
        </w:rPr>
        <w:t>函</w:t>
      </w:r>
    </w:p>
    <w:p w14:paraId="2FE5C05B">
      <w:pPr>
        <w:rPr>
          <w:rFonts w:eastAsia="仿宋_GB2312"/>
          <w:color w:val="000000"/>
          <w:sz w:val="32"/>
          <w:szCs w:val="32"/>
        </w:rPr>
      </w:pPr>
      <w:r>
        <w:rPr>
          <w:rFonts w:eastAsia="仿宋_GB2312"/>
          <w:color w:val="000000"/>
          <w:sz w:val="32"/>
          <w:szCs w:val="32"/>
          <w:u w:val="single"/>
        </w:rPr>
        <w:t xml:space="preserve"> </w:t>
      </w:r>
      <w:r>
        <w:rPr>
          <w:rFonts w:hint="eastAsia" w:eastAsia="仿宋_GB2312"/>
          <w:color w:val="000000"/>
          <w:sz w:val="32"/>
          <w:szCs w:val="32"/>
          <w:u w:val="single"/>
          <w:lang w:val="en-US" w:eastAsia="zh-CN"/>
        </w:rPr>
        <w:t>东莞市新东元环保投资有限公司</w:t>
      </w:r>
      <w:r>
        <w:rPr>
          <w:rFonts w:hint="eastAsia" w:eastAsia="仿宋_GB2312"/>
          <w:color w:val="000000"/>
          <w:sz w:val="32"/>
          <w:szCs w:val="32"/>
        </w:rPr>
        <w:t>：</w:t>
      </w:r>
    </w:p>
    <w:p w14:paraId="1346C534">
      <w:pPr>
        <w:pStyle w:val="256"/>
        <w:ind w:firstLine="640" w:firstLineChars="0"/>
        <w:rPr>
          <w:rFonts w:ascii="Times New Roman" w:hAnsi="Times New Roman"/>
          <w:color w:val="000000"/>
          <w:sz w:val="32"/>
          <w:szCs w:val="32"/>
        </w:rPr>
      </w:pPr>
      <w:r>
        <w:rPr>
          <w:rFonts w:hint="eastAsia" w:ascii="Times New Roman" w:hAnsi="Times New Roman"/>
          <w:color w:val="000000"/>
          <w:sz w:val="32"/>
          <w:szCs w:val="32"/>
        </w:rPr>
        <w:t>我司就参加</w:t>
      </w:r>
      <w:r>
        <w:rPr>
          <w:rFonts w:hint="eastAsia" w:eastAsia="仿宋_GB2312"/>
          <w:color w:val="000000"/>
          <w:sz w:val="32"/>
          <w:szCs w:val="32"/>
          <w:u w:val="single"/>
          <w:lang w:eastAsia="zh-CN"/>
        </w:rPr>
        <w:t>东莞市海心沙资源综合利用中心环保热电厂垃圾储坑渗滤液格栅维修采购项目</w:t>
      </w:r>
      <w:r>
        <w:rPr>
          <w:rFonts w:hint="eastAsia" w:ascii="Times New Roman" w:hAnsi="Times New Roman"/>
          <w:color w:val="000000"/>
          <w:sz w:val="32"/>
          <w:szCs w:val="32"/>
          <w:u w:val="single"/>
          <w:lang w:val="en-US" w:eastAsia="zh-CN"/>
        </w:rPr>
        <w:t>报价响应</w:t>
      </w:r>
      <w:r>
        <w:rPr>
          <w:rFonts w:hint="eastAsia" w:ascii="Times New Roman" w:hAnsi="Times New Roman"/>
          <w:color w:val="000000"/>
          <w:sz w:val="32"/>
          <w:szCs w:val="32"/>
        </w:rPr>
        <w:t>，作出以下承诺：</w:t>
      </w:r>
    </w:p>
    <w:p w14:paraId="6DA3A3FE">
      <w:pPr>
        <w:pStyle w:val="256"/>
        <w:ind w:firstLine="659"/>
        <w:rPr>
          <w:rFonts w:hint="default" w:ascii="Times New Roman" w:hAnsi="Times New Roman" w:eastAsia="仿宋_GB2312"/>
          <w:color w:val="000000"/>
          <w:sz w:val="32"/>
          <w:szCs w:val="32"/>
          <w:lang w:val="en-US" w:eastAsia="zh-CN"/>
        </w:rPr>
      </w:pPr>
      <w:r>
        <w:rPr>
          <w:rFonts w:hint="eastAsia" w:ascii="Times New Roman" w:hAnsi="Times New Roman"/>
          <w:color w:val="000000"/>
          <w:sz w:val="32"/>
          <w:szCs w:val="32"/>
        </w:rPr>
        <w:t>我公司已</w:t>
      </w:r>
      <w:r>
        <w:rPr>
          <w:rFonts w:hint="eastAsia" w:ascii="Times New Roman" w:hAnsi="Times New Roman"/>
          <w:color w:val="000000"/>
          <w:sz w:val="32"/>
          <w:szCs w:val="32"/>
          <w:lang w:val="en-US" w:eastAsia="zh-CN"/>
        </w:rPr>
        <w:t>对项目进行踏勘并</w:t>
      </w:r>
      <w:r>
        <w:rPr>
          <w:rFonts w:hint="eastAsia" w:ascii="Times New Roman" w:hAnsi="Times New Roman"/>
          <w:color w:val="000000"/>
          <w:sz w:val="32"/>
          <w:szCs w:val="32"/>
        </w:rPr>
        <w:t>充分了解采购项目情况，本次报价完全响应</w:t>
      </w:r>
      <w:r>
        <w:rPr>
          <w:rFonts w:hint="eastAsia" w:ascii="Times New Roman" w:hAnsi="Times New Roman"/>
          <w:color w:val="000000"/>
          <w:sz w:val="32"/>
          <w:szCs w:val="32"/>
          <w:lang w:val="en-US" w:eastAsia="zh-CN"/>
        </w:rPr>
        <w:t>本项目采购</w:t>
      </w:r>
      <w:r>
        <w:rPr>
          <w:rFonts w:hint="eastAsia" w:ascii="Times New Roman" w:hAnsi="Times New Roman"/>
          <w:color w:val="000000"/>
          <w:sz w:val="32"/>
          <w:szCs w:val="32"/>
        </w:rPr>
        <w:t>文件</w:t>
      </w:r>
      <w:r>
        <w:rPr>
          <w:rFonts w:hint="eastAsia" w:ascii="Times New Roman" w:hAnsi="Times New Roman"/>
          <w:color w:val="000000"/>
          <w:sz w:val="32"/>
          <w:szCs w:val="32"/>
          <w:lang w:val="en-US" w:eastAsia="zh-CN"/>
        </w:rPr>
        <w:t>及其全部附件的所有</w:t>
      </w:r>
      <w:r>
        <w:rPr>
          <w:rFonts w:hint="eastAsia" w:ascii="Times New Roman" w:hAnsi="Times New Roman"/>
          <w:color w:val="000000"/>
          <w:sz w:val="32"/>
          <w:szCs w:val="32"/>
        </w:rPr>
        <w:t>要求，我公司</w:t>
      </w:r>
      <w:r>
        <w:rPr>
          <w:rFonts w:hint="eastAsia" w:ascii="Times New Roman" w:hAnsi="Times New Roman"/>
          <w:color w:val="000000"/>
          <w:sz w:val="32"/>
          <w:szCs w:val="32"/>
          <w:lang w:val="en-US" w:eastAsia="zh-CN"/>
        </w:rPr>
        <w:t>本次项目响应</w:t>
      </w:r>
      <w:r>
        <w:rPr>
          <w:rFonts w:hint="eastAsia" w:ascii="Times New Roman" w:hAnsi="Times New Roman"/>
          <w:color w:val="000000"/>
          <w:sz w:val="32"/>
          <w:szCs w:val="32"/>
        </w:rPr>
        <w:t>等于或优于采购人需求，并承诺如不满足采购人需求，采购人有权取消</w:t>
      </w:r>
      <w:r>
        <w:rPr>
          <w:rFonts w:hint="eastAsia" w:ascii="Times New Roman" w:hAnsi="Times New Roman"/>
          <w:color w:val="000000"/>
          <w:sz w:val="32"/>
          <w:szCs w:val="32"/>
          <w:lang w:val="en-US" w:eastAsia="zh-CN"/>
        </w:rPr>
        <w:t>我公司成交资格或单方面解除合同</w:t>
      </w:r>
      <w:r>
        <w:rPr>
          <w:rFonts w:hint="eastAsia" w:ascii="Times New Roman" w:hAnsi="Times New Roman"/>
          <w:color w:val="000000"/>
          <w:sz w:val="32"/>
          <w:szCs w:val="32"/>
        </w:rPr>
        <w:t>。</w:t>
      </w:r>
    </w:p>
    <w:p w14:paraId="29C068C0">
      <w:pPr>
        <w:pStyle w:val="256"/>
        <w:ind w:right="160" w:firstLine="0" w:firstLineChars="0"/>
        <w:jc w:val="left"/>
        <w:rPr>
          <w:rFonts w:hint="eastAsia" w:ascii="Times New Roman" w:hAnsi="Times New Roman"/>
          <w:color w:val="000000"/>
          <w:sz w:val="32"/>
          <w:szCs w:val="32"/>
        </w:rPr>
      </w:pPr>
    </w:p>
    <w:p w14:paraId="12901E4A">
      <w:pPr>
        <w:pStyle w:val="256"/>
        <w:wordWrap w:val="0"/>
        <w:spacing w:before="156"/>
        <w:ind w:right="0" w:firstLine="0" w:firstLineChars="0"/>
        <w:jc w:val="left"/>
        <w:rPr>
          <w:rFonts w:ascii="仿宋" w:hAnsi="仿宋" w:eastAsia="仿宋"/>
          <w:color w:val="auto"/>
          <w:sz w:val="32"/>
          <w:szCs w:val="32"/>
        </w:rPr>
      </w:pPr>
      <w:r>
        <w:rPr>
          <w:rFonts w:hint="default" w:ascii="仿宋" w:hAnsi="仿宋" w:eastAsia="仿宋"/>
          <w:color w:val="auto"/>
          <w:sz w:val="32"/>
          <w:szCs w:val="32"/>
        </w:rPr>
        <w:t>响应人名称（加盖公章）：</w:t>
      </w:r>
    </w:p>
    <w:p w14:paraId="4A955BC0">
      <w:pPr>
        <w:pStyle w:val="256"/>
        <w:wordWrap w:val="0"/>
        <w:spacing w:before="156"/>
        <w:ind w:firstLine="0" w:firstLineChars="0"/>
        <w:jc w:val="left"/>
        <w:rPr>
          <w:rFonts w:ascii="仿宋" w:hAnsi="仿宋" w:eastAsia="仿宋"/>
          <w:color w:val="auto"/>
          <w:sz w:val="32"/>
          <w:szCs w:val="32"/>
        </w:rPr>
      </w:pPr>
      <w:r>
        <w:rPr>
          <w:rFonts w:hint="default" w:ascii="仿宋" w:hAnsi="仿宋" w:eastAsia="仿宋"/>
          <w:color w:val="auto"/>
          <w:sz w:val="32"/>
          <w:szCs w:val="32"/>
        </w:rPr>
        <w:t>响应人地址：</w:t>
      </w:r>
    </w:p>
    <w:p w14:paraId="7EF40E7A">
      <w:pPr>
        <w:pStyle w:val="256"/>
        <w:wordWrap w:val="0"/>
        <w:spacing w:before="156"/>
        <w:ind w:firstLine="0" w:firstLineChars="0"/>
        <w:jc w:val="left"/>
        <w:rPr>
          <w:rFonts w:ascii="仿宋" w:hAnsi="仿宋" w:eastAsia="仿宋"/>
          <w:color w:val="auto"/>
          <w:sz w:val="32"/>
          <w:szCs w:val="32"/>
        </w:rPr>
      </w:pPr>
      <w:r>
        <w:rPr>
          <w:rFonts w:hint="default" w:ascii="仿宋" w:hAnsi="仿宋" w:eastAsia="仿宋"/>
          <w:color w:val="auto"/>
          <w:sz w:val="32"/>
          <w:szCs w:val="32"/>
        </w:rPr>
        <w:t>法定代表人（签字或盖章）：</w:t>
      </w:r>
    </w:p>
    <w:p w14:paraId="0B61CB72">
      <w:pPr>
        <w:pStyle w:val="256"/>
        <w:wordWrap w:val="0"/>
        <w:spacing w:before="156"/>
        <w:ind w:firstLine="0" w:firstLineChars="0"/>
        <w:jc w:val="left"/>
        <w:rPr>
          <w:rFonts w:hint="default" w:ascii="仿宋" w:hAnsi="仿宋" w:eastAsia="仿宋"/>
          <w:sz w:val="32"/>
          <w:szCs w:val="32"/>
        </w:rPr>
      </w:pPr>
      <w:r>
        <w:rPr>
          <w:rFonts w:hint="default" w:ascii="仿宋" w:hAnsi="仿宋" w:eastAsia="仿宋"/>
          <w:color w:val="auto"/>
          <w:sz w:val="32"/>
          <w:szCs w:val="32"/>
        </w:rPr>
        <w:t>职务：</w:t>
      </w:r>
    </w:p>
    <w:p w14:paraId="359F9B84">
      <w:pPr>
        <w:pStyle w:val="256"/>
        <w:wordWrap w:val="0"/>
        <w:spacing w:before="156"/>
        <w:ind w:firstLine="0" w:firstLineChars="0"/>
        <w:rPr>
          <w:rFonts w:ascii="仿宋" w:hAnsi="仿宋" w:eastAsia="仿宋"/>
          <w:sz w:val="32"/>
          <w:szCs w:val="32"/>
        </w:rPr>
      </w:pPr>
      <w:r>
        <w:rPr>
          <w:rFonts w:hint="default" w:ascii="仿宋" w:hAnsi="仿宋" w:eastAsia="仿宋"/>
          <w:color w:val="auto"/>
          <w:sz w:val="32"/>
          <w:szCs w:val="32"/>
        </w:rPr>
        <w:t>日期：</w:t>
      </w:r>
    </w:p>
    <w:p w14:paraId="3C829612">
      <w:pPr>
        <w:spacing w:before="120"/>
        <w:ind w:left="420" w:firstLineChars="0"/>
        <w:outlineLvl w:val="1"/>
        <w:rPr>
          <w:rFonts w:hAnsi="宋体"/>
        </w:rPr>
      </w:pPr>
      <w:r>
        <w:rPr>
          <w:rFonts w:hint="eastAsia" w:ascii="宋体" w:hAnsi="宋体"/>
          <w:b/>
          <w:bCs/>
          <w:szCs w:val="40"/>
        </w:rPr>
        <w:br w:type="page"/>
      </w:r>
    </w:p>
    <w:p w14:paraId="554B3972">
      <w:pPr>
        <w:pStyle w:val="255"/>
        <w:numPr>
          <w:ilvl w:val="0"/>
          <w:numId w:val="5"/>
        </w:numPr>
        <w:spacing w:before="120"/>
        <w:ind w:left="420" w:firstLineChars="0"/>
        <w:outlineLvl w:val="1"/>
        <w:rPr>
          <w:rFonts w:hAnsi="宋体"/>
        </w:rPr>
      </w:pPr>
      <w:r>
        <w:rPr>
          <w:rFonts w:hint="eastAsia" w:ascii="宋体" w:hAnsi="宋体"/>
          <w:b/>
          <w:bCs/>
          <w:szCs w:val="40"/>
        </w:rPr>
        <w:t>合同格式</w:t>
      </w:r>
      <w:bookmarkEnd w:id="0"/>
    </w:p>
    <w:p w14:paraId="38247E30">
      <w:pPr>
        <w:pStyle w:val="255"/>
        <w:numPr>
          <w:ilvl w:val="255"/>
          <w:numId w:val="0"/>
        </w:numPr>
        <w:spacing w:before="120"/>
        <w:outlineLvl w:val="1"/>
        <w:rPr>
          <w:b/>
        </w:rPr>
      </w:pPr>
      <w:r>
        <w:rPr>
          <w:rFonts w:hint="eastAsia"/>
          <w:b/>
        </w:rPr>
        <w:t>甲方合同编号：</w:t>
      </w:r>
    </w:p>
    <w:p w14:paraId="6E1BFA16">
      <w:pPr>
        <w:pStyle w:val="46"/>
        <w:shd w:val="clear" w:color="auto" w:fill="FFFFFF"/>
        <w:spacing w:beforeAutospacing="0" w:afterAutospacing="0" w:line="560" w:lineRule="exact"/>
        <w:rPr>
          <w:b/>
        </w:rPr>
      </w:pPr>
      <w:r>
        <w:rPr>
          <w:rFonts w:hint="eastAsia"/>
          <w:b/>
        </w:rPr>
        <w:t>乙方合同编号：</w:t>
      </w:r>
    </w:p>
    <w:p w14:paraId="4C1CA67F">
      <w:pPr>
        <w:pStyle w:val="20"/>
      </w:pPr>
    </w:p>
    <w:p w14:paraId="493F18D9">
      <w:pPr>
        <w:pStyle w:val="20"/>
      </w:pPr>
    </w:p>
    <w:p w14:paraId="7003C9FF">
      <w:pPr>
        <w:pStyle w:val="20"/>
      </w:pPr>
    </w:p>
    <w:p w14:paraId="6ADB6EC3">
      <w:pPr>
        <w:jc w:val="center"/>
        <w:rPr>
          <w:rFonts w:ascii="仿宋_GB2312" w:hAnsi="宋体" w:eastAsia="仿宋_GB2312" w:cs="微软雅黑"/>
          <w:b/>
          <w:sz w:val="48"/>
          <w:szCs w:val="44"/>
        </w:rPr>
      </w:pPr>
      <w:r>
        <w:rPr>
          <w:rFonts w:hint="eastAsia" w:ascii="仿宋_GB2312" w:hAnsi="宋体" w:eastAsia="仿宋_GB2312" w:cs="微软雅黑"/>
          <w:b/>
          <w:sz w:val="48"/>
          <w:szCs w:val="44"/>
        </w:rPr>
        <w:t>东莞市海心沙资源综合利用中心环保热电厂垃圾储坑渗滤液格栅维修采购项目合同</w:t>
      </w:r>
    </w:p>
    <w:p w14:paraId="3A6F91AD">
      <w:pPr>
        <w:pStyle w:val="20"/>
      </w:pPr>
      <w:r>
        <w:t>（</w:t>
      </w:r>
      <w:r>
        <w:rPr>
          <w:rFonts w:hint="eastAsia"/>
        </w:rPr>
        <w:t>2</w:t>
      </w:r>
      <w:r>
        <w:t>022第一版）</w:t>
      </w:r>
    </w:p>
    <w:p w14:paraId="27011C8B">
      <w:pPr>
        <w:pStyle w:val="20"/>
        <w:jc w:val="center"/>
      </w:pPr>
    </w:p>
    <w:p w14:paraId="6E8664CF">
      <w:pPr>
        <w:pStyle w:val="20"/>
      </w:pPr>
    </w:p>
    <w:p w14:paraId="7D9AD4DF">
      <w:pPr>
        <w:pStyle w:val="20"/>
      </w:pPr>
    </w:p>
    <w:p w14:paraId="2B942D55">
      <w:pPr>
        <w:pStyle w:val="20"/>
      </w:pPr>
    </w:p>
    <w:p w14:paraId="3E467E12">
      <w:pPr>
        <w:pStyle w:val="20"/>
      </w:pPr>
    </w:p>
    <w:p w14:paraId="7F54057E">
      <w:pPr>
        <w:spacing w:line="640" w:lineRule="exact"/>
        <w:ind w:left="1133" w:leftChars="472"/>
        <w:jc w:val="left"/>
        <w:rPr>
          <w:rFonts w:ascii="宋体" w:hAnsi="宋体"/>
          <w:b/>
          <w:color w:val="262626"/>
          <w:sz w:val="32"/>
          <w:szCs w:val="28"/>
          <w:u w:val="single"/>
        </w:rPr>
      </w:pPr>
      <w:r>
        <w:rPr>
          <w:rFonts w:hint="eastAsia" w:ascii="宋体" w:hAnsi="宋体"/>
          <w:b/>
          <w:color w:val="262626"/>
          <w:sz w:val="32"/>
          <w:szCs w:val="28"/>
        </w:rPr>
        <w:t>发包人（甲方）：</w:t>
      </w:r>
      <w:r>
        <w:rPr>
          <w:rFonts w:ascii="宋体" w:hAnsi="宋体"/>
          <w:b/>
          <w:color w:val="262626"/>
          <w:sz w:val="32"/>
          <w:szCs w:val="28"/>
          <w:u w:val="single"/>
        </w:rPr>
        <w:t xml:space="preserve"> </w:t>
      </w:r>
      <w:r>
        <w:rPr>
          <w:rFonts w:hint="eastAsia" w:ascii="宋体" w:hAnsi="宋体"/>
          <w:b/>
          <w:color w:val="262626"/>
          <w:sz w:val="32"/>
          <w:szCs w:val="28"/>
          <w:u w:val="single"/>
          <w:lang w:val="en-US" w:eastAsia="zh-CN"/>
        </w:rPr>
        <w:t>东莞市新东元环保投资有限公司</w:t>
      </w:r>
      <w:r>
        <w:rPr>
          <w:rFonts w:ascii="宋体" w:hAnsi="宋体"/>
          <w:b/>
          <w:color w:val="262626"/>
          <w:sz w:val="32"/>
          <w:szCs w:val="28"/>
          <w:u w:val="single"/>
        </w:rPr>
        <w:t xml:space="preserve">  </w:t>
      </w:r>
    </w:p>
    <w:p w14:paraId="395C1570">
      <w:pPr>
        <w:tabs>
          <w:tab w:val="right" w:pos="8312"/>
        </w:tabs>
        <w:spacing w:line="640" w:lineRule="exact"/>
        <w:ind w:left="1133" w:leftChars="472"/>
        <w:jc w:val="left"/>
        <w:rPr>
          <w:rFonts w:ascii="宋体" w:hAnsi="宋体"/>
          <w:b/>
          <w:sz w:val="32"/>
          <w:szCs w:val="28"/>
          <w:u w:val="single"/>
        </w:rPr>
      </w:pPr>
      <w:r>
        <w:rPr>
          <w:rFonts w:hint="eastAsia" w:ascii="宋体" w:hAnsi="宋体"/>
          <w:b/>
          <w:sz w:val="32"/>
          <w:szCs w:val="28"/>
        </w:rPr>
        <w:t>承包人（乙方）：</w:t>
      </w:r>
      <w:r>
        <w:rPr>
          <w:rFonts w:hint="eastAsia" w:ascii="宋体" w:hAnsi="宋体"/>
          <w:b/>
          <w:sz w:val="32"/>
          <w:szCs w:val="28"/>
          <w:u w:val="single"/>
        </w:rPr>
        <w:t xml:space="preserve">  </w:t>
      </w:r>
      <w:r>
        <w:rPr>
          <w:rFonts w:ascii="宋体" w:hAnsi="宋体"/>
          <w:b/>
          <w:sz w:val="32"/>
          <w:szCs w:val="28"/>
          <w:u w:val="single"/>
        </w:rPr>
        <w:t xml:space="preserve">                      </w:t>
      </w:r>
    </w:p>
    <w:p w14:paraId="4A465D92">
      <w:pPr>
        <w:spacing w:line="640" w:lineRule="exact"/>
        <w:ind w:left="1133" w:leftChars="472"/>
        <w:jc w:val="left"/>
        <w:rPr>
          <w:rFonts w:ascii="黑体" w:hAnsi="宋体" w:eastAsia="黑体"/>
          <w:sz w:val="32"/>
          <w:szCs w:val="28"/>
        </w:rPr>
      </w:pPr>
      <w:r>
        <w:rPr>
          <w:rFonts w:hint="eastAsia" w:ascii="黑体" w:hAnsi="宋体" w:eastAsia="黑体"/>
          <w:sz w:val="32"/>
          <w:szCs w:val="28"/>
        </w:rPr>
        <w:t>签订时间：</w:t>
      </w:r>
      <w:r>
        <w:rPr>
          <w:rFonts w:ascii="黑体" w:hAnsi="宋体" w:eastAsia="黑体"/>
          <w:sz w:val="32"/>
          <w:szCs w:val="28"/>
        </w:rPr>
        <w:t xml:space="preserve">   </w:t>
      </w:r>
      <w:r>
        <w:rPr>
          <w:rFonts w:hint="eastAsia" w:ascii="黑体" w:hAnsi="宋体" w:eastAsia="黑体"/>
          <w:sz w:val="32"/>
          <w:szCs w:val="28"/>
        </w:rPr>
        <w:t xml:space="preserve">年 </w:t>
      </w:r>
      <w:r>
        <w:rPr>
          <w:rFonts w:ascii="黑体" w:hAnsi="宋体" w:eastAsia="黑体"/>
          <w:sz w:val="32"/>
          <w:szCs w:val="28"/>
        </w:rPr>
        <w:t xml:space="preserve"> </w:t>
      </w:r>
      <w:r>
        <w:rPr>
          <w:rFonts w:hint="eastAsia" w:ascii="黑体" w:hAnsi="宋体" w:eastAsia="黑体"/>
          <w:sz w:val="32"/>
          <w:szCs w:val="28"/>
        </w:rPr>
        <w:t>月    日</w:t>
      </w:r>
    </w:p>
    <w:p w14:paraId="3D1387FD">
      <w:pPr>
        <w:spacing w:line="640" w:lineRule="exact"/>
        <w:ind w:left="1133" w:leftChars="472"/>
        <w:jc w:val="left"/>
        <w:rPr>
          <w:rFonts w:ascii="宋体" w:hAnsi="宋体" w:eastAsia="黑体"/>
          <w:sz w:val="32"/>
          <w:szCs w:val="28"/>
        </w:rPr>
      </w:pPr>
      <w:r>
        <w:rPr>
          <w:rFonts w:hint="eastAsia" w:ascii="黑体" w:hAnsi="宋体" w:eastAsia="黑体"/>
          <w:sz w:val="32"/>
          <w:szCs w:val="28"/>
        </w:rPr>
        <w:t>签订地点：广东省东莞</w:t>
      </w:r>
      <w:r>
        <w:rPr>
          <w:rFonts w:ascii="黑体" w:hAnsi="宋体" w:eastAsia="黑体"/>
          <w:sz w:val="32"/>
          <w:szCs w:val="28"/>
        </w:rPr>
        <w:t>市</w:t>
      </w:r>
    </w:p>
    <w:p w14:paraId="3FEBC44E">
      <w:pPr>
        <w:pStyle w:val="20"/>
      </w:pPr>
    </w:p>
    <w:p w14:paraId="0C4F7866">
      <w:pPr>
        <w:spacing w:line="380" w:lineRule="exact"/>
        <w:rPr>
          <w:rFonts w:ascii="仿宋_GB2312" w:eastAsia="仿宋_GB2312"/>
          <w:color w:val="0000FF"/>
          <w:sz w:val="36"/>
          <w:szCs w:val="32"/>
        </w:rPr>
      </w:pPr>
      <w:r>
        <w:br w:type="page"/>
      </w:r>
      <w:r>
        <w:rPr>
          <w:rFonts w:hint="eastAsia" w:ascii="仿宋_GB2312" w:hAnsi="宋体" w:eastAsia="仿宋_GB2312" w:cs="宋体"/>
          <w:b/>
          <w:bCs/>
          <w:sz w:val="28"/>
        </w:rPr>
        <w:t>发包人（甲方）：东莞市新东元环保投资有限公司</w:t>
      </w:r>
    </w:p>
    <w:p w14:paraId="797FA140">
      <w:pPr>
        <w:spacing w:line="380" w:lineRule="exact"/>
        <w:rPr>
          <w:rFonts w:ascii="仿宋_GB2312" w:eastAsia="仿宋_GB2312"/>
          <w:color w:val="0000FF"/>
          <w:sz w:val="36"/>
          <w:szCs w:val="32"/>
        </w:rPr>
      </w:pPr>
      <w:r>
        <w:rPr>
          <w:rFonts w:hint="eastAsia" w:ascii="仿宋_GB2312" w:hAnsi="宋体" w:eastAsia="仿宋_GB2312" w:cs="宋体"/>
          <w:b/>
          <w:bCs/>
          <w:sz w:val="28"/>
        </w:rPr>
        <w:t>承包人（乙方）：</w:t>
      </w:r>
      <w:r>
        <w:rPr>
          <w:rFonts w:hint="eastAsia" w:ascii="仿宋_GB2312" w:hAnsi="宋体" w:eastAsia="仿宋_GB2312" w:cs="宋体"/>
          <w:bCs/>
          <w:sz w:val="28"/>
          <w:u w:val="single"/>
        </w:rPr>
        <w:t xml:space="preserve"> </w:t>
      </w:r>
      <w:r>
        <w:rPr>
          <w:rFonts w:ascii="仿宋_GB2312" w:hAnsi="宋体" w:eastAsia="仿宋_GB2312" w:cs="宋体"/>
          <w:bCs/>
          <w:sz w:val="28"/>
          <w:u w:val="single"/>
        </w:rPr>
        <w:t xml:space="preserve">                 </w:t>
      </w:r>
      <w:r>
        <w:rPr>
          <w:rFonts w:hint="eastAsia" w:ascii="仿宋_GB2312" w:hAnsi="宋体" w:eastAsia="仿宋_GB2312" w:cs="宋体"/>
          <w:sz w:val="28"/>
          <w:u w:val="single"/>
        </w:rPr>
        <w:t xml:space="preserve"> </w:t>
      </w:r>
      <w:r>
        <w:rPr>
          <w:rFonts w:ascii="仿宋_GB2312" w:hAnsi="宋体" w:eastAsia="仿宋_GB2312" w:cs="宋体"/>
          <w:sz w:val="28"/>
          <w:u w:val="single"/>
        </w:rPr>
        <w:t xml:space="preserve">   </w:t>
      </w:r>
    </w:p>
    <w:p w14:paraId="0143C7E8">
      <w:pPr>
        <w:spacing w:line="380" w:lineRule="exact"/>
        <w:rPr>
          <w:rFonts w:cs="宋体" w:asciiTheme="minorEastAsia" w:hAnsiTheme="minorEastAsia" w:eastAsiaTheme="minorEastAsia"/>
          <w:sz w:val="24"/>
          <w:szCs w:val="24"/>
        </w:rPr>
      </w:pPr>
    </w:p>
    <w:p w14:paraId="59F41C78">
      <w:pPr>
        <w:spacing w:line="500" w:lineRule="exact"/>
        <w:ind w:firstLine="480" w:firstLineChars="200"/>
        <w:rPr>
          <w:rFonts w:cs="宋体" w:asciiTheme="minorEastAsia" w:hAnsiTheme="minorEastAsia" w:eastAsiaTheme="minorEastAsia"/>
          <w:b/>
          <w:sz w:val="24"/>
          <w:szCs w:val="24"/>
        </w:rPr>
      </w:pPr>
      <w:r>
        <w:rPr>
          <w:rFonts w:hint="eastAsia" w:cs="宋体" w:asciiTheme="minorEastAsia" w:hAnsiTheme="minorEastAsia" w:eastAsiaTheme="minorEastAsia"/>
          <w:sz w:val="24"/>
          <w:szCs w:val="24"/>
        </w:rPr>
        <w:t>依照《中华人民共和国民法典》及其他有关法律法规规定，遵循平等、自愿、公平和诚实信用的原则，双方就</w:t>
      </w:r>
      <w:r>
        <w:rPr>
          <w:rFonts w:hint="eastAsia" w:cs="宋体" w:asciiTheme="minorEastAsia" w:hAnsiTheme="minorEastAsia" w:eastAsiaTheme="minorEastAsia"/>
          <w:sz w:val="24"/>
          <w:szCs w:val="24"/>
          <w:u w:val="single"/>
        </w:rPr>
        <w:t xml:space="preserve"> 东莞市海心沙资源综合利用中心环保热电厂垃圾储坑渗滤液格栅维修采购项目</w:t>
      </w:r>
      <w:r>
        <w:rPr>
          <w:rFonts w:hint="eastAsia" w:cs="宋体" w:asciiTheme="minorEastAsia" w:hAnsiTheme="minorEastAsia" w:eastAsiaTheme="minorEastAsia"/>
          <w:sz w:val="24"/>
          <w:szCs w:val="24"/>
        </w:rPr>
        <w:t>有关事项协商一致，特订立本合同，由甲乙双方共同遵守履行。</w:t>
      </w:r>
    </w:p>
    <w:p w14:paraId="4459DB97">
      <w:pPr>
        <w:spacing w:line="500" w:lineRule="exact"/>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一、项目概况</w:t>
      </w:r>
    </w:p>
    <w:p w14:paraId="24DD3296">
      <w:pPr>
        <w:pStyle w:val="20"/>
        <w:spacing w:after="0" w:line="500" w:lineRule="exact"/>
        <w:jc w:val="both"/>
        <w:rPr>
          <w:rFonts w:hint="eastAsia" w:asciiTheme="minorEastAsia" w:hAnsiTheme="minorEastAsia" w:eastAsiaTheme="minorEastAsia"/>
          <w:sz w:val="24"/>
          <w:szCs w:val="24"/>
          <w:u w:val="single"/>
          <w:lang w:eastAsia="zh-CN"/>
        </w:rPr>
      </w:pPr>
      <w:r>
        <w:rPr>
          <w:rFonts w:hint="eastAsia" w:cs="宋体" w:asciiTheme="minorEastAsia" w:hAnsiTheme="minorEastAsia" w:eastAsiaTheme="minorEastAsia"/>
          <w:sz w:val="24"/>
          <w:szCs w:val="24"/>
        </w:rPr>
        <w:t>1.项目名称：东莞市海心沙资源综合利用中心环保热电厂垃圾储坑渗滤液格栅维修采购项目</w:t>
      </w:r>
    </w:p>
    <w:p w14:paraId="5A089341">
      <w:pPr>
        <w:spacing w:after="0" w:line="500" w:lineRule="exact"/>
        <w:rPr>
          <w:rFonts w:asciiTheme="minorEastAsia" w:hAnsiTheme="minorEastAsia" w:eastAsiaTheme="minorEastAsia"/>
          <w:sz w:val="24"/>
          <w:szCs w:val="24"/>
        </w:rPr>
      </w:pPr>
      <w:r>
        <w:rPr>
          <w:rFonts w:hint="eastAsia" w:cs="宋体" w:asciiTheme="minorEastAsia" w:hAnsiTheme="minorEastAsia" w:eastAsiaTheme="minorEastAsia"/>
          <w:sz w:val="24"/>
          <w:szCs w:val="24"/>
        </w:rPr>
        <w:t>2.项目地点：</w:t>
      </w:r>
      <w:r>
        <w:rPr>
          <w:rFonts w:hint="eastAsia" w:cs="宋体" w:asciiTheme="minorEastAsia" w:hAnsiTheme="minorEastAsia" w:eastAsiaTheme="minorEastAsia"/>
          <w:sz w:val="24"/>
          <w:szCs w:val="24"/>
          <w:u w:val="single"/>
          <w:lang w:val="en-US" w:eastAsia="zh-CN"/>
        </w:rPr>
        <w:t>东莞市麻涌镇大步村海心沙岛</w:t>
      </w:r>
    </w:p>
    <w:p w14:paraId="564BB2A8">
      <w:pPr>
        <w:spacing w:line="500" w:lineRule="exact"/>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二</w:t>
      </w:r>
      <w:r>
        <w:rPr>
          <w:rFonts w:cs="宋体" w:asciiTheme="minorEastAsia" w:hAnsiTheme="minorEastAsia" w:eastAsiaTheme="minorEastAsia"/>
          <w:b/>
          <w:sz w:val="24"/>
          <w:szCs w:val="24"/>
        </w:rPr>
        <w:t>、承包方式</w:t>
      </w:r>
    </w:p>
    <w:p w14:paraId="6881DF52">
      <w:pPr>
        <w:pStyle w:val="20"/>
        <w:spacing w:after="0" w:line="500" w:lineRule="exact"/>
        <w:ind w:firstLine="0" w:firstLineChars="0"/>
        <w:jc w:val="both"/>
        <w:rPr>
          <w:rFonts w:cs="宋体" w:asciiTheme="minorEastAsia" w:hAnsiTheme="minorEastAsia" w:eastAsiaTheme="minorEastAsia"/>
          <w:sz w:val="24"/>
          <w:szCs w:val="24"/>
        </w:rPr>
      </w:pPr>
      <w:bookmarkStart w:id="13" w:name="_Hlk42241426"/>
      <w:r>
        <w:rPr>
          <w:rFonts w:hint="eastAsia" w:cs="宋体" w:asciiTheme="minorEastAsia" w:hAnsiTheme="minorEastAsia" w:eastAsiaTheme="minorEastAsia"/>
          <w:sz w:val="24"/>
          <w:szCs w:val="24"/>
        </w:rPr>
        <w:t>包工包料、包工期、包质量、包安全文明</w:t>
      </w:r>
      <w:bookmarkEnd w:id="13"/>
      <w:r>
        <w:rPr>
          <w:rFonts w:hint="eastAsia" w:cs="宋体" w:asciiTheme="minorEastAsia" w:hAnsiTheme="minorEastAsia" w:eastAsiaTheme="minorEastAsia"/>
          <w:sz w:val="24"/>
          <w:szCs w:val="24"/>
        </w:rPr>
        <w:t>施工、包验收、包保修的承包方式。</w:t>
      </w:r>
    </w:p>
    <w:p w14:paraId="66D4CF55">
      <w:pPr>
        <w:spacing w:line="500" w:lineRule="exact"/>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三、合同工期</w:t>
      </w:r>
    </w:p>
    <w:p w14:paraId="63590A52">
      <w:pPr>
        <w:spacing w:line="500" w:lineRule="exact"/>
        <w:rPr>
          <w:rFonts w:hint="eastAsia" w:cs="宋体" w:asciiTheme="minorEastAsia" w:hAnsiTheme="minorEastAsia" w:eastAsiaTheme="minorEastAsia"/>
          <w:b w:val="0"/>
          <w:bCs/>
          <w:sz w:val="24"/>
          <w:szCs w:val="24"/>
        </w:rPr>
      </w:pPr>
      <w:r>
        <w:rPr>
          <w:rFonts w:hint="eastAsia" w:cs="宋体" w:asciiTheme="minorEastAsia" w:hAnsiTheme="minorEastAsia" w:eastAsiaTheme="minorEastAsia"/>
          <w:b w:val="0"/>
          <w:bCs/>
          <w:sz w:val="24"/>
          <w:szCs w:val="24"/>
        </w:rPr>
        <w:t>自合同签订之日起50个日历日内完成项目的设计､供货､安装（含旧格栅拆除）</w:t>
      </w:r>
      <w:r>
        <w:rPr>
          <w:rFonts w:hint="eastAsia" w:cs="宋体" w:asciiTheme="minorEastAsia" w:hAnsiTheme="minorEastAsia" w:eastAsiaTheme="minorEastAsia"/>
          <w:b w:val="0"/>
          <w:bCs/>
          <w:sz w:val="24"/>
          <w:szCs w:val="24"/>
          <w:lang w:eastAsia="zh-CN"/>
        </w:rPr>
        <w:t>、维修改造、</w:t>
      </w:r>
      <w:r>
        <w:rPr>
          <w:rFonts w:hint="eastAsia" w:cs="宋体" w:asciiTheme="minorEastAsia" w:hAnsiTheme="minorEastAsia" w:eastAsiaTheme="minorEastAsia"/>
          <w:b w:val="0"/>
          <w:bCs/>
          <w:sz w:val="24"/>
          <w:szCs w:val="24"/>
        </w:rPr>
        <w:t>及调试服务。</w:t>
      </w:r>
    </w:p>
    <w:p w14:paraId="13D97495">
      <w:pPr>
        <w:spacing w:line="500" w:lineRule="exact"/>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四、施工内容及要求</w:t>
      </w:r>
    </w:p>
    <w:p w14:paraId="58FCEA8F">
      <w:pPr>
        <w:spacing w:line="500" w:lineRule="exact"/>
        <w:rPr>
          <w:rFonts w:cs="宋体" w:asciiTheme="minorEastAsia" w:hAnsiTheme="minorEastAsia" w:eastAsiaTheme="minorEastAsia"/>
          <w:b/>
          <w:sz w:val="24"/>
          <w:szCs w:val="24"/>
        </w:rPr>
      </w:pPr>
      <w:r>
        <w:rPr>
          <w:rFonts w:hint="eastAsia" w:cs="宋体" w:asciiTheme="minorEastAsia" w:hAnsiTheme="minorEastAsia" w:eastAsiaTheme="minorEastAsia"/>
          <w:sz w:val="24"/>
          <w:szCs w:val="24"/>
        </w:rPr>
        <w:t>具体要求详见附件1《东莞市海心沙资源综合利用中心环保热电厂垃圾储坑渗滤液格栅维修采购项目技术需求书》。</w:t>
      </w:r>
    </w:p>
    <w:p w14:paraId="2B1BA4C7">
      <w:pPr>
        <w:spacing w:line="500" w:lineRule="exact"/>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五、</w:t>
      </w:r>
      <w:r>
        <w:rPr>
          <w:rFonts w:cs="宋体" w:asciiTheme="minorEastAsia" w:hAnsiTheme="minorEastAsia" w:eastAsiaTheme="minorEastAsia"/>
          <w:b/>
          <w:sz w:val="24"/>
          <w:szCs w:val="24"/>
        </w:rPr>
        <w:t>项目</w:t>
      </w:r>
      <w:r>
        <w:rPr>
          <w:rFonts w:hint="eastAsia" w:cs="宋体" w:asciiTheme="minorEastAsia" w:hAnsiTheme="minorEastAsia" w:eastAsiaTheme="minorEastAsia"/>
          <w:b/>
          <w:sz w:val="24"/>
          <w:szCs w:val="24"/>
        </w:rPr>
        <w:t>质量</w:t>
      </w:r>
      <w:r>
        <w:rPr>
          <w:rFonts w:cs="宋体" w:asciiTheme="minorEastAsia" w:hAnsiTheme="minorEastAsia" w:eastAsiaTheme="minorEastAsia"/>
          <w:b/>
          <w:sz w:val="24"/>
          <w:szCs w:val="24"/>
        </w:rPr>
        <w:t>及验收</w:t>
      </w:r>
    </w:p>
    <w:p w14:paraId="47182659">
      <w:pPr>
        <w:pStyle w:val="20"/>
        <w:spacing w:after="0" w:line="500" w:lineRule="exact"/>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1.项目质量</w:t>
      </w:r>
    </w:p>
    <w:p w14:paraId="10F61752">
      <w:pPr>
        <w:pStyle w:val="20"/>
        <w:spacing w:after="0" w:line="50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1.1乙方应按照甲方要求，执行国家、行业、项目所在地相关的最新技术标准、严格按照施工规范验收标准等组织施工，质量达到合格标准。项目质量同时须满足甲方的技术需求。如前述标准存在冲突的，以较高标准为准。</w:t>
      </w:r>
    </w:p>
    <w:p w14:paraId="310857DD">
      <w:pPr>
        <w:pStyle w:val="20"/>
        <w:spacing w:after="0" w:line="50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1.2乙方施工材料进场，应经甲方人员开箱验收，开箱验收合格方可用于项目中。隐蔽工程（如有）开始前应通报甲方到现场查看，竣工后应通知甲方组织专项验收。但甲方的前述验收合格并不免除乙方对其施工材料及工程施工的质量保证责任。甲方有证据证明乙方的施工材料、施工工程存在质量问题或不符合本合同约定要求的，甲方均有权追究乙方的违约责任。</w:t>
      </w:r>
    </w:p>
    <w:p w14:paraId="351FEBC6">
      <w:pPr>
        <w:pStyle w:val="20"/>
        <w:spacing w:after="0" w:line="50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1.3乙方所供材料、设备、设备构件等必须为全新、技术先进的合格产品，具有出厂凭证，设备型号需符合甲方技术需求书要求且符合国家相关标准（供货时出具合格有效的出厂证明、合格证等相关文件）。如乙方所供材料、设备、设备构件等和实际施工质量不满足本项目要求，乙方采购的材料、施工机具与设计或标准要求不符时，乙方应将该等材料、机具运出施工场地，重新采购符合要求的产品，并承担由此发生的费用，由此延误的工期不予顺延。经重新采购后仍不符合本合同约定要求的，甲方可委托第三方供货及施工，所产生的费用由乙方承担，并且甲方有权单方面解除本合同并追究乙方的违约责任。</w:t>
      </w:r>
    </w:p>
    <w:p w14:paraId="79D38501">
      <w:pPr>
        <w:pStyle w:val="20"/>
        <w:spacing w:after="0" w:line="500" w:lineRule="exact"/>
        <w:jc w:val="left"/>
        <w:rPr>
          <w:rFonts w:cs="宋体" w:asciiTheme="minorEastAsia" w:hAnsiTheme="minorEastAsia" w:eastAsiaTheme="minorEastAsia"/>
          <w:sz w:val="24"/>
          <w:szCs w:val="24"/>
        </w:rPr>
      </w:pPr>
      <w:r>
        <w:rPr>
          <w:rFonts w:hint="eastAsia" w:asciiTheme="minorEastAsia" w:hAnsiTheme="minorEastAsia" w:eastAsiaTheme="minorEastAsia"/>
          <w:sz w:val="24"/>
          <w:szCs w:val="24"/>
        </w:rPr>
        <w:t>1.4</w:t>
      </w:r>
      <w:r>
        <w:rPr>
          <w:rFonts w:hint="eastAsia" w:asciiTheme="minorEastAsia" w:hAnsiTheme="minorEastAsia" w:eastAsiaTheme="minorEastAsia"/>
          <w:sz w:val="24"/>
          <w:szCs w:val="24"/>
          <w:lang w:val="en-US" w:eastAsia="zh-CN"/>
        </w:rPr>
        <w:t>项目</w:t>
      </w:r>
      <w:r>
        <w:rPr>
          <w:rFonts w:hint="eastAsia" w:asciiTheme="minorEastAsia" w:hAnsiTheme="minorEastAsia" w:eastAsiaTheme="minorEastAsia"/>
          <w:sz w:val="24"/>
          <w:szCs w:val="24"/>
        </w:rPr>
        <w:t>质量具体要求详见</w:t>
      </w:r>
      <w:r>
        <w:rPr>
          <w:rFonts w:hint="eastAsia" w:cs="宋体" w:asciiTheme="minorEastAsia" w:hAnsiTheme="minorEastAsia" w:eastAsiaTheme="minorEastAsia"/>
          <w:sz w:val="24"/>
          <w:szCs w:val="24"/>
        </w:rPr>
        <w:t>附件1《东莞市海心沙资源综合利用中心环保热电厂垃圾储坑渗滤液格栅维修采购项目技术需求书》。</w:t>
      </w:r>
    </w:p>
    <w:p w14:paraId="2B812786">
      <w:pPr>
        <w:pStyle w:val="20"/>
        <w:spacing w:after="0" w:line="50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asciiTheme="minorEastAsia" w:hAnsiTheme="minorEastAsia" w:eastAsiaTheme="minorEastAsia"/>
          <w:sz w:val="24"/>
          <w:szCs w:val="24"/>
        </w:rPr>
        <w:t>.5</w:t>
      </w:r>
      <w:r>
        <w:rPr>
          <w:rFonts w:hint="eastAsia" w:asciiTheme="minorEastAsia" w:hAnsiTheme="minorEastAsia" w:eastAsiaTheme="minorEastAsia"/>
          <w:sz w:val="24"/>
          <w:szCs w:val="24"/>
        </w:rPr>
        <w:t xml:space="preserve"> 甲、乙双方若对工程质量是否达到标准有异议，可向有资质的鉴定机构申请鉴定，费用由申请方预缴，由责任方承担。</w:t>
      </w:r>
    </w:p>
    <w:p w14:paraId="6E1F49E5">
      <w:pPr>
        <w:pStyle w:val="20"/>
        <w:spacing w:after="0" w:line="500" w:lineRule="exact"/>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2.工程验收</w:t>
      </w:r>
    </w:p>
    <w:p w14:paraId="1BA93B51">
      <w:pPr>
        <w:pStyle w:val="20"/>
        <w:spacing w:after="0" w:line="500" w:lineRule="exact"/>
        <w:jc w:val="lef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rPr>
        <w:t>2.1验收的依据和标准：执行国家及项目所在地区颁布的，现行有效的施工验收规范和相关法规、规定；以本合同约定的技术和质量要求、甲乙双方确认的施工图纸及说明、施工技术文件、有关设计变更和技术交底及相关会议纪要（如有）等为准。同时，</w:t>
      </w:r>
      <w:r>
        <w:rPr>
          <w:rFonts w:hint="eastAsia" w:asciiTheme="minorEastAsia" w:hAnsiTheme="minorEastAsia" w:eastAsiaTheme="minorEastAsia"/>
          <w:sz w:val="24"/>
          <w:szCs w:val="24"/>
          <w:lang w:val="en-US" w:eastAsia="zh-CN"/>
        </w:rPr>
        <w:t>项目维修</w:t>
      </w:r>
      <w:r>
        <w:rPr>
          <w:rFonts w:hint="eastAsia" w:asciiTheme="minorEastAsia" w:hAnsiTheme="minorEastAsia" w:eastAsiaTheme="minorEastAsia"/>
          <w:sz w:val="24"/>
          <w:szCs w:val="24"/>
        </w:rPr>
        <w:t>后，其各项性能指标应达到附件1《</w:t>
      </w:r>
      <w:r>
        <w:rPr>
          <w:rFonts w:hint="eastAsia" w:cs="宋体" w:asciiTheme="minorEastAsia" w:hAnsiTheme="minorEastAsia" w:eastAsiaTheme="minorEastAsia"/>
          <w:sz w:val="24"/>
          <w:szCs w:val="24"/>
        </w:rPr>
        <w:t>东莞市海心沙资源综合利用中心环保热电厂垃圾储坑渗滤液格栅维修采购项目技术需求书</w:t>
      </w:r>
      <w:r>
        <w:rPr>
          <w:rFonts w:hint="eastAsia" w:asciiTheme="minorEastAsia" w:hAnsiTheme="minorEastAsia" w:eastAsiaTheme="minorEastAsia"/>
          <w:sz w:val="24"/>
          <w:szCs w:val="24"/>
        </w:rPr>
        <w:t>》中约定的验收标准。最终以标准较高者为准。</w:t>
      </w:r>
    </w:p>
    <w:p w14:paraId="0CED4864">
      <w:pPr>
        <w:pStyle w:val="20"/>
        <w:spacing w:after="0" w:line="50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2.2验收方式：详见</w:t>
      </w:r>
      <w:r>
        <w:rPr>
          <w:rFonts w:hint="eastAsia" w:cs="宋体" w:asciiTheme="minorEastAsia" w:hAnsiTheme="minorEastAsia" w:eastAsiaTheme="minorEastAsia"/>
          <w:sz w:val="24"/>
          <w:szCs w:val="24"/>
        </w:rPr>
        <w:t>附件1《东莞市海心沙资源综合利用中心环保热电厂垃圾储坑渗滤液格栅维修采购项目技术需求书》，直至</w:t>
      </w:r>
      <w:r>
        <w:rPr>
          <w:rFonts w:hint="eastAsia" w:asciiTheme="minorEastAsia" w:hAnsiTheme="minorEastAsia" w:eastAsiaTheme="minorEastAsia"/>
          <w:sz w:val="24"/>
          <w:szCs w:val="24"/>
        </w:rPr>
        <w:t>甲方验收合格。</w:t>
      </w:r>
    </w:p>
    <w:p w14:paraId="65A50A14">
      <w:pPr>
        <w:pStyle w:val="20"/>
        <w:spacing w:after="0" w:line="50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2.3工程具备竣工验收条件，乙方与甲方联系，甲方确定验收日期后，组织双方参加竣工验收。甲方应在竣工验收当天后5天内提出整改意见，乙方按意见整改并承担因此产生的费用，以达到工程质量验收标准，且不得超过约定工期，否则应承担逾期违约责任。每逾期一日，乙方应向甲方支付</w:t>
      </w:r>
      <w:r>
        <w:rPr>
          <w:rFonts w:hint="eastAsia" w:asciiTheme="minorEastAsia" w:hAnsiTheme="minorEastAsia" w:eastAsiaTheme="minorEastAsia"/>
          <w:sz w:val="24"/>
          <w:szCs w:val="24"/>
          <w:lang w:val="en-US" w:eastAsia="zh-CN"/>
        </w:rPr>
        <w:t>5000</w:t>
      </w:r>
      <w:r>
        <w:rPr>
          <w:rFonts w:hint="eastAsia" w:asciiTheme="minorEastAsia" w:hAnsiTheme="minorEastAsia" w:eastAsiaTheme="minorEastAsia"/>
          <w:sz w:val="24"/>
          <w:szCs w:val="24"/>
        </w:rPr>
        <w:t>元违约金。乙方不配合整改或整改后仍达不到工程质量验收标准的，甲方有权委托第三方进行整改，因此产生的费用由乙方承担，且乙方应向甲方支付本合同总价</w:t>
      </w:r>
      <w:r>
        <w:rPr>
          <w:rFonts w:hint="eastAsia" w:asciiTheme="minorEastAsia" w:hAnsiTheme="minorEastAsia" w:eastAsiaTheme="minorEastAsia"/>
          <w:sz w:val="24"/>
          <w:szCs w:val="24"/>
          <w:lang w:val="en-US" w:eastAsia="zh-CN"/>
        </w:rPr>
        <w:t>2</w:t>
      </w:r>
      <w:r>
        <w:rPr>
          <w:rFonts w:hint="eastAsia" w:asciiTheme="minorEastAsia" w:hAnsiTheme="minorEastAsia" w:eastAsiaTheme="minorEastAsia"/>
          <w:sz w:val="24"/>
          <w:szCs w:val="24"/>
        </w:rPr>
        <w:t>0%的违约金及赔偿甲方损失，同时甲方有权单方解除本合同。</w:t>
      </w:r>
    </w:p>
    <w:p w14:paraId="10B0EFF7">
      <w:pPr>
        <w:pStyle w:val="20"/>
        <w:spacing w:after="0" w:line="50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2.4竣工验收参加单位为甲方、乙方，甲乙双方签订的竣工验收合格报告的最后日期即为实际竣工日期。</w:t>
      </w:r>
    </w:p>
    <w:p w14:paraId="4F094CF7">
      <w:pPr>
        <w:pStyle w:val="20"/>
        <w:spacing w:after="0" w:line="50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2.5双方对项目的验收，不能免除乙方提交合格工程的责任。项目验收后如发现属于乙方施工质量问题的事项，乙方仍应免费维修，同时甲方有权根据本合同约定追究其违约责任。若验收不合格，乙方应在收到甲方不合格通知后3日内进行整改，直至验收合格，整改费用由乙方自行承担。若经两次整改后仍不合格，甲方有权解除合同，乙方应返还已收款项，并赔偿甲方因此造成的损失。</w:t>
      </w:r>
    </w:p>
    <w:p w14:paraId="68D8EBEC">
      <w:pPr>
        <w:pStyle w:val="20"/>
        <w:spacing w:after="0" w:line="500" w:lineRule="exact"/>
        <w:jc w:val="left"/>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2.6因乙方工程质量而造成的瑕疵，乙方应在收到甲方通知后1个日历日内完成维修。每逾期一日，乙方应向甲方</w:t>
      </w:r>
      <w:r>
        <w:rPr>
          <w:rFonts w:hint="eastAsia" w:asciiTheme="minorEastAsia" w:hAnsiTheme="minorEastAsia" w:eastAsiaTheme="minorEastAsia"/>
          <w:sz w:val="24"/>
          <w:szCs w:val="24"/>
          <w:u w:val="single"/>
        </w:rPr>
        <w:t>支付</w:t>
      </w:r>
      <w:r>
        <w:rPr>
          <w:rFonts w:hint="eastAsia" w:asciiTheme="minorEastAsia" w:hAnsiTheme="minorEastAsia" w:eastAsiaTheme="minorEastAsia"/>
          <w:sz w:val="24"/>
          <w:szCs w:val="24"/>
          <w:u w:val="single"/>
          <w:lang w:val="en-US" w:eastAsia="zh-CN"/>
        </w:rPr>
        <w:t>5000</w:t>
      </w:r>
      <w:r>
        <w:rPr>
          <w:rFonts w:hint="eastAsia" w:asciiTheme="minorEastAsia" w:hAnsiTheme="minorEastAsia" w:eastAsiaTheme="minorEastAsia"/>
          <w:sz w:val="24"/>
          <w:szCs w:val="24"/>
          <w:u w:val="single"/>
        </w:rPr>
        <w:t>元</w:t>
      </w:r>
      <w:r>
        <w:rPr>
          <w:rFonts w:hint="eastAsia" w:asciiTheme="minorEastAsia" w:hAnsiTheme="minorEastAsia" w:eastAsiaTheme="minorEastAsia"/>
          <w:sz w:val="24"/>
          <w:szCs w:val="24"/>
        </w:rPr>
        <w:t>违约金。同时，逾期未完成，甲方有权委托第三方进行维修，因此发生的一切费用由乙方承担，甲方可从应付乙方的任何款项中扣除，若不足乙方应予补足</w:t>
      </w:r>
      <w:r>
        <w:rPr>
          <w:rFonts w:hint="eastAsia" w:asciiTheme="minorEastAsia" w:hAnsiTheme="minorEastAsia" w:eastAsiaTheme="minorEastAsia"/>
          <w:sz w:val="24"/>
          <w:szCs w:val="24"/>
          <w:lang w:eastAsia="zh-CN"/>
        </w:rPr>
        <w:t>。</w:t>
      </w:r>
    </w:p>
    <w:p w14:paraId="034C90A2">
      <w:pPr>
        <w:pStyle w:val="20"/>
        <w:spacing w:after="0" w:line="500" w:lineRule="exact"/>
        <w:jc w:val="left"/>
        <w:rPr>
          <w:rFonts w:asciiTheme="minorEastAsia" w:hAnsiTheme="minorEastAsia" w:eastAsiaTheme="minorEastAsia"/>
          <w:sz w:val="24"/>
          <w:szCs w:val="24"/>
        </w:rPr>
      </w:pPr>
      <w:r>
        <w:rPr>
          <w:rFonts w:hint="eastAsia" w:asciiTheme="minorEastAsia" w:hAnsiTheme="minorEastAsia" w:eastAsiaTheme="minorEastAsia"/>
          <w:b/>
          <w:sz w:val="24"/>
          <w:szCs w:val="24"/>
          <w:lang w:val="en-US" w:eastAsia="zh-CN"/>
        </w:rPr>
        <w:t>3</w:t>
      </w:r>
      <w:r>
        <w:rPr>
          <w:rFonts w:hint="eastAsia" w:asciiTheme="minorEastAsia" w:hAnsiTheme="minorEastAsia" w:eastAsiaTheme="minorEastAsia"/>
          <w:b/>
          <w:sz w:val="24"/>
          <w:szCs w:val="24"/>
        </w:rPr>
        <w:t>.</w:t>
      </w:r>
      <w:r>
        <w:rPr>
          <w:rFonts w:hint="eastAsia" w:asciiTheme="minorEastAsia" w:hAnsiTheme="minorEastAsia" w:eastAsiaTheme="minorEastAsia"/>
          <w:b/>
          <w:sz w:val="24"/>
          <w:szCs w:val="24"/>
          <w:lang w:val="en-US" w:eastAsia="zh-CN"/>
        </w:rPr>
        <w:t>质保期：自甲方验收合格之日起为期12个月。</w:t>
      </w:r>
    </w:p>
    <w:p w14:paraId="45669FF1">
      <w:pPr>
        <w:spacing w:line="500" w:lineRule="exact"/>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六</w:t>
      </w:r>
      <w:r>
        <w:rPr>
          <w:rFonts w:cs="宋体" w:asciiTheme="minorEastAsia" w:hAnsiTheme="minorEastAsia" w:eastAsiaTheme="minorEastAsia"/>
          <w:b/>
          <w:sz w:val="24"/>
          <w:szCs w:val="24"/>
        </w:rPr>
        <w:t>、</w:t>
      </w:r>
      <w:r>
        <w:rPr>
          <w:rFonts w:hint="eastAsia" w:cs="宋体" w:asciiTheme="minorEastAsia" w:hAnsiTheme="minorEastAsia" w:eastAsiaTheme="minorEastAsia"/>
          <w:b/>
          <w:sz w:val="24"/>
          <w:szCs w:val="24"/>
        </w:rPr>
        <w:t>合同价款</w:t>
      </w:r>
    </w:p>
    <w:p w14:paraId="7CA6D6A0">
      <w:pPr>
        <w:spacing w:beforeLines="0" w:line="50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1.本合同总价款为：人民币大写</w:t>
      </w:r>
      <w:r>
        <w:rPr>
          <w:rFonts w:hint="eastAsia" w:cs="宋体" w:asciiTheme="minorEastAsia" w:hAnsiTheme="minorEastAsia" w:eastAsiaTheme="minorEastAsia"/>
          <w:sz w:val="24"/>
          <w:szCs w:val="24"/>
          <w:u w:val="single"/>
        </w:rPr>
        <w:t>x</w:t>
      </w:r>
      <w:r>
        <w:rPr>
          <w:rFonts w:cs="宋体" w:asciiTheme="minorEastAsia" w:hAnsiTheme="minorEastAsia" w:eastAsiaTheme="minorEastAsia"/>
          <w:sz w:val="24"/>
          <w:szCs w:val="24"/>
          <w:u w:val="single"/>
        </w:rPr>
        <w:t>x</w:t>
      </w:r>
      <w:r>
        <w:rPr>
          <w:rFonts w:hint="eastAsia" w:cs="宋体" w:asciiTheme="minorEastAsia" w:hAnsiTheme="minorEastAsia" w:eastAsiaTheme="minorEastAsia"/>
          <w:sz w:val="24"/>
          <w:szCs w:val="24"/>
          <w:u w:val="single"/>
        </w:rPr>
        <w:t>元整（¥</w:t>
      </w:r>
      <w:r>
        <w:rPr>
          <w:rFonts w:cs="宋体" w:asciiTheme="minorEastAsia" w:hAnsiTheme="minorEastAsia" w:eastAsiaTheme="minorEastAsia"/>
          <w:sz w:val="24"/>
          <w:szCs w:val="24"/>
          <w:u w:val="single"/>
        </w:rPr>
        <w:t>xx</w:t>
      </w:r>
      <w:r>
        <w:rPr>
          <w:rFonts w:hint="eastAsia" w:cs="宋体" w:asciiTheme="minorEastAsia" w:hAnsiTheme="minorEastAsia" w:eastAsiaTheme="minorEastAsia"/>
          <w:sz w:val="24"/>
          <w:szCs w:val="24"/>
          <w:u w:val="single"/>
        </w:rPr>
        <w:t>元</w:t>
      </w:r>
      <w:r>
        <w:rPr>
          <w:rFonts w:hint="eastAsia" w:cs="宋体" w:asciiTheme="minorEastAsia" w:hAnsiTheme="minorEastAsia" w:eastAsiaTheme="minorEastAsia"/>
          <w:sz w:val="24"/>
          <w:szCs w:val="24"/>
        </w:rPr>
        <w:t>），含税（开具增值税专用发票,税率</w:t>
      </w:r>
      <w:r>
        <w:rPr>
          <w:rFonts w:hint="eastAsia" w:cs="宋体" w:asciiTheme="minorEastAsia" w:hAnsiTheme="minorEastAsia" w:eastAsiaTheme="minorEastAsia"/>
          <w:sz w:val="24"/>
          <w:szCs w:val="24"/>
          <w:u w:val="single"/>
        </w:rPr>
        <w:t>为</w:t>
      </w:r>
      <w:r>
        <w:rPr>
          <w:rFonts w:cs="宋体" w:asciiTheme="minorEastAsia" w:hAnsiTheme="minorEastAsia" w:eastAsiaTheme="minorEastAsia"/>
          <w:sz w:val="24"/>
          <w:szCs w:val="24"/>
          <w:u w:val="single"/>
        </w:rPr>
        <w:t>xx</w:t>
      </w:r>
      <w:r>
        <w:rPr>
          <w:rFonts w:hint="eastAsia" w:cs="宋体" w:asciiTheme="minorEastAsia" w:hAnsiTheme="minorEastAsia" w:eastAsiaTheme="minorEastAsia"/>
          <w:sz w:val="24"/>
          <w:szCs w:val="24"/>
          <w:u w:val="single"/>
        </w:rPr>
        <w:t>%</w:t>
      </w:r>
      <w:r>
        <w:rPr>
          <w:rFonts w:hint="eastAsia" w:cs="宋体" w:asciiTheme="minorEastAsia" w:hAnsiTheme="minorEastAsia" w:eastAsiaTheme="minorEastAsia"/>
          <w:sz w:val="24"/>
          <w:szCs w:val="24"/>
        </w:rPr>
        <w:t>），</w:t>
      </w:r>
      <w:r>
        <w:rPr>
          <w:rFonts w:cs="宋体" w:asciiTheme="minorEastAsia" w:hAnsiTheme="minorEastAsia" w:eastAsiaTheme="minorEastAsia"/>
          <w:sz w:val="24"/>
          <w:szCs w:val="24"/>
        </w:rPr>
        <w:t>总价包干</w:t>
      </w:r>
      <w:r>
        <w:rPr>
          <w:rFonts w:hint="eastAsia" w:cs="宋体" w:asciiTheme="minorEastAsia" w:hAnsiTheme="minorEastAsia" w:eastAsiaTheme="minorEastAsia"/>
          <w:sz w:val="24"/>
          <w:szCs w:val="24"/>
        </w:rPr>
        <w:t>。如遇国家调整税率，不含税合同款不予调整，税金按调整后税率及相关细则执行。</w:t>
      </w:r>
    </w:p>
    <w:p w14:paraId="29D18C95">
      <w:pPr>
        <w:spacing w:beforeLines="0" w:line="50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2.上述合同价款为固定综合总价</w:t>
      </w:r>
      <w:r>
        <w:rPr>
          <w:rFonts w:cs="宋体" w:asciiTheme="minorEastAsia" w:hAnsiTheme="minorEastAsia" w:eastAsiaTheme="minorEastAsia"/>
          <w:sz w:val="24"/>
          <w:szCs w:val="24"/>
        </w:rPr>
        <w:t>，</w:t>
      </w:r>
      <w:r>
        <w:rPr>
          <w:rFonts w:hint="eastAsia" w:cs="宋体" w:asciiTheme="minorEastAsia" w:hAnsiTheme="minorEastAsia" w:eastAsiaTheme="minorEastAsia"/>
          <w:sz w:val="24"/>
          <w:szCs w:val="24"/>
        </w:rPr>
        <w:t>报价包含货物、</w:t>
      </w:r>
      <w:r>
        <w:rPr>
          <w:rFonts w:hint="eastAsia" w:cs="宋体" w:asciiTheme="minorEastAsia" w:hAnsiTheme="minorEastAsia" w:eastAsiaTheme="minorEastAsia"/>
          <w:sz w:val="24"/>
          <w:szCs w:val="24"/>
          <w:lang w:val="en-US" w:eastAsia="zh-CN"/>
        </w:rPr>
        <w:t>安装费、</w:t>
      </w:r>
      <w:r>
        <w:rPr>
          <w:rFonts w:hint="eastAsia" w:cs="宋体" w:asciiTheme="minorEastAsia" w:hAnsiTheme="minorEastAsia" w:eastAsiaTheme="minorEastAsia"/>
          <w:sz w:val="24"/>
          <w:szCs w:val="24"/>
        </w:rPr>
        <w:t>税费、施工费、材料费、人工费、装卸费、运费、服务费等一切为满足项目实施可能产生的费用。乙方在报价前已充分进行了现场踏勘、测量、风险评估及工期提前等所有风险，在合同固定综合总价内已充分考虑，甲方不再因任何情况而调整本合同总价款，不论是工程量的变化、所有施工措施的变化、可能存在其它各种风险及其变化等。</w:t>
      </w:r>
    </w:p>
    <w:p w14:paraId="408F75C9">
      <w:pPr>
        <w:spacing w:beforeLines="0" w:line="5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3.施工中出现扰民费用、安全文明环保费用、按政府规定应由乙方交纳的政府收费、因乙方责任造成的罚款等已包含在合同固定综合总价内，若有发生，不另行计取，由乙方自行承担。</w:t>
      </w:r>
    </w:p>
    <w:p w14:paraId="21CC8BB3">
      <w:pPr>
        <w:pStyle w:val="20"/>
        <w:spacing w:after="0" w:line="50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4.乙方因违约需向甲方支付的违约金、损失赔偿款、罚款等费用，甲方均有权在应付乙方的款项中予以扣减。</w:t>
      </w:r>
    </w:p>
    <w:p w14:paraId="43968E7A">
      <w:pPr>
        <w:spacing w:beforeLines="0" w:line="500" w:lineRule="exact"/>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七、合同</w:t>
      </w:r>
      <w:r>
        <w:rPr>
          <w:rFonts w:cs="宋体" w:asciiTheme="minorEastAsia" w:hAnsiTheme="minorEastAsia" w:eastAsiaTheme="minorEastAsia"/>
          <w:b/>
          <w:sz w:val="24"/>
          <w:szCs w:val="24"/>
        </w:rPr>
        <w:t>价</w:t>
      </w:r>
      <w:r>
        <w:rPr>
          <w:rFonts w:hint="eastAsia" w:cs="宋体" w:asciiTheme="minorEastAsia" w:hAnsiTheme="minorEastAsia" w:eastAsiaTheme="minorEastAsia"/>
          <w:b/>
          <w:sz w:val="24"/>
          <w:szCs w:val="24"/>
        </w:rPr>
        <w:t>款支付</w:t>
      </w:r>
    </w:p>
    <w:p w14:paraId="3D84C16A">
      <w:pPr>
        <w:spacing w:beforeLines="0" w:line="50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1.合同</w:t>
      </w:r>
      <w:r>
        <w:rPr>
          <w:rFonts w:cs="宋体" w:asciiTheme="minorEastAsia" w:hAnsiTheme="minorEastAsia" w:eastAsiaTheme="minorEastAsia"/>
          <w:sz w:val="24"/>
          <w:szCs w:val="24"/>
        </w:rPr>
        <w:t>价</w:t>
      </w:r>
      <w:r>
        <w:rPr>
          <w:rFonts w:hint="eastAsia" w:cs="宋体" w:asciiTheme="minorEastAsia" w:hAnsiTheme="minorEastAsia" w:eastAsiaTheme="minorEastAsia"/>
          <w:sz w:val="24"/>
          <w:szCs w:val="24"/>
        </w:rPr>
        <w:t>款由甲方以银行对公转账方式支付乙方。</w:t>
      </w:r>
    </w:p>
    <w:p w14:paraId="06CED086">
      <w:pPr>
        <w:spacing w:beforeLines="0" w:line="500" w:lineRule="exact"/>
        <w:rPr>
          <w:rFonts w:cs="宋体" w:asciiTheme="minorEastAsia" w:hAnsiTheme="minorEastAsia" w:eastAsiaTheme="minorEastAsia"/>
          <w:b w:val="0"/>
          <w:bCs/>
          <w:sz w:val="24"/>
          <w:szCs w:val="24"/>
        </w:rPr>
      </w:pPr>
      <w:r>
        <w:rPr>
          <w:rFonts w:cs="宋体" w:asciiTheme="minorEastAsia" w:hAnsiTheme="minorEastAsia" w:eastAsiaTheme="minorEastAsia"/>
          <w:b w:val="0"/>
          <w:bCs/>
          <w:sz w:val="24"/>
          <w:szCs w:val="24"/>
        </w:rPr>
        <w:t>2.</w:t>
      </w:r>
      <w:r>
        <w:rPr>
          <w:rFonts w:hint="eastAsia" w:asciiTheme="minorEastAsia" w:hAnsiTheme="minorEastAsia" w:eastAsiaTheme="minorEastAsia"/>
          <w:b w:val="0"/>
          <w:bCs/>
          <w:sz w:val="24"/>
          <w:szCs w:val="24"/>
        </w:rPr>
        <w:t>支付方式：</w:t>
      </w:r>
    </w:p>
    <w:p w14:paraId="4131789F">
      <w:pPr>
        <w:spacing w:beforeLines="0" w:line="500" w:lineRule="exact"/>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1、合同签订后，</w:t>
      </w:r>
      <w:r>
        <w:rPr>
          <w:rFonts w:hint="eastAsia" w:cs="宋体" w:asciiTheme="minorEastAsia" w:hAnsiTheme="minorEastAsia" w:eastAsiaTheme="minorEastAsia"/>
          <w:sz w:val="24"/>
          <w:szCs w:val="24"/>
          <w:lang w:val="en-US" w:eastAsia="zh-CN"/>
        </w:rPr>
        <w:t>乙方</w:t>
      </w:r>
      <w:r>
        <w:rPr>
          <w:rFonts w:hint="eastAsia" w:cs="宋体" w:asciiTheme="minorEastAsia" w:hAnsiTheme="minorEastAsia" w:eastAsiaTheme="minorEastAsia"/>
          <w:sz w:val="24"/>
          <w:szCs w:val="24"/>
        </w:rPr>
        <w:t>提交请款资料及合同金额20%的增值税专用发票，</w:t>
      </w:r>
      <w:r>
        <w:rPr>
          <w:rFonts w:hint="eastAsia" w:cs="宋体" w:asciiTheme="minorEastAsia" w:hAnsiTheme="minorEastAsia" w:eastAsiaTheme="minorEastAsia"/>
          <w:sz w:val="24"/>
          <w:szCs w:val="24"/>
          <w:lang w:val="en-US" w:eastAsia="zh-CN"/>
        </w:rPr>
        <w:t>甲方</w:t>
      </w:r>
      <w:r>
        <w:rPr>
          <w:rFonts w:hint="eastAsia" w:cs="宋体" w:asciiTheme="minorEastAsia" w:hAnsiTheme="minorEastAsia" w:eastAsiaTheme="minorEastAsia"/>
          <w:sz w:val="24"/>
          <w:szCs w:val="24"/>
        </w:rPr>
        <w:t>在收到上述有效资料之日起30个日历日内支付合同总价的20%作为定金；</w:t>
      </w:r>
    </w:p>
    <w:p w14:paraId="1F429131">
      <w:pPr>
        <w:spacing w:beforeLines="0" w:line="500" w:lineRule="exact"/>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2、</w:t>
      </w:r>
      <w:r>
        <w:rPr>
          <w:rFonts w:hint="eastAsia" w:cs="宋体" w:asciiTheme="minorEastAsia" w:hAnsiTheme="minorEastAsia" w:eastAsiaTheme="minorEastAsia"/>
          <w:sz w:val="24"/>
          <w:szCs w:val="24"/>
          <w:lang w:val="en-US" w:eastAsia="zh-CN"/>
        </w:rPr>
        <w:t>乙方</w:t>
      </w:r>
      <w:r>
        <w:rPr>
          <w:rFonts w:hint="eastAsia" w:cs="宋体" w:asciiTheme="minorEastAsia" w:hAnsiTheme="minorEastAsia" w:eastAsiaTheme="minorEastAsia"/>
          <w:sz w:val="24"/>
          <w:szCs w:val="24"/>
        </w:rPr>
        <w:t>完成全部供货</w:t>
      </w:r>
      <w:r>
        <w:rPr>
          <w:rFonts w:hint="eastAsia" w:cs="宋体" w:asciiTheme="minorEastAsia" w:hAnsiTheme="minorEastAsia" w:eastAsiaTheme="minorEastAsia"/>
          <w:sz w:val="24"/>
          <w:szCs w:val="24"/>
          <w:lang w:eastAsia="zh-CN"/>
        </w:rPr>
        <w:t>、</w:t>
      </w:r>
      <w:r>
        <w:rPr>
          <w:rFonts w:hint="eastAsia" w:cs="宋体" w:asciiTheme="minorEastAsia" w:hAnsiTheme="minorEastAsia" w:eastAsiaTheme="minorEastAsia"/>
          <w:sz w:val="24"/>
          <w:szCs w:val="24"/>
          <w:lang w:val="en-US" w:eastAsia="zh-CN"/>
        </w:rPr>
        <w:t>安装、调试</w:t>
      </w:r>
      <w:r>
        <w:rPr>
          <w:rFonts w:hint="eastAsia" w:cs="宋体" w:asciiTheme="minorEastAsia" w:hAnsiTheme="minorEastAsia" w:eastAsiaTheme="minorEastAsia"/>
          <w:sz w:val="24"/>
          <w:szCs w:val="24"/>
        </w:rPr>
        <w:t>并经</w:t>
      </w:r>
      <w:r>
        <w:rPr>
          <w:rFonts w:hint="eastAsia" w:cs="宋体" w:asciiTheme="minorEastAsia" w:hAnsiTheme="minorEastAsia" w:eastAsiaTheme="minorEastAsia"/>
          <w:sz w:val="24"/>
          <w:szCs w:val="24"/>
          <w:lang w:val="en-US" w:eastAsia="zh-CN"/>
        </w:rPr>
        <w:t>甲方</w:t>
      </w:r>
      <w:r>
        <w:rPr>
          <w:rFonts w:hint="eastAsia" w:cs="宋体" w:asciiTheme="minorEastAsia" w:hAnsiTheme="minorEastAsia" w:eastAsiaTheme="minorEastAsia"/>
          <w:sz w:val="24"/>
          <w:szCs w:val="24"/>
        </w:rPr>
        <w:t>验收合格后，</w:t>
      </w:r>
      <w:r>
        <w:rPr>
          <w:rFonts w:hint="eastAsia" w:cs="宋体" w:asciiTheme="minorEastAsia" w:hAnsiTheme="minorEastAsia" w:eastAsiaTheme="minorEastAsia"/>
          <w:sz w:val="24"/>
          <w:szCs w:val="24"/>
          <w:lang w:val="en-US" w:eastAsia="zh-CN"/>
        </w:rPr>
        <w:t>乙方</w:t>
      </w:r>
      <w:r>
        <w:rPr>
          <w:rFonts w:hint="eastAsia" w:cs="宋体" w:asciiTheme="minorEastAsia" w:hAnsiTheme="minorEastAsia" w:eastAsiaTheme="minorEastAsia"/>
          <w:sz w:val="24"/>
          <w:szCs w:val="24"/>
        </w:rPr>
        <w:t>提交至合同金额100%的增值税专用发票及请款资料，</w:t>
      </w:r>
      <w:r>
        <w:rPr>
          <w:rFonts w:hint="eastAsia" w:cs="宋体" w:asciiTheme="minorEastAsia" w:hAnsiTheme="minorEastAsia" w:eastAsiaTheme="minorEastAsia"/>
          <w:sz w:val="24"/>
          <w:szCs w:val="24"/>
          <w:lang w:val="en-US" w:eastAsia="zh-CN"/>
        </w:rPr>
        <w:t>甲方</w:t>
      </w:r>
      <w:r>
        <w:rPr>
          <w:rFonts w:hint="eastAsia" w:cs="宋体" w:asciiTheme="minorEastAsia" w:hAnsiTheme="minorEastAsia" w:eastAsiaTheme="minorEastAsia"/>
          <w:sz w:val="24"/>
          <w:szCs w:val="24"/>
        </w:rPr>
        <w:t>在30个日历日内支付至合同总价的95%。</w:t>
      </w:r>
    </w:p>
    <w:p w14:paraId="38ACE464">
      <w:pPr>
        <w:spacing w:beforeLines="0" w:line="500" w:lineRule="exact"/>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3、剩余合同金额5%为质保金，在本项目质保期满且</w:t>
      </w:r>
      <w:r>
        <w:rPr>
          <w:rFonts w:hint="eastAsia" w:cs="宋体" w:asciiTheme="minorEastAsia" w:hAnsiTheme="minorEastAsia" w:eastAsiaTheme="minorEastAsia"/>
          <w:sz w:val="24"/>
          <w:szCs w:val="24"/>
          <w:lang w:val="en-US" w:eastAsia="zh-CN"/>
        </w:rPr>
        <w:t>乙方</w:t>
      </w:r>
      <w:r>
        <w:rPr>
          <w:rFonts w:hint="eastAsia" w:cs="宋体" w:asciiTheme="minorEastAsia" w:hAnsiTheme="minorEastAsia" w:eastAsiaTheme="minorEastAsia"/>
          <w:sz w:val="24"/>
          <w:szCs w:val="24"/>
        </w:rPr>
        <w:t>完成全部质保服务后，</w:t>
      </w:r>
      <w:r>
        <w:rPr>
          <w:rFonts w:hint="eastAsia" w:cs="宋体" w:asciiTheme="minorEastAsia" w:hAnsiTheme="minorEastAsia" w:eastAsiaTheme="minorEastAsia"/>
          <w:sz w:val="24"/>
          <w:szCs w:val="24"/>
          <w:lang w:val="en-US" w:eastAsia="zh-CN"/>
        </w:rPr>
        <w:t>乙方</w:t>
      </w:r>
      <w:r>
        <w:rPr>
          <w:rFonts w:hint="eastAsia" w:cs="宋体" w:asciiTheme="minorEastAsia" w:hAnsiTheme="minorEastAsia" w:eastAsiaTheme="minorEastAsia"/>
          <w:sz w:val="24"/>
          <w:szCs w:val="24"/>
        </w:rPr>
        <w:t>提交请款资料，</w:t>
      </w:r>
      <w:r>
        <w:rPr>
          <w:rFonts w:hint="eastAsia" w:cs="宋体" w:asciiTheme="minorEastAsia" w:hAnsiTheme="minorEastAsia" w:eastAsiaTheme="minorEastAsia"/>
          <w:sz w:val="24"/>
          <w:szCs w:val="24"/>
          <w:lang w:val="en-US" w:eastAsia="zh-CN"/>
        </w:rPr>
        <w:t>甲方</w:t>
      </w:r>
      <w:r>
        <w:rPr>
          <w:rFonts w:hint="eastAsia" w:cs="宋体" w:asciiTheme="minorEastAsia" w:hAnsiTheme="minorEastAsia" w:eastAsiaTheme="minorEastAsia"/>
          <w:sz w:val="24"/>
          <w:szCs w:val="24"/>
        </w:rPr>
        <w:t>在收到上述有效资料之日起30个日历日内完成支付。</w:t>
      </w:r>
    </w:p>
    <w:p w14:paraId="2C3B8D9E">
      <w:pPr>
        <w:spacing w:beforeLines="0" w:line="50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如果因乙方原因延迟提交正规有效的增值税发票给甲方或请款材料不齐全，甲方可延迟支付款项给乙方，而且不承担延迟付款的责任。乙方应保证其收款账户的正确性，若因乙方提供的收款账户问题或乙方变更收款账户而未及时通知甲方导致甲方付款迟延或错误的，应由乙方承担责任，甲方无需承担迟延付款责任。。</w:t>
      </w:r>
    </w:p>
    <w:p w14:paraId="67D350FF">
      <w:pPr>
        <w:spacing w:beforeLines="0" w:line="500" w:lineRule="exact"/>
        <w:ind w:firstLine="0" w:firstLineChars="0"/>
        <w:rPr>
          <w:rFonts w:cs="宋体" w:asciiTheme="minorEastAsia" w:hAnsiTheme="minorEastAsia" w:eastAsiaTheme="minorEastAsia"/>
          <w:sz w:val="24"/>
          <w:szCs w:val="24"/>
        </w:rPr>
      </w:pPr>
      <w:r>
        <w:rPr>
          <w:rFonts w:cs="宋体" w:asciiTheme="minorEastAsia" w:hAnsiTheme="minorEastAsia" w:eastAsiaTheme="minorEastAsia"/>
          <w:sz w:val="24"/>
          <w:szCs w:val="24"/>
        </w:rPr>
        <w:t>3</w:t>
      </w:r>
      <w:r>
        <w:rPr>
          <w:rFonts w:hint="eastAsia" w:cs="宋体" w:asciiTheme="minorEastAsia" w:hAnsiTheme="minorEastAsia" w:eastAsiaTheme="minorEastAsia"/>
          <w:sz w:val="24"/>
          <w:szCs w:val="24"/>
        </w:rPr>
        <w:t>.乙方开户银行、开户名称和账号为：</w:t>
      </w:r>
    </w:p>
    <w:p w14:paraId="24894AD5">
      <w:pPr>
        <w:spacing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开户银行：</w:t>
      </w:r>
      <w:r>
        <w:rPr>
          <w:rFonts w:hint="eastAsia" w:cs="宋体" w:asciiTheme="minorEastAsia" w:hAnsiTheme="minorEastAsia" w:eastAsiaTheme="minorEastAsia"/>
          <w:sz w:val="24"/>
          <w:szCs w:val="24"/>
          <w:u w:val="single"/>
        </w:rPr>
        <w:t xml:space="preserve">              </w:t>
      </w:r>
    </w:p>
    <w:p w14:paraId="5C676D40">
      <w:pPr>
        <w:spacing w:line="500" w:lineRule="exact"/>
        <w:ind w:firstLine="480" w:firstLineChars="200"/>
        <w:rPr>
          <w:rFonts w:cs="宋体" w:asciiTheme="minorEastAsia" w:hAnsiTheme="minorEastAsia" w:eastAsiaTheme="minorEastAsia"/>
          <w:sz w:val="24"/>
          <w:szCs w:val="24"/>
          <w:u w:val="single"/>
        </w:rPr>
      </w:pPr>
      <w:r>
        <w:rPr>
          <w:rFonts w:hint="eastAsia" w:cs="宋体" w:asciiTheme="minorEastAsia" w:hAnsiTheme="minorEastAsia" w:eastAsiaTheme="minorEastAsia"/>
          <w:sz w:val="24"/>
          <w:szCs w:val="24"/>
        </w:rPr>
        <w:t>开户名称：</w:t>
      </w:r>
      <w:r>
        <w:rPr>
          <w:rFonts w:hint="eastAsia" w:cs="宋体" w:asciiTheme="minorEastAsia" w:hAnsiTheme="minorEastAsia" w:eastAsiaTheme="minorEastAsia"/>
          <w:sz w:val="24"/>
          <w:szCs w:val="24"/>
          <w:u w:val="single"/>
        </w:rPr>
        <w:t xml:space="preserve">           </w:t>
      </w:r>
      <w:r>
        <w:rPr>
          <w:rFonts w:cs="宋体" w:asciiTheme="minorEastAsia" w:hAnsiTheme="minorEastAsia" w:eastAsiaTheme="minorEastAsia"/>
          <w:sz w:val="24"/>
          <w:szCs w:val="24"/>
          <w:u w:val="single"/>
        </w:rPr>
        <w:t xml:space="preserve">   </w:t>
      </w:r>
    </w:p>
    <w:p w14:paraId="0B4FF2D6">
      <w:pPr>
        <w:spacing w:line="500" w:lineRule="exact"/>
        <w:ind w:firstLine="480" w:firstLineChars="200"/>
        <w:rPr>
          <w:rFonts w:cs="宋体" w:asciiTheme="minorEastAsia" w:hAnsiTheme="minorEastAsia" w:eastAsiaTheme="minorEastAsia"/>
          <w:sz w:val="24"/>
          <w:szCs w:val="24"/>
          <w:u w:val="single"/>
        </w:rPr>
      </w:pPr>
      <w:r>
        <w:rPr>
          <w:rFonts w:cs="宋体" w:asciiTheme="minorEastAsia" w:hAnsiTheme="minorEastAsia" w:eastAsiaTheme="minorEastAsia"/>
          <w:sz w:val="24"/>
          <w:szCs w:val="24"/>
        </w:rPr>
        <w:t>账    号：</w:t>
      </w:r>
      <w:r>
        <w:rPr>
          <w:rFonts w:cs="宋体" w:asciiTheme="minorEastAsia" w:hAnsiTheme="minorEastAsia" w:eastAsiaTheme="minorEastAsia"/>
          <w:sz w:val="24"/>
          <w:szCs w:val="24"/>
          <w:u w:val="single"/>
        </w:rPr>
        <w:t xml:space="preserve">              </w:t>
      </w:r>
    </w:p>
    <w:p w14:paraId="33FE18E7">
      <w:pPr>
        <w:spacing w:beforeLines="0" w:line="500" w:lineRule="exact"/>
        <w:rPr>
          <w:rFonts w:cs="宋体" w:asciiTheme="minorEastAsia" w:hAnsiTheme="minorEastAsia" w:eastAsiaTheme="minorEastAsia"/>
          <w:sz w:val="24"/>
          <w:szCs w:val="24"/>
        </w:rPr>
      </w:pPr>
      <w:r>
        <w:rPr>
          <w:rFonts w:cs="宋体" w:asciiTheme="minorEastAsia" w:hAnsiTheme="minorEastAsia" w:eastAsiaTheme="minorEastAsia"/>
          <w:sz w:val="24"/>
          <w:szCs w:val="24"/>
        </w:rPr>
        <w:t xml:space="preserve">    若因乙方提交的收款账户信息有误或乙方擅自变更收款账户信息而未及时通知甲方的导致甲方付款错误或迟延的，由乙方自行承担责任，甲方无需承担任何违约责任。</w:t>
      </w:r>
    </w:p>
    <w:p w14:paraId="000E5D1B">
      <w:pPr>
        <w:spacing w:beforeLines="0" w:line="500" w:lineRule="exact"/>
        <w:rPr>
          <w:rFonts w:cs="宋体" w:asciiTheme="minorEastAsia" w:hAnsiTheme="minorEastAsia" w:eastAsiaTheme="minorEastAsia"/>
          <w:sz w:val="24"/>
          <w:szCs w:val="24"/>
        </w:rPr>
      </w:pPr>
      <w:r>
        <w:rPr>
          <w:rFonts w:cs="宋体" w:asciiTheme="minorEastAsia" w:hAnsiTheme="minorEastAsia" w:eastAsiaTheme="minorEastAsia"/>
          <w:sz w:val="24"/>
          <w:szCs w:val="24"/>
        </w:rPr>
        <w:t>4</w:t>
      </w:r>
      <w:r>
        <w:rPr>
          <w:rFonts w:hint="eastAsia" w:cs="宋体" w:asciiTheme="minorEastAsia" w:hAnsiTheme="minorEastAsia" w:eastAsiaTheme="minorEastAsia"/>
          <w:sz w:val="24"/>
          <w:szCs w:val="24"/>
        </w:rPr>
        <w:t>.</w:t>
      </w:r>
      <w:r>
        <w:rPr>
          <w:rFonts w:hint="eastAsia" w:cs="宋体" w:asciiTheme="minorEastAsia" w:hAnsiTheme="minorEastAsia" w:eastAsiaTheme="minorEastAsia"/>
          <w:sz w:val="24"/>
          <w:szCs w:val="24"/>
          <w:lang w:val="en-US" w:eastAsia="zh-CN"/>
        </w:rPr>
        <w:t>收到甲方成交通知</w:t>
      </w:r>
      <w:r>
        <w:rPr>
          <w:rFonts w:hint="eastAsia" w:cs="宋体" w:asciiTheme="minorEastAsia" w:hAnsiTheme="minorEastAsia" w:eastAsiaTheme="minorEastAsia"/>
          <w:sz w:val="24"/>
          <w:szCs w:val="24"/>
        </w:rPr>
        <w:t>后，乙方向甲方提交</w:t>
      </w:r>
      <w:r>
        <w:rPr>
          <w:rFonts w:hint="eastAsia" w:cs="宋体" w:asciiTheme="minorEastAsia" w:hAnsiTheme="minorEastAsia" w:eastAsiaTheme="minorEastAsia"/>
          <w:sz w:val="24"/>
          <w:szCs w:val="24"/>
          <w:lang w:val="en-US" w:eastAsia="zh-CN"/>
        </w:rPr>
        <w:t>的</w:t>
      </w:r>
      <w:r>
        <w:rPr>
          <w:rFonts w:hint="eastAsia" w:cs="宋体" w:asciiTheme="minorEastAsia" w:hAnsiTheme="minorEastAsia" w:eastAsiaTheme="minorEastAsia"/>
          <w:sz w:val="24"/>
          <w:szCs w:val="24"/>
        </w:rPr>
        <w:t>履约保证金¥</w:t>
      </w:r>
      <w:r>
        <w:rPr>
          <w:rFonts w:hint="eastAsia" w:cs="宋体" w:asciiTheme="minorEastAsia" w:hAnsiTheme="minorEastAsia" w:eastAsiaTheme="minorEastAsia"/>
          <w:sz w:val="24"/>
          <w:szCs w:val="24"/>
          <w:u w:val="single"/>
          <w:lang w:val="en-US" w:eastAsia="zh-CN"/>
        </w:rPr>
        <w:t xml:space="preserve"> 8,842.74</w:t>
      </w:r>
      <w:r>
        <w:rPr>
          <w:rFonts w:hint="eastAsia" w:cs="宋体" w:asciiTheme="minorEastAsia" w:hAnsiTheme="minorEastAsia" w:eastAsiaTheme="minorEastAsia"/>
          <w:sz w:val="24"/>
          <w:szCs w:val="24"/>
          <w:u w:val="single"/>
        </w:rPr>
        <w:t>元（大写：人民币捌仟捌佰肆拾贰元柒角肆分）</w:t>
      </w:r>
      <w:r>
        <w:rPr>
          <w:rFonts w:hint="eastAsia" w:cs="宋体" w:asciiTheme="minorEastAsia" w:hAnsiTheme="minorEastAsia" w:eastAsiaTheme="minorEastAsia"/>
          <w:sz w:val="24"/>
          <w:szCs w:val="24"/>
        </w:rPr>
        <w:t>作为乙方在履约过程中违约金或罚款的扣罚来源之一，履约保证金申请返还时间为合同期满，乙方没有任何违约的情况下由乙方提交退款申请，甲方收到乙方申请并核实无误后30个日历日内，一次性无息退回。若因乙方原因导致本合同提前终止、解除、无效的，则甲方有权没收履约保证金，不予退还。</w:t>
      </w:r>
    </w:p>
    <w:p w14:paraId="39ECB5B2">
      <w:pPr>
        <w:spacing w:beforeLines="0" w:line="500" w:lineRule="exact"/>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八、现场签证及合理化建议</w:t>
      </w:r>
    </w:p>
    <w:p w14:paraId="36B70B71">
      <w:pPr>
        <w:spacing w:beforeLines="0" w:line="5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1.乙方可发挥施工单位优势，就施工方案、工程管理、成本控制、施工工序等提出合理化建议供甲方参考。若甲方对乙方合理化建议书面批准或认可，可作为本合同项下工程施工依据。</w:t>
      </w:r>
    </w:p>
    <w:p w14:paraId="558C7753">
      <w:pPr>
        <w:spacing w:beforeLines="0" w:line="5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2.甲乙双方在现场商定施工方案后，乙方应按该施工方案进行施工，甲乙双方根据施工进度、施工方案调整（如有）等工程实际需要进行现场签证。</w:t>
      </w:r>
    </w:p>
    <w:p w14:paraId="0E77F50E">
      <w:pPr>
        <w:spacing w:beforeLines="0" w:line="5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3.甲方若提出对已完成的工程进行变更，甲方应就变更部分给总价造成的影响按合同相应条款计价给乙方。</w:t>
      </w:r>
    </w:p>
    <w:p w14:paraId="4E556DEA">
      <w:pPr>
        <w:snapToGrid w:val="0"/>
        <w:spacing w:beforeLines="0" w:line="500" w:lineRule="exact"/>
        <w:rPr>
          <w:rFonts w:asciiTheme="minorEastAsia" w:hAnsiTheme="minorEastAsia" w:eastAsiaTheme="minorEastAsia"/>
          <w:sz w:val="24"/>
          <w:szCs w:val="24"/>
        </w:rPr>
      </w:pPr>
      <w:r>
        <w:rPr>
          <w:rFonts w:asciiTheme="minorEastAsia" w:hAnsiTheme="minorEastAsia" w:eastAsiaTheme="minorEastAsia"/>
          <w:sz w:val="24"/>
          <w:szCs w:val="24"/>
        </w:rPr>
        <w:t>4.</w:t>
      </w:r>
      <w:r>
        <w:rPr>
          <w:rFonts w:hint="eastAsia" w:asciiTheme="minorEastAsia" w:hAnsiTheme="minorEastAsia" w:eastAsiaTheme="minorEastAsia"/>
          <w:sz w:val="24"/>
          <w:szCs w:val="24"/>
        </w:rPr>
        <w:t>项目实施过程中如有变更，乙方无条件按甲方变更要求完成，费用按甲方现场代表签字确认的工程变更现场</w:t>
      </w:r>
      <w:r>
        <w:rPr>
          <w:rFonts w:asciiTheme="minorEastAsia" w:hAnsiTheme="minorEastAsia" w:eastAsiaTheme="minorEastAsia"/>
          <w:sz w:val="24"/>
          <w:szCs w:val="24"/>
        </w:rPr>
        <w:t>签证</w:t>
      </w:r>
      <w:r>
        <w:rPr>
          <w:rFonts w:hint="eastAsia" w:asciiTheme="minorEastAsia" w:hAnsiTheme="minorEastAsia" w:eastAsiaTheme="minorEastAsia"/>
          <w:sz w:val="24"/>
          <w:szCs w:val="24"/>
        </w:rPr>
        <w:t>及双方核定价格计算。</w:t>
      </w:r>
    </w:p>
    <w:p w14:paraId="73E1BD7A">
      <w:pPr>
        <w:pStyle w:val="20"/>
        <w:snapToGrid w:val="0"/>
        <w:spacing w:after="0" w:line="50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5.施工中甲方有权要求对原工程设计进行变更，但应提前3天以书面形式向乙方发出变更通知，乙方应予以接受。</w:t>
      </w:r>
    </w:p>
    <w:p w14:paraId="3D69BDE1">
      <w:pPr>
        <w:spacing w:beforeLines="0" w:line="500" w:lineRule="exact"/>
        <w:rPr>
          <w:rFonts w:cs="宋体" w:asciiTheme="minorEastAsia" w:hAnsiTheme="minorEastAsia" w:eastAsiaTheme="minorEastAsia"/>
          <w:sz w:val="24"/>
          <w:szCs w:val="24"/>
        </w:rPr>
      </w:pPr>
      <w:r>
        <w:rPr>
          <w:rFonts w:cs="宋体" w:asciiTheme="minorEastAsia" w:hAnsiTheme="minorEastAsia" w:eastAsiaTheme="minorEastAsia"/>
          <w:sz w:val="24"/>
          <w:szCs w:val="24"/>
        </w:rPr>
        <w:t>6</w:t>
      </w:r>
      <w:r>
        <w:rPr>
          <w:rFonts w:hint="eastAsia" w:cs="宋体" w:asciiTheme="minorEastAsia" w:hAnsiTheme="minorEastAsia" w:eastAsiaTheme="minorEastAsia"/>
          <w:sz w:val="24"/>
          <w:szCs w:val="24"/>
        </w:rPr>
        <w:t>.图纸内或外（现场变更、临时工程等）的项目签证，属于隐蔽工程的应于隐蔽前办理签证，非隐蔽工程应于完成后两个工作日内办理签证。签证时，乙方应至少提前4个工作小时通知甲方，经甲方代表及乙方代表共同现场验收签证方有效。验收签证原件甲方、乙方双方各执2份，作为工程结算依据。</w:t>
      </w:r>
    </w:p>
    <w:p w14:paraId="52B4DF51">
      <w:pPr>
        <w:pStyle w:val="20"/>
        <w:spacing w:after="0" w:line="500" w:lineRule="exact"/>
        <w:rPr>
          <w:rFonts w:asciiTheme="minorEastAsia" w:hAnsiTheme="minorEastAsia" w:eastAsiaTheme="minorEastAsia"/>
          <w:sz w:val="24"/>
          <w:szCs w:val="24"/>
        </w:rPr>
      </w:pPr>
    </w:p>
    <w:p w14:paraId="19CCC1E4">
      <w:pPr>
        <w:spacing w:beforeLines="0" w:line="500" w:lineRule="exact"/>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九、甲方义务</w:t>
      </w:r>
    </w:p>
    <w:p w14:paraId="104C4108">
      <w:pPr>
        <w:spacing w:beforeLines="0" w:line="5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1.委派现场代表</w:t>
      </w:r>
      <w:r>
        <w:rPr>
          <w:rFonts w:hint="eastAsia" w:asciiTheme="minorEastAsia" w:hAnsiTheme="minorEastAsia" w:eastAsiaTheme="minorEastAsia"/>
          <w:sz w:val="24"/>
          <w:szCs w:val="24"/>
          <w:u w:val="single"/>
        </w:rPr>
        <w:t xml:space="preserve"> </w:t>
      </w:r>
      <w:r>
        <w:rPr>
          <w:rFonts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负责对工程建设进行全面管理，解决施工过程中出现的需要甲方协调的相关问题，并参与工程的各种验收和签证工作。如变更现场代表应及时通知乙方。</w:t>
      </w:r>
    </w:p>
    <w:p w14:paraId="1114FFAE">
      <w:pPr>
        <w:spacing w:beforeLines="0" w:line="500" w:lineRule="exact"/>
        <w:rPr>
          <w:rFonts w:cs="宋体" w:asciiTheme="minorEastAsia" w:hAnsiTheme="minorEastAsia" w:eastAsiaTheme="minorEastAsia"/>
          <w:sz w:val="24"/>
          <w:szCs w:val="24"/>
        </w:rPr>
      </w:pPr>
      <w:r>
        <w:rPr>
          <w:rFonts w:cs="宋体" w:asciiTheme="minorEastAsia" w:hAnsiTheme="minorEastAsia" w:eastAsiaTheme="minorEastAsia"/>
          <w:sz w:val="24"/>
          <w:szCs w:val="24"/>
        </w:rPr>
        <w:t>2</w:t>
      </w:r>
      <w:r>
        <w:rPr>
          <w:rFonts w:hint="eastAsia" w:cs="宋体" w:asciiTheme="minorEastAsia" w:hAnsiTheme="minorEastAsia" w:eastAsiaTheme="minorEastAsia"/>
          <w:sz w:val="24"/>
          <w:szCs w:val="24"/>
        </w:rPr>
        <w:t>.协助乙方做好施工前现场准备工作，及时与乙方沟通协调，为乙方的施工提供必要条件。</w:t>
      </w:r>
    </w:p>
    <w:p w14:paraId="3C364459">
      <w:pPr>
        <w:spacing w:beforeLines="0" w:line="500" w:lineRule="exact"/>
        <w:rPr>
          <w:rFonts w:cs="宋体" w:asciiTheme="minorEastAsia" w:hAnsiTheme="minorEastAsia" w:eastAsiaTheme="minorEastAsia"/>
          <w:sz w:val="24"/>
          <w:szCs w:val="24"/>
        </w:rPr>
      </w:pPr>
      <w:r>
        <w:rPr>
          <w:rFonts w:cs="宋体" w:asciiTheme="minorEastAsia" w:hAnsiTheme="minorEastAsia" w:eastAsiaTheme="minorEastAsia"/>
          <w:sz w:val="24"/>
          <w:szCs w:val="24"/>
        </w:rPr>
        <w:t>3</w:t>
      </w:r>
      <w:r>
        <w:rPr>
          <w:rFonts w:hint="eastAsia" w:cs="宋体" w:asciiTheme="minorEastAsia" w:hAnsiTheme="minorEastAsia" w:eastAsiaTheme="minorEastAsia"/>
          <w:sz w:val="24"/>
          <w:szCs w:val="24"/>
        </w:rPr>
        <w:t>.乙方施工工作完成后，及时做好验收交接工作。</w:t>
      </w:r>
    </w:p>
    <w:p w14:paraId="45F07536">
      <w:pPr>
        <w:spacing w:beforeLines="0" w:line="500" w:lineRule="exact"/>
        <w:rPr>
          <w:rFonts w:cs="宋体" w:asciiTheme="minorEastAsia" w:hAnsiTheme="minorEastAsia" w:eastAsiaTheme="minorEastAsia"/>
          <w:sz w:val="24"/>
          <w:szCs w:val="24"/>
        </w:rPr>
      </w:pPr>
      <w:r>
        <w:rPr>
          <w:rFonts w:cs="宋体" w:asciiTheme="minorEastAsia" w:hAnsiTheme="minorEastAsia" w:eastAsiaTheme="minorEastAsia"/>
          <w:sz w:val="24"/>
          <w:szCs w:val="24"/>
        </w:rPr>
        <w:t>4</w:t>
      </w:r>
      <w:r>
        <w:rPr>
          <w:rFonts w:hint="eastAsia" w:cs="宋体" w:asciiTheme="minorEastAsia" w:hAnsiTheme="minorEastAsia" w:eastAsiaTheme="minorEastAsia"/>
          <w:sz w:val="24"/>
          <w:szCs w:val="24"/>
        </w:rPr>
        <w:t>.按合同约定的付款、结算方式及时支付合同款，积极协助乙方做好合同款项支付手续流程工作。</w:t>
      </w:r>
    </w:p>
    <w:p w14:paraId="31BC9719">
      <w:pPr>
        <w:spacing w:beforeLines="0" w:line="500" w:lineRule="exact"/>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十、乙方义务</w:t>
      </w:r>
    </w:p>
    <w:p w14:paraId="79111DF7">
      <w:pPr>
        <w:spacing w:beforeLines="0" w:line="50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1.委派现场代表</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负责施工期间的全面管理，如变更现场代表应提前三天通知甲方并经甲方书面同意。</w:t>
      </w:r>
    </w:p>
    <w:p w14:paraId="6DB59615">
      <w:pPr>
        <w:spacing w:beforeLines="0" w:line="500" w:lineRule="exact"/>
        <w:rPr>
          <w:rFonts w:cs="宋体" w:asciiTheme="minorEastAsia" w:hAnsiTheme="minorEastAsia" w:eastAsiaTheme="minorEastAsia"/>
          <w:sz w:val="24"/>
          <w:szCs w:val="24"/>
        </w:rPr>
      </w:pPr>
      <w:r>
        <w:rPr>
          <w:rFonts w:cs="宋体" w:asciiTheme="minorEastAsia" w:hAnsiTheme="minorEastAsia" w:eastAsiaTheme="minorEastAsia"/>
          <w:sz w:val="24"/>
          <w:szCs w:val="24"/>
        </w:rPr>
        <w:t>2</w:t>
      </w:r>
      <w:r>
        <w:rPr>
          <w:rFonts w:hint="eastAsia" w:cs="宋体" w:asciiTheme="minorEastAsia" w:hAnsiTheme="minorEastAsia" w:eastAsiaTheme="minorEastAsia"/>
          <w:sz w:val="24"/>
          <w:szCs w:val="24"/>
        </w:rPr>
        <w:t>.及时主动与甲方现场人员沟通好改造前准备工作，认真按照合同内容及技术要求，按时按质完成承包</w:t>
      </w:r>
      <w:r>
        <w:rPr>
          <w:rFonts w:cs="宋体" w:asciiTheme="minorEastAsia" w:hAnsiTheme="minorEastAsia" w:eastAsiaTheme="minorEastAsia"/>
          <w:sz w:val="24"/>
          <w:szCs w:val="24"/>
        </w:rPr>
        <w:t>范围内的施工工作，并按甲方要求的格式书面提请办理验收和确认手续</w:t>
      </w:r>
      <w:r>
        <w:rPr>
          <w:rFonts w:hint="eastAsia" w:cs="宋体" w:asciiTheme="minorEastAsia" w:hAnsiTheme="minorEastAsia" w:eastAsiaTheme="minorEastAsia"/>
          <w:sz w:val="24"/>
          <w:szCs w:val="24"/>
        </w:rPr>
        <w:t>。</w:t>
      </w:r>
    </w:p>
    <w:p w14:paraId="3F510D09">
      <w:pPr>
        <w:spacing w:beforeLines="0" w:line="500" w:lineRule="exact"/>
        <w:rPr>
          <w:rFonts w:cs="宋体" w:asciiTheme="minorEastAsia" w:hAnsiTheme="minorEastAsia" w:eastAsiaTheme="minorEastAsia"/>
          <w:sz w:val="24"/>
          <w:szCs w:val="24"/>
        </w:rPr>
      </w:pPr>
      <w:r>
        <w:rPr>
          <w:rFonts w:cs="宋体" w:asciiTheme="minorEastAsia" w:hAnsiTheme="minorEastAsia" w:eastAsiaTheme="minorEastAsia"/>
          <w:sz w:val="24"/>
          <w:szCs w:val="24"/>
        </w:rPr>
        <w:t>3</w:t>
      </w:r>
      <w:r>
        <w:rPr>
          <w:rFonts w:hint="eastAsia" w:cs="宋体" w:asciiTheme="minorEastAsia" w:hAnsiTheme="minorEastAsia" w:eastAsiaTheme="minorEastAsia"/>
          <w:sz w:val="24"/>
          <w:szCs w:val="24"/>
        </w:rPr>
        <w:t>.及时提供施工需要的施工图纸（如有）及相关资料，应在施工现场保留一套完整图纸，供工程师及有关人员进行工程检查时使用。</w:t>
      </w:r>
    </w:p>
    <w:p w14:paraId="2F31D30D">
      <w:pPr>
        <w:snapToGrid w:val="0"/>
        <w:spacing w:beforeLines="0" w:line="500" w:lineRule="exac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4.乙方应将施工组织设计（施工方案）、安全技术措施方案和工程进度计划提交工程师；根据工程需要，提供和维修非夜间施工使用的照明，并负责安全保卫；遵守政府有关主管部门对施工噪音的管理规定。</w:t>
      </w:r>
    </w:p>
    <w:p w14:paraId="7F786B79">
      <w:pPr>
        <w:pStyle w:val="20"/>
        <w:snapToGrid w:val="0"/>
        <w:spacing w:after="0" w:line="50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5.乙方必须按甲方确认的进度计划组织施工，接受甲方工程师对工程质量、进度的检查、监督，并为其检查、监督提供便利条件。工程质量达不到质量标准的部分，甲方一经发现，有权要求乙方拆除和重新施工，直到符合质量标准，因此造成的费用损失均由乙方自行承担。因乙方原因达不到质量标准的，由乙方承担拆除和重新施工的费用，工期不予顺延。工程实际进度与经确认的进度计划不符时，乙方应按甲方工程师的要求提出改进措施，经确认后执行。因乙方的原因导致实际进度与进度计划不符，工期不予顺延。因设备安装需要，需拆除的原设备构件、材料等由乙方负责拆除。</w:t>
      </w:r>
      <w:r>
        <w:rPr>
          <w:rFonts w:hint="eastAsia" w:cs="宋体" w:asciiTheme="minorEastAsia" w:hAnsiTheme="minorEastAsia" w:eastAsiaTheme="minorEastAsia"/>
          <w:kern w:val="0"/>
          <w:sz w:val="24"/>
          <w:szCs w:val="24"/>
        </w:rPr>
        <w:t>废弃物（包括废钢管及金属件、保温棉及炉墙材料等）由乙方交由有资质的单位处置，费用由乙方承担。</w:t>
      </w:r>
    </w:p>
    <w:p w14:paraId="50F56C33">
      <w:pPr>
        <w:spacing w:beforeLines="0" w:line="500" w:lineRule="exact"/>
        <w:rPr>
          <w:rFonts w:cs="宋体" w:asciiTheme="minorEastAsia" w:hAnsiTheme="minorEastAsia" w:eastAsiaTheme="minorEastAsia"/>
          <w:sz w:val="24"/>
          <w:szCs w:val="24"/>
        </w:rPr>
      </w:pPr>
      <w:r>
        <w:rPr>
          <w:rFonts w:cs="宋体" w:asciiTheme="minorEastAsia" w:hAnsiTheme="minorEastAsia" w:eastAsiaTheme="minorEastAsia"/>
          <w:sz w:val="24"/>
          <w:szCs w:val="24"/>
        </w:rPr>
        <w:t>6</w:t>
      </w:r>
      <w:r>
        <w:rPr>
          <w:rFonts w:hint="eastAsia" w:cs="宋体" w:asciiTheme="minorEastAsia" w:hAnsiTheme="minorEastAsia" w:eastAsiaTheme="minorEastAsia"/>
          <w:sz w:val="24"/>
          <w:szCs w:val="24"/>
        </w:rPr>
        <w:t>.做好施工后的调试、验收、资料移交、现场操作技术培训工作。</w:t>
      </w:r>
    </w:p>
    <w:p w14:paraId="60936994">
      <w:pPr>
        <w:spacing w:beforeLines="0" w:line="500" w:lineRule="exact"/>
        <w:rPr>
          <w:rFonts w:cs="宋体" w:asciiTheme="minorEastAsia" w:hAnsiTheme="minorEastAsia" w:eastAsiaTheme="minorEastAsia"/>
          <w:sz w:val="24"/>
          <w:szCs w:val="24"/>
        </w:rPr>
      </w:pPr>
      <w:r>
        <w:rPr>
          <w:rFonts w:cs="宋体" w:asciiTheme="minorEastAsia" w:hAnsiTheme="minorEastAsia" w:eastAsiaTheme="minorEastAsia"/>
          <w:sz w:val="24"/>
          <w:szCs w:val="24"/>
        </w:rPr>
        <w:t>7</w:t>
      </w:r>
      <w:r>
        <w:rPr>
          <w:rFonts w:hint="eastAsia" w:cs="宋体" w:asciiTheme="minorEastAsia" w:hAnsiTheme="minorEastAsia" w:eastAsiaTheme="minorEastAsia"/>
          <w:sz w:val="24"/>
          <w:szCs w:val="24"/>
        </w:rPr>
        <w:t>.按相关国家相关法律法规、安全规范进行安全施工，项目实施过程中一切安全责任均由乙方负责。乙方施工前需配合甲方组织的文明施工培训，施工过程中乙方应当采取必要的安全防护和消防措施，保障作业人员和相邻单位的安全，施工过程中乙方造成的一切人身及财产事故由乙方承担责任。</w:t>
      </w:r>
    </w:p>
    <w:p w14:paraId="6C93AC11">
      <w:pPr>
        <w:spacing w:beforeLines="0" w:line="500" w:lineRule="exact"/>
        <w:rPr>
          <w:rFonts w:cs="宋体" w:asciiTheme="minorEastAsia" w:hAnsiTheme="minorEastAsia" w:eastAsiaTheme="minorEastAsia"/>
          <w:sz w:val="24"/>
          <w:szCs w:val="24"/>
        </w:rPr>
      </w:pPr>
      <w:r>
        <w:rPr>
          <w:rFonts w:cs="宋体" w:asciiTheme="minorEastAsia" w:hAnsiTheme="minorEastAsia" w:eastAsiaTheme="minorEastAsia"/>
          <w:sz w:val="24"/>
          <w:szCs w:val="24"/>
        </w:rPr>
        <w:t>8</w:t>
      </w:r>
      <w:r>
        <w:rPr>
          <w:rFonts w:hint="eastAsia" w:cs="宋体" w:asciiTheme="minorEastAsia" w:hAnsiTheme="minorEastAsia" w:eastAsiaTheme="minorEastAsia"/>
          <w:sz w:val="24"/>
          <w:szCs w:val="24"/>
        </w:rPr>
        <w:t>.乙方在甲方现场内施工时，全面服从甲方管理，应遵守甲方各项安全及其他相关制度，如有违反，按甲方相关制度规定进行处罚。</w:t>
      </w:r>
    </w:p>
    <w:p w14:paraId="7A55B457">
      <w:pPr>
        <w:spacing w:beforeLines="0" w:line="500" w:lineRule="exact"/>
        <w:rPr>
          <w:rFonts w:cs="宋体" w:asciiTheme="minorEastAsia" w:hAnsiTheme="minorEastAsia" w:eastAsiaTheme="minorEastAsia"/>
          <w:sz w:val="24"/>
          <w:szCs w:val="24"/>
        </w:rPr>
      </w:pPr>
      <w:r>
        <w:rPr>
          <w:rFonts w:cs="宋体" w:asciiTheme="minorEastAsia" w:hAnsiTheme="minorEastAsia" w:eastAsiaTheme="minorEastAsia"/>
          <w:sz w:val="24"/>
          <w:szCs w:val="24"/>
        </w:rPr>
        <w:t>9</w:t>
      </w:r>
      <w:r>
        <w:rPr>
          <w:rFonts w:hint="eastAsia" w:cs="宋体" w:asciiTheme="minorEastAsia" w:hAnsiTheme="minorEastAsia" w:eastAsiaTheme="minorEastAsia"/>
          <w:sz w:val="24"/>
          <w:szCs w:val="24"/>
        </w:rPr>
        <w:t>.乙方须保证施工场地的清洁卫生符合相关环境卫生、环境保护及整治管理的规定，防止扬尘及保持场地出入口及场外周边道路的清洁卫生，做到工完场清。否则，甲方有权委托第三方处理，因此产生的费用损失应由乙方承担，且乙方应向甲方支付</w:t>
      </w:r>
      <w:r>
        <w:rPr>
          <w:rFonts w:hint="eastAsia" w:cs="宋体" w:asciiTheme="minorEastAsia" w:hAnsiTheme="minorEastAsia" w:eastAsiaTheme="minorEastAsia"/>
          <w:sz w:val="24"/>
          <w:szCs w:val="24"/>
          <w:lang w:val="en-US" w:eastAsia="zh-CN"/>
        </w:rPr>
        <w:t>2万</w:t>
      </w:r>
      <w:r>
        <w:rPr>
          <w:rFonts w:hint="eastAsia" w:cs="宋体" w:asciiTheme="minorEastAsia" w:hAnsiTheme="minorEastAsia" w:eastAsiaTheme="minorEastAsia"/>
          <w:sz w:val="24"/>
          <w:szCs w:val="24"/>
        </w:rPr>
        <w:t>元违约金。</w:t>
      </w:r>
    </w:p>
    <w:p w14:paraId="35974322">
      <w:pPr>
        <w:spacing w:beforeLines="0" w:line="500" w:lineRule="exact"/>
        <w:rPr>
          <w:rFonts w:cs="宋体" w:asciiTheme="minorEastAsia" w:hAnsiTheme="minorEastAsia" w:eastAsiaTheme="minorEastAsia"/>
          <w:sz w:val="24"/>
          <w:szCs w:val="24"/>
        </w:rPr>
      </w:pPr>
      <w:r>
        <w:rPr>
          <w:rFonts w:cs="宋体" w:asciiTheme="minorEastAsia" w:hAnsiTheme="minorEastAsia" w:eastAsiaTheme="minorEastAsia"/>
          <w:sz w:val="24"/>
          <w:szCs w:val="24"/>
        </w:rPr>
        <w:t>10</w:t>
      </w:r>
      <w:r>
        <w:rPr>
          <w:rFonts w:hint="eastAsia" w:cs="宋体" w:asciiTheme="minorEastAsia" w:hAnsiTheme="minorEastAsia" w:eastAsiaTheme="minorEastAsia"/>
          <w:sz w:val="24"/>
          <w:szCs w:val="24"/>
        </w:rPr>
        <w:t>.</w:t>
      </w:r>
      <w:r>
        <w:rPr>
          <w:rFonts w:cs="宋体" w:asciiTheme="minorEastAsia" w:hAnsiTheme="minorEastAsia" w:eastAsiaTheme="minorEastAsia"/>
          <w:sz w:val="24"/>
          <w:szCs w:val="24"/>
        </w:rPr>
        <w:t>对于已完工的部分，在甲方验收前，乙方应做好保护工作</w:t>
      </w:r>
      <w:r>
        <w:rPr>
          <w:rFonts w:hint="eastAsia" w:cs="宋体" w:asciiTheme="minorEastAsia" w:hAnsiTheme="minorEastAsia" w:eastAsiaTheme="minorEastAsia"/>
          <w:sz w:val="24"/>
          <w:szCs w:val="24"/>
        </w:rPr>
        <w:t>。</w:t>
      </w:r>
    </w:p>
    <w:p w14:paraId="1D9B75DE">
      <w:pPr>
        <w:spacing w:beforeLines="0" w:line="50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乙方工作人员在施工现场应穿戴有乙方标志的工作服或工作证。乙方安排到甲方施工的人员（即乙方人员）必须为与乙方签署劳动合同的人员。乙方应按时足额为乙方工作人员购买社保、发放工资、福利等，甲方在任何时候与乙方工作人员均不存在任何劳动、劳务、雇佣关系。若因乙方与乙方工作人员之间的争议纠纷导致甲方被投诉、起诉、仲裁的，造成甲方向第三方支付费用的，该费用及甲方律师费均应由乙方承担，同时乙方应向甲方支付</w:t>
      </w:r>
      <w:r>
        <w:rPr>
          <w:rFonts w:hint="eastAsia" w:cs="宋体" w:asciiTheme="minorEastAsia" w:hAnsiTheme="minorEastAsia" w:eastAsiaTheme="minorEastAsia"/>
          <w:sz w:val="24"/>
          <w:szCs w:val="24"/>
          <w:u w:val="single"/>
          <w:lang w:val="en-US" w:eastAsia="zh-CN"/>
        </w:rPr>
        <w:t>合同总金额20%</w:t>
      </w:r>
      <w:r>
        <w:rPr>
          <w:rFonts w:hint="eastAsia" w:cs="宋体" w:asciiTheme="minorEastAsia" w:hAnsiTheme="minorEastAsia" w:eastAsiaTheme="minorEastAsia"/>
          <w:sz w:val="24"/>
          <w:szCs w:val="24"/>
        </w:rPr>
        <w:t>违约金及赔偿甲方损失。</w:t>
      </w:r>
    </w:p>
    <w:p w14:paraId="73E1A206">
      <w:pPr>
        <w:snapToGrid w:val="0"/>
        <w:spacing w:beforeLines="0" w:line="50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w:t>
      </w:r>
      <w:r>
        <w:rPr>
          <w:rFonts w:cs="宋体" w:asciiTheme="minorEastAsia" w:hAnsiTheme="minorEastAsia" w:eastAsiaTheme="minorEastAsia"/>
          <w:sz w:val="24"/>
          <w:szCs w:val="24"/>
        </w:rPr>
        <w:t>2</w:t>
      </w:r>
      <w:r>
        <w:rPr>
          <w:rFonts w:hint="eastAsia" w:cs="宋体" w:asciiTheme="minorEastAsia" w:hAnsiTheme="minorEastAsia" w:eastAsiaTheme="minorEastAsia"/>
          <w:sz w:val="24"/>
          <w:szCs w:val="24"/>
        </w:rPr>
        <w:t>.施工中未经甲方同意或有关部门批准，不得随意拆改原建筑物结构及各种设备管线。</w:t>
      </w:r>
    </w:p>
    <w:p w14:paraId="24394F81">
      <w:pPr>
        <w:pStyle w:val="20"/>
        <w:spacing w:after="0" w:line="500" w:lineRule="exact"/>
        <w:jc w:val="left"/>
        <w:rPr>
          <w:rFonts w:asciiTheme="minorEastAsia" w:hAnsiTheme="minorEastAsia" w:eastAsiaTheme="minorEastAsia"/>
          <w:sz w:val="24"/>
          <w:szCs w:val="24"/>
        </w:rPr>
      </w:pPr>
      <w:r>
        <w:rPr>
          <w:rFonts w:asciiTheme="minorEastAsia" w:hAnsiTheme="minorEastAsia" w:eastAsiaTheme="minorEastAsia"/>
          <w:sz w:val="24"/>
          <w:szCs w:val="24"/>
        </w:rPr>
        <w:t>1</w:t>
      </w:r>
      <w:r>
        <w:rPr>
          <w:rFonts w:hint="eastAsia" w:asciiTheme="minorEastAsia" w:hAnsiTheme="minorEastAsia" w:eastAsiaTheme="minorEastAsia"/>
          <w:sz w:val="24"/>
          <w:szCs w:val="24"/>
          <w:lang w:val="en-US" w:eastAsia="zh-CN"/>
        </w:rPr>
        <w:t>3</w:t>
      </w:r>
      <w:r>
        <w:rPr>
          <w:rFonts w:hint="eastAsia" w:asciiTheme="minorEastAsia" w:hAnsiTheme="minorEastAsia" w:eastAsiaTheme="minorEastAsia"/>
          <w:sz w:val="24"/>
          <w:szCs w:val="24"/>
        </w:rPr>
        <w:t>.乙方应根据甲方施工要求提供具备相应资格、要求的工作人员。乙方人员需符合但不限于以下基本要求：</w:t>
      </w:r>
    </w:p>
    <w:p w14:paraId="5E399131">
      <w:pPr>
        <w:pStyle w:val="20"/>
        <w:spacing w:after="0" w:line="50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14.</w:t>
      </w:r>
      <w:r>
        <w:rPr>
          <w:rFonts w:hint="eastAsia" w:asciiTheme="minorEastAsia" w:hAnsiTheme="minorEastAsia" w:eastAsiaTheme="minorEastAsia"/>
          <w:sz w:val="24"/>
          <w:szCs w:val="24"/>
        </w:rPr>
        <w:t>乙方必须为所有投入本施工项目的工作人员购买</w:t>
      </w:r>
      <w:r>
        <w:rPr>
          <w:rFonts w:asciiTheme="minorEastAsia" w:hAnsiTheme="minorEastAsia" w:eastAsiaTheme="minorEastAsia"/>
          <w:sz w:val="24"/>
          <w:szCs w:val="24"/>
        </w:rPr>
        <w:t>社保和</w:t>
      </w:r>
      <w:r>
        <w:rPr>
          <w:rFonts w:hint="eastAsia" w:asciiTheme="minorEastAsia" w:hAnsiTheme="minorEastAsia" w:eastAsiaTheme="minorEastAsia"/>
          <w:sz w:val="24"/>
          <w:szCs w:val="24"/>
        </w:rPr>
        <w:t>人身意外伤害保险。在该购买的人身意外伤害保险项下，被保险人因意外伤害死亡时的赔偿金额应不低于人民币120万/人，且保险期限不短于本合同有效期间及本项目工期。乙方因此发生的上述保险费均已包含在本次合同总价中，乙方入场前应向甲方提交相关保险购买凭证资料等。</w:t>
      </w:r>
    </w:p>
    <w:p w14:paraId="1B0F3379">
      <w:pPr>
        <w:pStyle w:val="20"/>
        <w:spacing w:after="0" w:line="50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15.</w:t>
      </w:r>
      <w:r>
        <w:rPr>
          <w:rFonts w:hint="eastAsia" w:asciiTheme="minorEastAsia" w:hAnsiTheme="minorEastAsia" w:eastAsiaTheme="minorEastAsia"/>
          <w:sz w:val="24"/>
          <w:szCs w:val="24"/>
        </w:rPr>
        <w:t>所有乙方工作人员须身体健康，无患影响开展相应工作的疾病。</w:t>
      </w:r>
    </w:p>
    <w:p w14:paraId="57467A42">
      <w:pPr>
        <w:pStyle w:val="20"/>
        <w:spacing w:after="0" w:line="50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16.</w:t>
      </w:r>
      <w:r>
        <w:rPr>
          <w:rFonts w:hint="eastAsia" w:asciiTheme="minorEastAsia" w:hAnsiTheme="minorEastAsia" w:eastAsiaTheme="minorEastAsia"/>
          <w:sz w:val="24"/>
          <w:szCs w:val="24"/>
        </w:rPr>
        <w:t>乙方需保证工作人员人数能满足现场施工工程进度。在施工出现异常状况时，乙方应保证48小时以内调整相应的需求人员，以适应施工异常调整的需要。如甲方认为乙方人员中有不符合施工要求的，有权通知乙方调换该人员，乙方必须在1个日历日内完成更换，乙方逾期更换的，每逾期一日，乙方应向甲方支付</w:t>
      </w:r>
      <w:r>
        <w:rPr>
          <w:rFonts w:hint="eastAsia" w:asciiTheme="minorEastAsia" w:hAnsiTheme="minorEastAsia" w:eastAsiaTheme="minorEastAsia"/>
          <w:sz w:val="24"/>
          <w:szCs w:val="24"/>
          <w:lang w:val="en-US" w:eastAsia="zh-CN"/>
        </w:rPr>
        <w:t>5000</w:t>
      </w:r>
      <w:r>
        <w:rPr>
          <w:rFonts w:hint="eastAsia" w:asciiTheme="minorEastAsia" w:hAnsiTheme="minorEastAsia" w:eastAsiaTheme="minorEastAsia"/>
          <w:sz w:val="24"/>
          <w:szCs w:val="24"/>
        </w:rPr>
        <w:t>元违约金。</w:t>
      </w:r>
    </w:p>
    <w:p w14:paraId="59DCAF71">
      <w:pPr>
        <w:pStyle w:val="20"/>
        <w:spacing w:after="0" w:line="500" w:lineRule="exact"/>
        <w:jc w:val="left"/>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17.</w:t>
      </w:r>
      <w:r>
        <w:rPr>
          <w:rFonts w:hint="eastAsia" w:asciiTheme="minorEastAsia" w:hAnsiTheme="minorEastAsia" w:eastAsiaTheme="minorEastAsia"/>
          <w:sz w:val="24"/>
          <w:szCs w:val="24"/>
        </w:rPr>
        <w:t>乙方人员应熟知安全施工规范及原则，施工前需到甲方安全环境部进行施工人员安全培训。</w:t>
      </w:r>
      <w:r>
        <w:rPr>
          <w:rFonts w:hint="eastAsia" w:asciiTheme="minorEastAsia" w:hAnsiTheme="minorEastAsia" w:eastAsiaTheme="minorEastAsia"/>
          <w:sz w:val="24"/>
          <w:szCs w:val="24"/>
          <w:lang w:val="en-US" w:eastAsia="zh-CN"/>
        </w:rPr>
        <w:t>乙方应严格按照有限空间作业规程进行施工，严格做好安全措施及人员安全培训，因乙方施工原因造成的全部责任由乙方承担。</w:t>
      </w:r>
    </w:p>
    <w:p w14:paraId="6EAF0DC8">
      <w:pPr>
        <w:pStyle w:val="20"/>
        <w:spacing w:after="0" w:line="500" w:lineRule="exact"/>
        <w:jc w:val="left"/>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18.乙方投入本项目的检修特种人员必须根据项目专业要求持相应的特种作业证上岗、乙方投入本项目的技术负责人及工作人员必须具有相关垃圾发电厂起重机械安装或维修的经验，乙方须在以上人员进场前24小时内须按甲方要求提供相关证明材料进行核验方可进场</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val="en-US" w:eastAsia="zh-CN"/>
        </w:rPr>
        <w:t>如乙方未能在规定时间内按甲方要求提供有效的证明材料的，视为乙方违约，</w:t>
      </w:r>
      <w:r>
        <w:rPr>
          <w:rFonts w:hint="eastAsia" w:asciiTheme="minorEastAsia" w:hAnsiTheme="minorEastAsia" w:eastAsiaTheme="minorEastAsia"/>
          <w:sz w:val="24"/>
          <w:szCs w:val="24"/>
        </w:rPr>
        <w:t>甲方有权解除合同，乙方应向甲方支付合同价款</w:t>
      </w:r>
      <w:r>
        <w:rPr>
          <w:rFonts w:hint="eastAsia" w:asciiTheme="minorEastAsia" w:hAnsiTheme="minorEastAsia" w:eastAsiaTheme="minorEastAsia"/>
          <w:sz w:val="24"/>
          <w:szCs w:val="24"/>
          <w:lang w:val="en-US" w:eastAsia="zh-CN"/>
        </w:rPr>
        <w:t>2</w:t>
      </w:r>
      <w:r>
        <w:rPr>
          <w:rFonts w:hint="eastAsia" w:asciiTheme="minorEastAsia" w:hAnsiTheme="minorEastAsia" w:eastAsiaTheme="minorEastAsia"/>
          <w:sz w:val="24"/>
          <w:szCs w:val="24"/>
        </w:rPr>
        <w:t>0%的违约金并赔偿甲方因此遭受的损失。</w:t>
      </w:r>
    </w:p>
    <w:p w14:paraId="2F5562EC">
      <w:pPr>
        <w:spacing w:line="500" w:lineRule="exact"/>
        <w:rPr>
          <w:rFonts w:asciiTheme="minorEastAsia" w:hAnsiTheme="minorEastAsia" w:eastAsiaTheme="minorEastAsia"/>
          <w:sz w:val="24"/>
          <w:szCs w:val="24"/>
        </w:rPr>
      </w:pPr>
      <w:r>
        <w:rPr>
          <w:rFonts w:hint="eastAsia" w:cs="宋体" w:asciiTheme="minorEastAsia" w:hAnsiTheme="minorEastAsia" w:eastAsiaTheme="minorEastAsia"/>
          <w:sz w:val="24"/>
          <w:szCs w:val="24"/>
          <w:lang w:val="en-US" w:eastAsia="zh-CN"/>
        </w:rPr>
        <w:t>19</w:t>
      </w:r>
      <w:r>
        <w:rPr>
          <w:rFonts w:hint="eastAsia" w:asciiTheme="minorEastAsia" w:hAnsiTheme="minorEastAsia" w:eastAsiaTheme="minorEastAsia"/>
          <w:sz w:val="24"/>
          <w:szCs w:val="24"/>
          <w:lang w:val="en-US" w:eastAsia="zh-CN"/>
        </w:rPr>
        <w:t>.</w:t>
      </w:r>
      <w:r>
        <w:rPr>
          <w:rFonts w:hint="eastAsia" w:asciiTheme="minorEastAsia" w:hAnsiTheme="minorEastAsia" w:eastAsiaTheme="minorEastAsia"/>
          <w:sz w:val="24"/>
          <w:szCs w:val="24"/>
        </w:rPr>
        <w:t>未经甲方同意更换现场人员</w:t>
      </w:r>
      <w:r>
        <w:rPr>
          <w:rFonts w:hint="eastAsia" w:asciiTheme="minorEastAsia" w:hAnsiTheme="minorEastAsia" w:eastAsiaTheme="minorEastAsia"/>
          <w:sz w:val="24"/>
          <w:szCs w:val="24"/>
          <w:u w:val="single"/>
        </w:rPr>
        <w:t>，乙方按</w:t>
      </w:r>
      <w:r>
        <w:rPr>
          <w:rFonts w:hint="eastAsia" w:asciiTheme="minorEastAsia" w:hAnsiTheme="minorEastAsia" w:eastAsiaTheme="minorEastAsia"/>
          <w:sz w:val="24"/>
          <w:szCs w:val="24"/>
          <w:u w:val="single"/>
          <w:lang w:val="en-US" w:eastAsia="zh-CN"/>
        </w:rPr>
        <w:t>2000</w:t>
      </w:r>
      <w:r>
        <w:rPr>
          <w:rFonts w:hint="eastAsia" w:asciiTheme="minorEastAsia" w:hAnsiTheme="minorEastAsia" w:eastAsiaTheme="minorEastAsia"/>
          <w:sz w:val="24"/>
          <w:szCs w:val="24"/>
          <w:u w:val="single"/>
        </w:rPr>
        <w:t>元/次支</w:t>
      </w:r>
      <w:r>
        <w:rPr>
          <w:rFonts w:hint="eastAsia" w:asciiTheme="minorEastAsia" w:hAnsiTheme="minorEastAsia" w:eastAsiaTheme="minorEastAsia"/>
          <w:sz w:val="24"/>
          <w:szCs w:val="24"/>
        </w:rPr>
        <w:t>付违约金。在甲方同意乙方更换现场人员的情况下，乙方应为更换后的人员投保本条第1款约定的人身意外伤害保险。在乙方向甲方提交为更换后的现场人员投保人身意外伤害保险的保险凭证且经甲方审核无误后，乙方更换的现场人员方可进入甲方现场工作。乙方违反本款约定（包括但不限于擅自更换人员或不为更换后人员投保等），甲方有权立即解除合同。合同因此解除的，乙方应向甲方支付合同价款</w:t>
      </w:r>
      <w:r>
        <w:rPr>
          <w:rFonts w:hint="eastAsia" w:asciiTheme="minorEastAsia" w:hAnsiTheme="minorEastAsia" w:eastAsiaTheme="minorEastAsia"/>
          <w:sz w:val="24"/>
          <w:szCs w:val="24"/>
          <w:lang w:val="en-US" w:eastAsia="zh-CN"/>
        </w:rPr>
        <w:t>2</w:t>
      </w:r>
      <w:r>
        <w:rPr>
          <w:rFonts w:hint="eastAsia" w:asciiTheme="minorEastAsia" w:hAnsiTheme="minorEastAsia" w:eastAsiaTheme="minorEastAsia"/>
          <w:sz w:val="24"/>
          <w:szCs w:val="24"/>
        </w:rPr>
        <w:t>0%的违约金并赔偿甲方因此遭受的损失。</w:t>
      </w:r>
    </w:p>
    <w:p w14:paraId="6B273891">
      <w:pPr>
        <w:spacing w:line="500" w:lineRule="exact"/>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十一、</w:t>
      </w:r>
      <w:r>
        <w:rPr>
          <w:rFonts w:cs="宋体" w:asciiTheme="minorEastAsia" w:hAnsiTheme="minorEastAsia" w:eastAsiaTheme="minorEastAsia"/>
          <w:b/>
          <w:sz w:val="24"/>
          <w:szCs w:val="24"/>
        </w:rPr>
        <w:t>违约责任</w:t>
      </w:r>
    </w:p>
    <w:p w14:paraId="36668D08">
      <w:pPr>
        <w:pStyle w:val="20"/>
        <w:spacing w:after="0" w:line="500" w:lineRule="exact"/>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1.质量违约</w:t>
      </w:r>
    </w:p>
    <w:p w14:paraId="26FFC789">
      <w:pPr>
        <w:pStyle w:val="20"/>
        <w:spacing w:after="0" w:line="50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1.1本合同项目经验收质量不符合要求的，甲方有权解除合同并要求乙方立即清场，且无需支付项目款，乙方应按合同价款之</w:t>
      </w:r>
      <w:r>
        <w:rPr>
          <w:rFonts w:hint="eastAsia" w:asciiTheme="minorEastAsia" w:hAnsiTheme="minorEastAsia" w:eastAsiaTheme="minorEastAsia"/>
          <w:sz w:val="24"/>
          <w:szCs w:val="24"/>
          <w:lang w:val="en-US" w:eastAsia="zh-CN"/>
        </w:rPr>
        <w:t>2</w:t>
      </w:r>
      <w:r>
        <w:rPr>
          <w:rFonts w:hint="eastAsia" w:asciiTheme="minorEastAsia" w:hAnsiTheme="minorEastAsia" w:eastAsiaTheme="minorEastAsia"/>
          <w:sz w:val="24"/>
          <w:szCs w:val="24"/>
        </w:rPr>
        <w:t>0%向甲方支付违约金。因乙方工程不合格造成甲方损失的，乙方应予按实赔偿。</w:t>
      </w:r>
    </w:p>
    <w:p w14:paraId="17BFF16F">
      <w:pPr>
        <w:pStyle w:val="20"/>
        <w:spacing w:after="0" w:line="50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1.2凡属乙方工程质量问题，不管何时发现，乙方均应于收到甲方通知之日起1个日历日内按本合同质保条款规定组织维修，并按实赔偿甲方一切损失。</w:t>
      </w:r>
    </w:p>
    <w:p w14:paraId="35F7F625">
      <w:pPr>
        <w:pStyle w:val="20"/>
        <w:spacing w:after="0" w:line="50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1.3若双方对本合同项目是否符合合同约定的质量标准无法达成一致意见，双方可共同委托有鉴定资质的第三方进行鉴定，鉴定费用由责任方承担；若乙方在接到甲方通知之日起三日内未与甲方共同选定鉴定机构的，甲方有权自行委托，鉴定结论对双方均有效力。</w:t>
      </w:r>
    </w:p>
    <w:p w14:paraId="7352D4FF">
      <w:pPr>
        <w:pStyle w:val="20"/>
        <w:spacing w:after="0" w:line="50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1.4，乙方未经甲方书面同意</w:t>
      </w:r>
      <w:r>
        <w:rPr>
          <w:rFonts w:hint="eastAsia" w:cs="宋体" w:asciiTheme="minorEastAsia" w:hAnsiTheme="minorEastAsia" w:eastAsiaTheme="minorEastAsia"/>
          <w:sz w:val="24"/>
          <w:szCs w:val="24"/>
        </w:rPr>
        <w:t>变更现场代表的，每发生一次需向甲方支付</w:t>
      </w:r>
      <w:r>
        <w:rPr>
          <w:rFonts w:cs="宋体" w:asciiTheme="minorEastAsia" w:hAnsiTheme="minorEastAsia" w:eastAsiaTheme="minorEastAsia"/>
          <w:sz w:val="24"/>
          <w:szCs w:val="24"/>
        </w:rPr>
        <w:t>2000</w:t>
      </w:r>
      <w:r>
        <w:rPr>
          <w:rFonts w:hint="eastAsia" w:cs="宋体" w:asciiTheme="minorEastAsia" w:hAnsiTheme="minorEastAsia" w:eastAsiaTheme="minorEastAsia"/>
          <w:sz w:val="24"/>
          <w:szCs w:val="24"/>
        </w:rPr>
        <w:t>元的违约金。</w:t>
      </w:r>
    </w:p>
    <w:p w14:paraId="15865F76">
      <w:pPr>
        <w:pStyle w:val="20"/>
        <w:spacing w:after="0" w:line="500" w:lineRule="exact"/>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2.工期违约</w:t>
      </w:r>
    </w:p>
    <w:p w14:paraId="1F780123">
      <w:pPr>
        <w:pStyle w:val="20"/>
        <w:spacing w:after="0" w:line="50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2.1甲方因自身原因未能按本合同约定进行工程竣工验收的，由甲方承担工程保管及风险责任。</w:t>
      </w:r>
    </w:p>
    <w:p w14:paraId="22FE6FD8">
      <w:pPr>
        <w:pStyle w:val="20"/>
        <w:spacing w:after="0" w:line="50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2.2乙方因自身原因未能在合同约定工期内通过竣工验收的，每逾期1天，工期违约按每逾期1天</w:t>
      </w:r>
      <w:r>
        <w:rPr>
          <w:rFonts w:hint="eastAsia" w:asciiTheme="minorEastAsia" w:hAnsiTheme="minorEastAsia" w:eastAsiaTheme="minorEastAsia"/>
          <w:sz w:val="24"/>
          <w:szCs w:val="24"/>
          <w:lang w:val="en-US" w:eastAsia="zh-CN"/>
        </w:rPr>
        <w:t>支付</w:t>
      </w:r>
      <w:r>
        <w:rPr>
          <w:rFonts w:hint="eastAsia" w:asciiTheme="minorEastAsia" w:hAnsiTheme="minorEastAsia" w:eastAsiaTheme="minorEastAsia"/>
          <w:sz w:val="24"/>
          <w:szCs w:val="24"/>
          <w:u w:val="single"/>
          <w:lang w:val="en-US" w:eastAsia="zh-CN"/>
        </w:rPr>
        <w:t>合同总金额1</w:t>
      </w:r>
      <w:r>
        <w:rPr>
          <w:rFonts w:hint="eastAsia" w:asciiTheme="minorEastAsia" w:hAnsiTheme="minorEastAsia" w:eastAsiaTheme="minorEastAsia"/>
          <w:sz w:val="24"/>
          <w:szCs w:val="24"/>
        </w:rPr>
        <w:t>‰的标准支付违约金，如违约金不足以弥补甲方损失的，乙方须继续赔偿甲方因此造成的全部损失。若逾期超过5天的，甲方有权解除合同并要求乙方立即清场，无需支付项目款，且乙方应按合同价款之</w:t>
      </w:r>
      <w:r>
        <w:rPr>
          <w:rFonts w:hint="eastAsia" w:asciiTheme="minorEastAsia" w:hAnsiTheme="minorEastAsia" w:eastAsiaTheme="minorEastAsia"/>
          <w:sz w:val="24"/>
          <w:szCs w:val="24"/>
          <w:lang w:val="en-US" w:eastAsia="zh-CN"/>
        </w:rPr>
        <w:t>2</w:t>
      </w:r>
      <w:r>
        <w:rPr>
          <w:rFonts w:hint="eastAsia" w:asciiTheme="minorEastAsia" w:hAnsiTheme="minorEastAsia" w:eastAsiaTheme="minorEastAsia"/>
          <w:sz w:val="24"/>
          <w:szCs w:val="24"/>
        </w:rPr>
        <w:t>0%向甲方支付违约金并赔偿甲方损失。</w:t>
      </w:r>
    </w:p>
    <w:p w14:paraId="02C74337">
      <w:pPr>
        <w:pStyle w:val="20"/>
        <w:spacing w:after="0" w:line="500" w:lineRule="exact"/>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3.付款违约</w:t>
      </w:r>
    </w:p>
    <w:p w14:paraId="3E7020EF">
      <w:pPr>
        <w:pStyle w:val="20"/>
        <w:spacing w:after="0" w:line="50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3.1如果甲方未能在约定的时间内付款，每逾期一日，按应付未付款项的1‰向乙方支付违约金。</w:t>
      </w:r>
    </w:p>
    <w:p w14:paraId="30876E5E">
      <w:pPr>
        <w:pStyle w:val="20"/>
        <w:spacing w:after="0" w:line="500" w:lineRule="exact"/>
        <w:jc w:val="left"/>
        <w:rPr>
          <w:rFonts w:asciiTheme="minorEastAsia" w:hAnsiTheme="minorEastAsia" w:eastAsiaTheme="minorEastAsia"/>
          <w:b/>
          <w:sz w:val="24"/>
          <w:szCs w:val="24"/>
        </w:rPr>
      </w:pPr>
      <w:r>
        <w:rPr>
          <w:rFonts w:asciiTheme="minorEastAsia" w:hAnsiTheme="minorEastAsia" w:eastAsiaTheme="minorEastAsia"/>
          <w:b/>
          <w:sz w:val="24"/>
          <w:szCs w:val="24"/>
        </w:rPr>
        <w:t>4.其他</w:t>
      </w:r>
    </w:p>
    <w:p w14:paraId="3EC8876E">
      <w:pPr>
        <w:pStyle w:val="20"/>
        <w:spacing w:after="0" w:line="500" w:lineRule="exact"/>
        <w:jc w:val="left"/>
        <w:rPr>
          <w:rFonts w:asciiTheme="minorEastAsia" w:hAnsiTheme="minorEastAsia" w:eastAsiaTheme="minorEastAsia"/>
          <w:sz w:val="24"/>
          <w:szCs w:val="24"/>
        </w:rPr>
      </w:pPr>
      <w:r>
        <w:rPr>
          <w:rFonts w:asciiTheme="minorEastAsia" w:hAnsiTheme="minorEastAsia" w:eastAsiaTheme="minorEastAsia"/>
          <w:sz w:val="24"/>
          <w:szCs w:val="24"/>
        </w:rPr>
        <w:t>4.1</w:t>
      </w:r>
      <w:r>
        <w:rPr>
          <w:rFonts w:hint="eastAsia" w:asciiTheme="minorEastAsia" w:hAnsiTheme="minorEastAsia" w:eastAsiaTheme="minorEastAsia"/>
          <w:sz w:val="24"/>
          <w:szCs w:val="24"/>
        </w:rPr>
        <w:t>本合同签订后，乙方不得单方解除本合同，否则甲方有权要求乙方立即清场，有权拒绝向乙方支付任何费用，并没收乙方履约保证金，且乙方需向甲方支付本合同价款20%的违约金。如违约金不足以弥补甲方损失的，乙方应赔偿损失。</w:t>
      </w:r>
    </w:p>
    <w:p w14:paraId="1D5069EF">
      <w:pPr>
        <w:pStyle w:val="20"/>
        <w:spacing w:after="0" w:line="50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4.2合同签订后，乙方对其在本合同中义务有违约，并在收到甲方发出书面通知，指出该违约情况，并要求乙方就此进行改正和补救后五个日历日未予改正或补救的，甲方有权单方解除合同，有权要求乙方立即清场，有权拒绝向乙方支付任何费用，并没收乙方履约保证金，且乙方需向甲方支付本合同项目价款20%的违约金。如违约金不足以弥补甲方损失的，乙方应赔偿损失。</w:t>
      </w:r>
    </w:p>
    <w:p w14:paraId="07EEB5EC">
      <w:pPr>
        <w:pStyle w:val="20"/>
        <w:spacing w:after="0" w:line="500" w:lineRule="exact"/>
        <w:jc w:val="left"/>
        <w:rPr>
          <w:rFonts w:asciiTheme="minorEastAsia" w:hAnsiTheme="minorEastAsia" w:eastAsiaTheme="minorEastAsia"/>
          <w:sz w:val="24"/>
          <w:szCs w:val="24"/>
        </w:rPr>
      </w:pPr>
      <w:r>
        <w:rPr>
          <w:rFonts w:asciiTheme="minorEastAsia" w:hAnsiTheme="minorEastAsia" w:eastAsiaTheme="minorEastAsia"/>
          <w:sz w:val="24"/>
          <w:szCs w:val="24"/>
        </w:rPr>
        <w:t>4.</w:t>
      </w:r>
      <w:r>
        <w:rPr>
          <w:rFonts w:hint="eastAsia" w:asciiTheme="minorEastAsia" w:hAnsiTheme="minorEastAsia" w:eastAsiaTheme="minorEastAsia"/>
          <w:sz w:val="24"/>
          <w:szCs w:val="24"/>
        </w:rPr>
        <w:t>3本合同中约定的“损失”，包括但不限于直接损失、间接损失，及因追偿产生的诉讼费、保全费、律师费、担保费、鉴定费。</w:t>
      </w:r>
    </w:p>
    <w:p w14:paraId="63296CE8">
      <w:pPr>
        <w:pStyle w:val="20"/>
        <w:spacing w:after="0" w:line="500" w:lineRule="exact"/>
        <w:jc w:val="left"/>
        <w:rPr>
          <w:rFonts w:asciiTheme="minorEastAsia" w:hAnsiTheme="minorEastAsia" w:eastAsiaTheme="minorEastAsia"/>
          <w:sz w:val="24"/>
          <w:szCs w:val="24"/>
        </w:rPr>
      </w:pPr>
      <w:r>
        <w:rPr>
          <w:rFonts w:asciiTheme="minorEastAsia" w:hAnsiTheme="minorEastAsia" w:eastAsiaTheme="minorEastAsia"/>
          <w:sz w:val="24"/>
          <w:szCs w:val="24"/>
        </w:rPr>
        <w:t>4</w:t>
      </w:r>
      <w:r>
        <w:rPr>
          <w:rFonts w:hint="eastAsia" w:asciiTheme="minorEastAsia" w:hAnsiTheme="minorEastAsia" w:eastAsiaTheme="minorEastAsia"/>
          <w:sz w:val="24"/>
          <w:szCs w:val="24"/>
        </w:rPr>
        <w:t>.4其他违约责任按照《中华人民共和国民法典》相关规定执行。</w:t>
      </w:r>
    </w:p>
    <w:p w14:paraId="7F6789A0">
      <w:pPr>
        <w:pStyle w:val="20"/>
        <w:spacing w:after="0" w:line="500" w:lineRule="exact"/>
        <w:jc w:val="left"/>
        <w:rPr>
          <w:rFonts w:asciiTheme="minorEastAsia" w:hAnsiTheme="minorEastAsia" w:eastAsiaTheme="minorEastAsia"/>
          <w:sz w:val="24"/>
          <w:szCs w:val="24"/>
        </w:rPr>
      </w:pPr>
      <w:r>
        <w:rPr>
          <w:rFonts w:asciiTheme="minorEastAsia" w:hAnsiTheme="minorEastAsia" w:eastAsiaTheme="minorEastAsia"/>
          <w:sz w:val="24"/>
          <w:szCs w:val="24"/>
        </w:rPr>
        <w:t>4.5</w:t>
      </w:r>
      <w:r>
        <w:rPr>
          <w:rFonts w:hint="eastAsia" w:asciiTheme="minorEastAsia" w:hAnsiTheme="minorEastAsia" w:eastAsiaTheme="minorEastAsia"/>
          <w:sz w:val="24"/>
          <w:szCs w:val="24"/>
        </w:rPr>
        <w:t>以上乙方应支付的一切费用（赔偿金、违约金等），甲方可从应支付给乙方的任何款项中扣除。</w:t>
      </w:r>
    </w:p>
    <w:p w14:paraId="6132758F">
      <w:pPr>
        <w:spacing w:line="500" w:lineRule="exact"/>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十</w:t>
      </w:r>
      <w:r>
        <w:rPr>
          <w:rFonts w:hint="eastAsia" w:cs="宋体" w:asciiTheme="minorEastAsia" w:hAnsiTheme="minorEastAsia" w:eastAsiaTheme="minorEastAsia"/>
          <w:b/>
          <w:sz w:val="24"/>
          <w:szCs w:val="24"/>
          <w:lang w:val="en-US" w:eastAsia="zh-CN"/>
        </w:rPr>
        <w:t>二</w:t>
      </w:r>
      <w:r>
        <w:rPr>
          <w:rFonts w:hint="eastAsia" w:cs="宋体" w:asciiTheme="minorEastAsia" w:hAnsiTheme="minorEastAsia" w:eastAsiaTheme="minorEastAsia"/>
          <w:b/>
          <w:sz w:val="24"/>
          <w:szCs w:val="24"/>
        </w:rPr>
        <w:t>、合同终止和争议解决</w:t>
      </w:r>
    </w:p>
    <w:p w14:paraId="0534328A">
      <w:pPr>
        <w:snapToGrid w:val="0"/>
        <w:spacing w:beforeLines="0" w:line="50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1.合同终止：</w:t>
      </w:r>
    </w:p>
    <w:p w14:paraId="4F239402">
      <w:pPr>
        <w:snapToGrid w:val="0"/>
        <w:spacing w:beforeLines="0" w:line="50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1.1乙方不得转包或分包本合同工程，否则甲方有权解除合同，有权要求乙方立即清场，有权拒绝向乙方支付任何费用，并没收乙方履约保证金，乙方按合同价款</w:t>
      </w:r>
      <w:r>
        <w:rPr>
          <w:rFonts w:hint="eastAsia" w:cs="宋体" w:asciiTheme="minorEastAsia" w:hAnsiTheme="minorEastAsia" w:eastAsiaTheme="minorEastAsia"/>
          <w:sz w:val="24"/>
          <w:szCs w:val="24"/>
          <w:lang w:val="en-US" w:eastAsia="zh-CN"/>
        </w:rPr>
        <w:t>2</w:t>
      </w:r>
      <w:r>
        <w:rPr>
          <w:rFonts w:cs="宋体" w:asciiTheme="minorEastAsia" w:hAnsiTheme="minorEastAsia" w:eastAsiaTheme="minorEastAsia"/>
          <w:sz w:val="24"/>
          <w:szCs w:val="24"/>
        </w:rPr>
        <w:t>0%</w:t>
      </w:r>
      <w:r>
        <w:rPr>
          <w:rFonts w:hint="eastAsia" w:cs="宋体" w:asciiTheme="minorEastAsia" w:hAnsiTheme="minorEastAsia" w:eastAsiaTheme="minorEastAsia"/>
          <w:sz w:val="24"/>
          <w:szCs w:val="24"/>
        </w:rPr>
        <w:t>支付违约金并赔偿甲方损失。</w:t>
      </w:r>
    </w:p>
    <w:p w14:paraId="57F36954">
      <w:pPr>
        <w:snapToGrid w:val="0"/>
        <w:spacing w:beforeLines="0" w:line="50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w:t>
      </w:r>
      <w:r>
        <w:rPr>
          <w:rFonts w:cs="宋体" w:asciiTheme="minorEastAsia" w:hAnsiTheme="minorEastAsia" w:eastAsiaTheme="minorEastAsia"/>
          <w:sz w:val="24"/>
          <w:szCs w:val="24"/>
        </w:rPr>
        <w:t>.2</w:t>
      </w:r>
      <w:r>
        <w:rPr>
          <w:rFonts w:hint="eastAsia" w:cs="宋体" w:asciiTheme="minorEastAsia" w:hAnsiTheme="minorEastAsia" w:eastAsiaTheme="minorEastAsia"/>
          <w:sz w:val="24"/>
          <w:szCs w:val="24"/>
        </w:rPr>
        <w:t>由乙方原因造成的质量事故或未达到合同中的质量标准的，甲方视情节轻重有权选择是否终止合同，由此造成的损失由乙方承担。</w:t>
      </w:r>
    </w:p>
    <w:p w14:paraId="55A8E2EA">
      <w:pPr>
        <w:pStyle w:val="20"/>
        <w:snapToGrid w:val="0"/>
        <w:spacing w:after="0" w:line="50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3．</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合同的解除</w:t>
      </w:r>
    </w:p>
    <w:p w14:paraId="2C2B3EE6">
      <w:pPr>
        <w:pStyle w:val="20"/>
        <w:snapToGrid w:val="0"/>
        <w:spacing w:after="0" w:line="50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3.1</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本合同在发生以下情况时解除：</w:t>
      </w:r>
    </w:p>
    <w:p w14:paraId="1A1ADEE5">
      <w:pPr>
        <w:pStyle w:val="20"/>
        <w:snapToGrid w:val="0"/>
        <w:spacing w:after="0" w:line="50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经双方协商一致，以书面协议方式解除。</w:t>
      </w:r>
    </w:p>
    <w:p w14:paraId="6B5513F1">
      <w:pPr>
        <w:pStyle w:val="20"/>
        <w:snapToGrid w:val="0"/>
        <w:spacing w:after="0" w:line="50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因发生不可抗力致使不能实现合同目的而解除。</w:t>
      </w:r>
    </w:p>
    <w:p w14:paraId="4A9CB44C">
      <w:pPr>
        <w:pStyle w:val="20"/>
        <w:snapToGrid w:val="0"/>
        <w:spacing w:after="0" w:line="50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（3）</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一方违约后，违约方应立即予以更正，违约方自违约之日起7日内未更正的，守约方有权以书面方式通知违约方解除合同，并要求违约方承担违约责任。</w:t>
      </w:r>
    </w:p>
    <w:p w14:paraId="3C660220">
      <w:pPr>
        <w:pStyle w:val="20"/>
        <w:snapToGrid w:val="0"/>
        <w:spacing w:after="0" w:line="50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（4）</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本合同规定的其他终止事项。</w:t>
      </w:r>
    </w:p>
    <w:p w14:paraId="2F2D8A22">
      <w:pPr>
        <w:pStyle w:val="20"/>
        <w:snapToGrid w:val="0"/>
        <w:spacing w:after="0" w:line="50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3.2</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本合同解除后，有过错的一方应当赔偿因合同解除给对方造成的损失。乙方应妥善做好已完工程和已购材料设备及施工文件的保护和移交工作，按甲方要求将自有设备和人员撤出施工场地，负责已经订货的材料设备的退货或解除订货合同，并承担不能退还的货款和因退货、解除订货合同发生的费用。</w:t>
      </w:r>
    </w:p>
    <w:p w14:paraId="75524A5D">
      <w:pPr>
        <w:snapToGrid w:val="0"/>
        <w:spacing w:beforeLines="0" w:line="50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2.在履行本合同的过程中发生争议，双方应当友好协商解决，也可以请求有关部门进行调解。双方当事人和解或调解不成，可采取以下第2种方式解决。</w:t>
      </w:r>
    </w:p>
    <w:p w14:paraId="189DF0ED">
      <w:pPr>
        <w:snapToGrid w:val="0"/>
        <w:spacing w:beforeLines="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（1）双方同意由广州市仲裁委员会东莞分会按中国法律及该会仲裁规则仲裁。</w:t>
      </w:r>
    </w:p>
    <w:p w14:paraId="6BA4708E">
      <w:pPr>
        <w:snapToGrid w:val="0"/>
        <w:spacing w:beforeLines="0" w:line="500" w:lineRule="exact"/>
        <w:ind w:firstLine="480" w:firstLineChars="200"/>
        <w:rPr>
          <w:rFonts w:asciiTheme="minorEastAsia" w:hAnsiTheme="minorEastAsia" w:eastAsiaTheme="minorEastAsia"/>
          <w:sz w:val="24"/>
          <w:szCs w:val="24"/>
        </w:rPr>
      </w:pPr>
      <w:r>
        <w:rPr>
          <w:rFonts w:hint="eastAsia" w:cs="宋体" w:asciiTheme="minorEastAsia" w:hAnsiTheme="minorEastAsia" w:eastAsiaTheme="minorEastAsia"/>
          <w:sz w:val="24"/>
          <w:szCs w:val="24"/>
        </w:rPr>
        <w:t>（2）双方约定向工程所在地人民法院起诉。</w:t>
      </w:r>
    </w:p>
    <w:p w14:paraId="127C5856">
      <w:pPr>
        <w:spacing w:line="500" w:lineRule="exact"/>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十</w:t>
      </w:r>
      <w:r>
        <w:rPr>
          <w:rFonts w:hint="eastAsia" w:cs="宋体" w:asciiTheme="minorEastAsia" w:hAnsiTheme="minorEastAsia" w:eastAsiaTheme="minorEastAsia"/>
          <w:b/>
          <w:sz w:val="24"/>
          <w:szCs w:val="24"/>
          <w:lang w:val="en-US" w:eastAsia="zh-CN"/>
        </w:rPr>
        <w:t>三</w:t>
      </w:r>
      <w:r>
        <w:rPr>
          <w:rFonts w:hint="eastAsia" w:cs="宋体" w:asciiTheme="minorEastAsia" w:hAnsiTheme="minorEastAsia" w:eastAsiaTheme="minorEastAsia"/>
          <w:b/>
          <w:sz w:val="24"/>
          <w:szCs w:val="24"/>
        </w:rPr>
        <w:t>、其他</w:t>
      </w:r>
    </w:p>
    <w:p w14:paraId="69015146">
      <w:pPr>
        <w:spacing w:beforeLines="0" w:line="50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1.对本合同任何条款的修改、补充或变更，双方必须签订书面协议并签字盖章后方可生效。本合同附件及补充协议与本合同具有同等法律效力。</w:t>
      </w:r>
    </w:p>
    <w:p w14:paraId="502D3EC9">
      <w:pPr>
        <w:spacing w:beforeLines="0" w:line="50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2.本合同经双方签字盖章后生效，一式</w:t>
      </w:r>
      <w:r>
        <w:rPr>
          <w:rFonts w:hint="eastAsia" w:cs="宋体" w:asciiTheme="minorEastAsia" w:hAnsiTheme="minorEastAsia" w:eastAsiaTheme="minorEastAsia"/>
          <w:sz w:val="24"/>
          <w:szCs w:val="24"/>
          <w:u w:val="single"/>
          <w:lang w:val="en-US" w:eastAsia="zh-CN"/>
        </w:rPr>
        <w:t>伍</w:t>
      </w:r>
      <w:r>
        <w:rPr>
          <w:rFonts w:hint="eastAsia" w:cs="宋体" w:asciiTheme="minorEastAsia" w:hAnsiTheme="minorEastAsia" w:eastAsiaTheme="minorEastAsia"/>
          <w:sz w:val="24"/>
          <w:szCs w:val="24"/>
        </w:rPr>
        <w:t>份，甲方</w:t>
      </w:r>
      <w:r>
        <w:rPr>
          <w:rFonts w:hint="eastAsia" w:cs="宋体" w:asciiTheme="minorEastAsia" w:hAnsiTheme="minorEastAsia" w:eastAsiaTheme="minorEastAsia"/>
          <w:sz w:val="24"/>
          <w:szCs w:val="24"/>
          <w:u w:val="single"/>
          <w:lang w:val="en-US" w:eastAsia="zh-CN"/>
        </w:rPr>
        <w:t>叁</w:t>
      </w:r>
      <w:r>
        <w:rPr>
          <w:rFonts w:hint="eastAsia" w:cs="宋体" w:asciiTheme="minorEastAsia" w:hAnsiTheme="minorEastAsia" w:eastAsiaTheme="minorEastAsia"/>
          <w:sz w:val="24"/>
          <w:szCs w:val="24"/>
        </w:rPr>
        <w:t>份，乙方</w:t>
      </w:r>
      <w:r>
        <w:rPr>
          <w:rFonts w:hint="eastAsia" w:cs="宋体" w:asciiTheme="minorEastAsia" w:hAnsiTheme="minorEastAsia" w:eastAsiaTheme="minorEastAsia"/>
          <w:sz w:val="24"/>
          <w:szCs w:val="24"/>
          <w:u w:val="single"/>
        </w:rPr>
        <w:t>贰</w:t>
      </w:r>
      <w:r>
        <w:rPr>
          <w:rFonts w:hint="eastAsia" w:cs="宋体" w:asciiTheme="minorEastAsia" w:hAnsiTheme="minorEastAsia" w:eastAsiaTheme="minorEastAsia"/>
          <w:sz w:val="24"/>
          <w:szCs w:val="24"/>
        </w:rPr>
        <w:t>份，均具同等法律效力。</w:t>
      </w:r>
    </w:p>
    <w:p w14:paraId="5E6EE275">
      <w:pPr>
        <w:spacing w:beforeLines="0" w:line="50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3.本合同附件：</w:t>
      </w:r>
    </w:p>
    <w:p w14:paraId="608ECCA6">
      <w:pPr>
        <w:spacing w:beforeLines="0" w:line="500" w:lineRule="exact"/>
        <w:rPr>
          <w:rFonts w:cs="宋体" w:asciiTheme="minorEastAsia" w:hAnsiTheme="minorEastAsia" w:eastAsiaTheme="minorEastAsia"/>
          <w:sz w:val="24"/>
          <w:szCs w:val="24"/>
        </w:rPr>
      </w:pPr>
      <w:bookmarkStart w:id="14" w:name="_Hlk91419781"/>
      <w:r>
        <w:rPr>
          <w:rFonts w:hint="eastAsia" w:cs="宋体" w:asciiTheme="minorEastAsia" w:hAnsiTheme="minorEastAsia" w:eastAsiaTheme="minorEastAsia"/>
          <w:sz w:val="24"/>
          <w:szCs w:val="24"/>
        </w:rPr>
        <w:t>附件1：《东莞市海心沙资源综合利用中心环保热电厂垃圾储坑渗滤液格栅维修采购项目技术需求书》</w:t>
      </w:r>
      <w:bookmarkEnd w:id="14"/>
    </w:p>
    <w:p w14:paraId="13D77AD1">
      <w:pPr>
        <w:spacing w:beforeLines="0" w:line="50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附件2：《外包项目安全协议书》</w:t>
      </w:r>
    </w:p>
    <w:p w14:paraId="78BB6C3A">
      <w:pPr>
        <w:pStyle w:val="20"/>
        <w:spacing w:after="0" w:line="500" w:lineRule="exact"/>
        <w:jc w:val="left"/>
        <w:rPr>
          <w:rFonts w:asciiTheme="minorEastAsia" w:hAnsiTheme="minorEastAsia" w:eastAsiaTheme="minorEastAsia"/>
          <w:sz w:val="24"/>
          <w:szCs w:val="24"/>
        </w:rPr>
      </w:pPr>
      <w:r>
        <w:rPr>
          <w:rFonts w:hint="eastAsia" w:cs="宋体" w:asciiTheme="minorEastAsia" w:hAnsiTheme="minorEastAsia" w:eastAsiaTheme="minorEastAsia"/>
          <w:sz w:val="24"/>
          <w:szCs w:val="24"/>
        </w:rPr>
        <w:t>附件</w:t>
      </w:r>
      <w:r>
        <w:rPr>
          <w:rFonts w:cs="宋体" w:asciiTheme="minorEastAsia" w:hAnsiTheme="minorEastAsia" w:eastAsiaTheme="minorEastAsia"/>
          <w:sz w:val="24"/>
          <w:szCs w:val="24"/>
        </w:rPr>
        <w:t>3</w:t>
      </w:r>
      <w:r>
        <w:rPr>
          <w:rFonts w:hint="eastAsia" w:cs="宋体" w:asciiTheme="minorEastAsia" w:hAnsiTheme="minorEastAsia" w:eastAsiaTheme="minorEastAsia"/>
          <w:sz w:val="24"/>
          <w:szCs w:val="24"/>
        </w:rPr>
        <w:t>：《阳光合作协议》</w:t>
      </w:r>
    </w:p>
    <w:p w14:paraId="223FDE34">
      <w:pPr>
        <w:snapToGrid w:val="0"/>
        <w:spacing w:line="500" w:lineRule="exact"/>
        <w:jc w:val="left"/>
        <w:rPr>
          <w:rFonts w:asciiTheme="minorEastAsia" w:hAnsiTheme="minorEastAsia" w:eastAsiaTheme="minorEastAsia"/>
          <w:sz w:val="24"/>
          <w:szCs w:val="24"/>
        </w:rPr>
      </w:pPr>
      <w:r>
        <w:rPr>
          <w:rFonts w:cs="宋体" w:asciiTheme="minorEastAsia" w:hAnsiTheme="minorEastAsia" w:eastAsiaTheme="minorEastAsia"/>
          <w:color w:val="FF0000"/>
          <w:sz w:val="24"/>
          <w:szCs w:val="24"/>
        </w:rPr>
        <w:br w:type="page"/>
      </w:r>
      <w:r>
        <w:rPr>
          <w:rFonts w:hint="eastAsia" w:asciiTheme="minorEastAsia" w:hAnsiTheme="minorEastAsia" w:eastAsiaTheme="minorEastAsia"/>
          <w:sz w:val="24"/>
          <w:szCs w:val="24"/>
        </w:rPr>
        <w:t>（本页无正文）</w:t>
      </w:r>
    </w:p>
    <w:p w14:paraId="1ED253E8">
      <w:pPr>
        <w:spacing w:line="500" w:lineRule="exact"/>
        <w:ind w:left="6972" w:leftChars="-101" w:hanging="7214" w:hangingChars="3006"/>
        <w:rPr>
          <w:rFonts w:cs="楷体" w:asciiTheme="minorEastAsia" w:hAnsiTheme="minorEastAsia" w:eastAsiaTheme="minorEastAsia"/>
          <w:sz w:val="24"/>
          <w:szCs w:val="24"/>
        </w:rPr>
      </w:pPr>
    </w:p>
    <w:p w14:paraId="3AEC567C">
      <w:pPr>
        <w:spacing w:line="500" w:lineRule="exact"/>
        <w:ind w:left="6972" w:leftChars="-101" w:hanging="7214" w:hangingChars="3006"/>
        <w:rPr>
          <w:rFonts w:cs="楷体" w:asciiTheme="minorEastAsia" w:hAnsiTheme="minorEastAsia" w:eastAsiaTheme="minorEastAsia"/>
          <w:sz w:val="24"/>
          <w:szCs w:val="24"/>
        </w:rPr>
      </w:pPr>
    </w:p>
    <w:p w14:paraId="704C0466">
      <w:pPr>
        <w:spacing w:line="500" w:lineRule="exact"/>
        <w:jc w:val="left"/>
        <w:rPr>
          <w:rFonts w:cs="楷体" w:asciiTheme="minorEastAsia" w:hAnsiTheme="minorEastAsia" w:eastAsiaTheme="minorEastAsia"/>
          <w:sz w:val="24"/>
          <w:szCs w:val="24"/>
        </w:rPr>
      </w:pPr>
      <w:r>
        <w:rPr>
          <w:rFonts w:hint="eastAsia" w:cs="楷体" w:asciiTheme="minorEastAsia" w:hAnsiTheme="minorEastAsia" w:eastAsiaTheme="minorEastAsia"/>
          <w:b/>
          <w:bCs/>
          <w:sz w:val="24"/>
          <w:szCs w:val="24"/>
        </w:rPr>
        <w:t xml:space="preserve">甲方： </w:t>
      </w:r>
      <w:r>
        <w:rPr>
          <w:rFonts w:hint="eastAsia" w:cs="楷体" w:asciiTheme="minorEastAsia" w:hAnsiTheme="minorEastAsia" w:eastAsiaTheme="minorEastAsia"/>
          <w:b/>
          <w:bCs/>
          <w:sz w:val="24"/>
          <w:szCs w:val="24"/>
          <w:u w:val="single"/>
          <w:lang w:val="en-US" w:eastAsia="zh-CN"/>
        </w:rPr>
        <w:t>东莞市新东元环保投资有限公司</w:t>
      </w:r>
      <w:r>
        <w:rPr>
          <w:rFonts w:hint="eastAsia" w:cs="楷体" w:asciiTheme="minorEastAsia" w:hAnsiTheme="minorEastAsia" w:eastAsiaTheme="minorEastAsia"/>
          <w:sz w:val="24"/>
          <w:szCs w:val="24"/>
        </w:rPr>
        <w:t>（盖章）</w:t>
      </w:r>
    </w:p>
    <w:p w14:paraId="075AABC8">
      <w:pPr>
        <w:spacing w:line="500" w:lineRule="exact"/>
        <w:jc w:val="left"/>
        <w:rPr>
          <w:rFonts w:cs="楷体" w:asciiTheme="minorEastAsia" w:hAnsiTheme="minorEastAsia" w:eastAsiaTheme="minorEastAsia"/>
          <w:sz w:val="24"/>
          <w:szCs w:val="24"/>
        </w:rPr>
      </w:pPr>
    </w:p>
    <w:p w14:paraId="4FE5D5ED">
      <w:pPr>
        <w:spacing w:line="500" w:lineRule="exact"/>
        <w:rPr>
          <w:rFonts w:cs="楷体" w:asciiTheme="minorEastAsia" w:hAnsiTheme="minorEastAsia" w:eastAsiaTheme="minorEastAsia"/>
          <w:sz w:val="24"/>
          <w:szCs w:val="24"/>
        </w:rPr>
      </w:pPr>
      <w:r>
        <w:rPr>
          <w:rFonts w:hint="eastAsia" w:cs="楷体" w:asciiTheme="minorEastAsia" w:hAnsiTheme="minorEastAsia" w:eastAsiaTheme="minorEastAsia"/>
          <w:b/>
          <w:bCs/>
          <w:sz w:val="24"/>
          <w:szCs w:val="24"/>
        </w:rPr>
        <w:t>法定代表人/委托代理人：</w:t>
      </w:r>
      <w:r>
        <w:rPr>
          <w:rFonts w:hint="eastAsia" w:cs="楷体" w:asciiTheme="minorEastAsia" w:hAnsiTheme="minorEastAsia" w:eastAsiaTheme="minorEastAsia"/>
          <w:sz w:val="24"/>
          <w:szCs w:val="24"/>
          <w:u w:val="single"/>
        </w:rPr>
        <w:t xml:space="preserve">                    </w:t>
      </w:r>
      <w:r>
        <w:rPr>
          <w:rFonts w:hint="eastAsia" w:cs="楷体" w:asciiTheme="minorEastAsia" w:hAnsiTheme="minorEastAsia" w:eastAsiaTheme="minorEastAsia"/>
          <w:sz w:val="24"/>
          <w:szCs w:val="24"/>
        </w:rPr>
        <w:t>（</w:t>
      </w:r>
      <w:r>
        <w:rPr>
          <w:rFonts w:hint="eastAsia" w:cs="宋体" w:asciiTheme="minorEastAsia" w:hAnsiTheme="minorEastAsia" w:eastAsiaTheme="minorEastAsia"/>
          <w:sz w:val="24"/>
          <w:szCs w:val="24"/>
        </w:rPr>
        <w:t>签字/盖章</w:t>
      </w:r>
      <w:r>
        <w:rPr>
          <w:rFonts w:hint="eastAsia" w:cs="楷体" w:asciiTheme="minorEastAsia" w:hAnsiTheme="minorEastAsia" w:eastAsiaTheme="minorEastAsia"/>
          <w:sz w:val="24"/>
          <w:szCs w:val="24"/>
        </w:rPr>
        <w:t>）</w:t>
      </w:r>
    </w:p>
    <w:p w14:paraId="33E6638C">
      <w:pPr>
        <w:spacing w:line="500" w:lineRule="exact"/>
        <w:rPr>
          <w:rFonts w:cs="楷体" w:asciiTheme="minorEastAsia" w:hAnsiTheme="minorEastAsia" w:eastAsiaTheme="minorEastAsia"/>
          <w:sz w:val="24"/>
          <w:szCs w:val="24"/>
        </w:rPr>
      </w:pPr>
    </w:p>
    <w:p w14:paraId="4ECBF994">
      <w:pPr>
        <w:spacing w:line="500" w:lineRule="exact"/>
        <w:jc w:val="right"/>
        <w:rPr>
          <w:rFonts w:cs="楷体" w:asciiTheme="minorEastAsia" w:hAnsiTheme="minorEastAsia" w:eastAsiaTheme="minorEastAsia"/>
          <w:sz w:val="24"/>
          <w:szCs w:val="24"/>
        </w:rPr>
      </w:pPr>
      <w:r>
        <w:rPr>
          <w:rFonts w:hint="eastAsia" w:cs="楷体" w:asciiTheme="minorEastAsia" w:hAnsiTheme="minorEastAsia" w:eastAsiaTheme="minorEastAsia"/>
          <w:sz w:val="24"/>
          <w:szCs w:val="24"/>
          <w:lang w:val="en-US" w:eastAsia="zh-CN"/>
        </w:rPr>
        <w:t>2026</w:t>
      </w:r>
      <w:r>
        <w:rPr>
          <w:rFonts w:hint="eastAsia" w:cs="楷体" w:asciiTheme="minorEastAsia" w:hAnsiTheme="minorEastAsia" w:eastAsiaTheme="minorEastAsia"/>
          <w:sz w:val="24"/>
          <w:szCs w:val="24"/>
        </w:rPr>
        <w:t>年      月      日</w:t>
      </w:r>
    </w:p>
    <w:p w14:paraId="3C098A80">
      <w:pPr>
        <w:spacing w:line="500" w:lineRule="exact"/>
        <w:rPr>
          <w:rFonts w:cs="楷体" w:asciiTheme="minorEastAsia" w:hAnsiTheme="minorEastAsia" w:eastAsiaTheme="minorEastAsia"/>
          <w:sz w:val="24"/>
          <w:szCs w:val="24"/>
        </w:rPr>
      </w:pPr>
    </w:p>
    <w:p w14:paraId="7F913EC1">
      <w:pPr>
        <w:spacing w:line="500" w:lineRule="exact"/>
        <w:rPr>
          <w:rFonts w:cs="楷体" w:asciiTheme="minorEastAsia" w:hAnsiTheme="minorEastAsia" w:eastAsiaTheme="minorEastAsia"/>
          <w:sz w:val="24"/>
          <w:szCs w:val="24"/>
        </w:rPr>
      </w:pPr>
    </w:p>
    <w:p w14:paraId="7CC0F3A2">
      <w:pPr>
        <w:spacing w:line="500" w:lineRule="exact"/>
        <w:rPr>
          <w:rFonts w:cs="楷体" w:asciiTheme="minorEastAsia" w:hAnsiTheme="minorEastAsia" w:eastAsiaTheme="minorEastAsia"/>
          <w:b/>
          <w:bCs/>
          <w:sz w:val="24"/>
          <w:szCs w:val="24"/>
        </w:rPr>
      </w:pPr>
      <w:r>
        <w:rPr>
          <w:rFonts w:hint="eastAsia" w:cs="楷体" w:asciiTheme="minorEastAsia" w:hAnsiTheme="minorEastAsia" w:eastAsiaTheme="minorEastAsia"/>
          <w:b/>
          <w:bCs/>
          <w:sz w:val="24"/>
          <w:szCs w:val="24"/>
        </w:rPr>
        <w:t xml:space="preserve">乙方： </w:t>
      </w:r>
      <w:r>
        <w:rPr>
          <w:rFonts w:cs="楷体" w:asciiTheme="minorEastAsia" w:hAnsiTheme="minorEastAsia" w:eastAsiaTheme="minorEastAsia"/>
          <w:b/>
          <w:bCs/>
          <w:sz w:val="24"/>
          <w:szCs w:val="24"/>
          <w:u w:val="single"/>
        </w:rPr>
        <w:t xml:space="preserve"> </w:t>
      </w:r>
      <w:r>
        <w:rPr>
          <w:rFonts w:hint="eastAsia" w:cs="楷体" w:asciiTheme="minorEastAsia" w:hAnsiTheme="minorEastAsia" w:eastAsiaTheme="minorEastAsia"/>
          <w:sz w:val="24"/>
          <w:szCs w:val="24"/>
          <w:u w:val="single"/>
        </w:rPr>
        <w:t xml:space="preserve">    </w:t>
      </w:r>
      <w:r>
        <w:rPr>
          <w:rFonts w:cs="楷体" w:asciiTheme="minorEastAsia" w:hAnsiTheme="minorEastAsia" w:eastAsiaTheme="minorEastAsia"/>
          <w:sz w:val="24"/>
          <w:szCs w:val="24"/>
          <w:u w:val="single"/>
        </w:rPr>
        <w:t xml:space="preserve">      </w:t>
      </w:r>
      <w:r>
        <w:rPr>
          <w:rFonts w:hint="eastAsia" w:cs="楷体" w:asciiTheme="minorEastAsia" w:hAnsiTheme="minorEastAsia" w:eastAsiaTheme="minorEastAsia"/>
          <w:sz w:val="24"/>
          <w:szCs w:val="24"/>
          <w:u w:val="single"/>
        </w:rPr>
        <w:t xml:space="preserve"> </w:t>
      </w:r>
      <w:r>
        <w:rPr>
          <w:rFonts w:cs="楷体" w:asciiTheme="minorEastAsia" w:hAnsiTheme="minorEastAsia" w:eastAsiaTheme="minorEastAsia"/>
          <w:sz w:val="24"/>
          <w:szCs w:val="24"/>
          <w:u w:val="single"/>
        </w:rPr>
        <w:t xml:space="preserve">                </w:t>
      </w:r>
      <w:r>
        <w:rPr>
          <w:rFonts w:hint="eastAsia" w:cs="楷体" w:asciiTheme="minorEastAsia" w:hAnsiTheme="minorEastAsia" w:eastAsiaTheme="minorEastAsia"/>
          <w:sz w:val="24"/>
          <w:szCs w:val="24"/>
        </w:rPr>
        <w:t>（盖章）</w:t>
      </w:r>
    </w:p>
    <w:p w14:paraId="45B86801">
      <w:pPr>
        <w:spacing w:line="500" w:lineRule="exact"/>
        <w:rPr>
          <w:rFonts w:cs="楷体" w:asciiTheme="minorEastAsia" w:hAnsiTheme="minorEastAsia" w:eastAsiaTheme="minorEastAsia"/>
          <w:sz w:val="24"/>
          <w:szCs w:val="24"/>
        </w:rPr>
      </w:pPr>
    </w:p>
    <w:p w14:paraId="50C95BED">
      <w:pPr>
        <w:spacing w:line="500" w:lineRule="exact"/>
        <w:rPr>
          <w:rFonts w:cs="楷体" w:asciiTheme="minorEastAsia" w:hAnsiTheme="minorEastAsia" w:eastAsiaTheme="minorEastAsia"/>
          <w:sz w:val="24"/>
          <w:szCs w:val="24"/>
        </w:rPr>
      </w:pPr>
      <w:r>
        <w:rPr>
          <w:rFonts w:hint="eastAsia" w:cs="楷体" w:asciiTheme="minorEastAsia" w:hAnsiTheme="minorEastAsia" w:eastAsiaTheme="minorEastAsia"/>
          <w:b/>
          <w:bCs/>
          <w:sz w:val="24"/>
          <w:szCs w:val="24"/>
        </w:rPr>
        <w:t>法定代表人/委托代理人：</w:t>
      </w:r>
      <w:r>
        <w:rPr>
          <w:rFonts w:hint="eastAsia" w:cs="楷体" w:asciiTheme="minorEastAsia" w:hAnsiTheme="minorEastAsia" w:eastAsiaTheme="minorEastAsia"/>
          <w:sz w:val="24"/>
          <w:szCs w:val="24"/>
          <w:u w:val="single"/>
        </w:rPr>
        <w:t xml:space="preserve">                   </w:t>
      </w:r>
      <w:r>
        <w:rPr>
          <w:rFonts w:hint="eastAsia" w:cs="楷体" w:asciiTheme="minorEastAsia" w:hAnsiTheme="minorEastAsia" w:eastAsiaTheme="minorEastAsia"/>
          <w:sz w:val="24"/>
          <w:szCs w:val="24"/>
        </w:rPr>
        <w:t>（签字/盖章）</w:t>
      </w:r>
    </w:p>
    <w:p w14:paraId="0CF7D065">
      <w:pPr>
        <w:spacing w:line="500" w:lineRule="exact"/>
        <w:ind w:firstLine="4800" w:firstLineChars="2000"/>
        <w:rPr>
          <w:rFonts w:cs="楷体" w:asciiTheme="minorEastAsia" w:hAnsiTheme="minorEastAsia" w:eastAsiaTheme="minorEastAsia"/>
          <w:sz w:val="24"/>
          <w:szCs w:val="24"/>
        </w:rPr>
      </w:pPr>
    </w:p>
    <w:p w14:paraId="50D586D1">
      <w:pPr>
        <w:spacing w:line="500" w:lineRule="exact"/>
        <w:ind w:firstLine="4800" w:firstLineChars="2000"/>
        <w:rPr>
          <w:rFonts w:cs="楷体" w:asciiTheme="minorEastAsia" w:hAnsiTheme="minorEastAsia" w:eastAsiaTheme="minorEastAsia"/>
          <w:sz w:val="24"/>
          <w:szCs w:val="24"/>
        </w:rPr>
      </w:pPr>
      <w:r>
        <w:rPr>
          <w:rFonts w:hint="eastAsia" w:cs="楷体" w:asciiTheme="minorEastAsia" w:hAnsiTheme="minorEastAsia" w:eastAsiaTheme="minorEastAsia"/>
          <w:sz w:val="24"/>
          <w:szCs w:val="24"/>
          <w:lang w:val="en-US" w:eastAsia="zh-CN"/>
        </w:rPr>
        <w:t>2026</w:t>
      </w:r>
      <w:r>
        <w:rPr>
          <w:rFonts w:hint="eastAsia" w:cs="楷体" w:asciiTheme="minorEastAsia" w:hAnsiTheme="minorEastAsia" w:eastAsiaTheme="minorEastAsia"/>
          <w:sz w:val="24"/>
          <w:szCs w:val="24"/>
        </w:rPr>
        <w:t>年      月      日</w:t>
      </w:r>
    </w:p>
    <w:p w14:paraId="1C1FE704">
      <w:pPr>
        <w:pStyle w:val="255"/>
        <w:spacing w:line="360" w:lineRule="auto"/>
        <w:ind w:firstLine="0" w:firstLineChars="0"/>
        <w:rPr>
          <w:rFonts w:ascii="仿宋_GB2312" w:hAnsi="宋体" w:eastAsia="仿宋_GB2312" w:cs="宋体"/>
          <w:b/>
          <w:bCs/>
          <w:sz w:val="28"/>
        </w:rPr>
      </w:pPr>
      <w:r>
        <w:br w:type="page"/>
      </w:r>
      <w:r>
        <w:rPr>
          <w:rFonts w:ascii="仿宋_GB2312" w:hAnsi="宋体" w:eastAsia="仿宋_GB2312" w:cs="宋体"/>
          <w:b/>
          <w:bCs/>
          <w:sz w:val="28"/>
        </w:rPr>
        <w:t>附件</w:t>
      </w:r>
      <w:r>
        <w:rPr>
          <w:rFonts w:hint="eastAsia" w:ascii="仿宋_GB2312" w:hAnsi="宋体" w:eastAsia="仿宋_GB2312" w:cs="宋体"/>
          <w:b/>
          <w:bCs/>
          <w:sz w:val="28"/>
        </w:rPr>
        <w:t>1</w:t>
      </w:r>
      <w:r>
        <w:rPr>
          <w:rFonts w:ascii="仿宋_GB2312" w:hAnsi="宋体" w:eastAsia="仿宋_GB2312" w:cs="宋体"/>
          <w:b/>
          <w:bCs/>
          <w:sz w:val="28"/>
        </w:rPr>
        <w:t>：</w:t>
      </w:r>
    </w:p>
    <w:p w14:paraId="04360E57">
      <w:pPr>
        <w:pStyle w:val="20"/>
        <w:rPr>
          <w:rFonts w:asciiTheme="minorEastAsia" w:hAnsiTheme="minorEastAsia" w:eastAsiaTheme="minorEastAsia"/>
          <w:sz w:val="28"/>
          <w:szCs w:val="28"/>
        </w:rPr>
      </w:pPr>
      <w:r>
        <w:rPr>
          <w:rFonts w:hint="eastAsia" w:asciiTheme="minorEastAsia" w:hAnsiTheme="minorEastAsia" w:eastAsiaTheme="minorEastAsia"/>
          <w:sz w:val="28"/>
          <w:szCs w:val="28"/>
        </w:rPr>
        <w:t>东莞市海心沙资源综合利用中心环保热电厂垃圾储坑渗滤液格栅维修采购项目技术需求书</w:t>
      </w:r>
    </w:p>
    <w:p w14:paraId="4E4C3171">
      <w:pPr>
        <w:pStyle w:val="20"/>
        <w:rPr>
          <w:rFonts w:asciiTheme="minorEastAsia" w:hAnsiTheme="minorEastAsia" w:eastAsiaTheme="minorEastAsia"/>
          <w:sz w:val="28"/>
          <w:szCs w:val="28"/>
        </w:rPr>
      </w:pPr>
    </w:p>
    <w:p w14:paraId="49E8E9E7">
      <w:pPr>
        <w:pStyle w:val="20"/>
        <w:rPr>
          <w:rFonts w:asciiTheme="minorEastAsia" w:hAnsiTheme="minorEastAsia" w:eastAsiaTheme="minorEastAsia"/>
          <w:sz w:val="28"/>
          <w:szCs w:val="28"/>
        </w:rPr>
      </w:pPr>
    </w:p>
    <w:p w14:paraId="79169933">
      <w:pPr>
        <w:pStyle w:val="20"/>
        <w:rPr>
          <w:rFonts w:asciiTheme="minorEastAsia" w:hAnsiTheme="minorEastAsia" w:eastAsiaTheme="minorEastAsia"/>
          <w:sz w:val="28"/>
          <w:szCs w:val="28"/>
        </w:rPr>
      </w:pPr>
    </w:p>
    <w:p w14:paraId="1479B159">
      <w:pPr>
        <w:pStyle w:val="20"/>
        <w:rPr>
          <w:rFonts w:asciiTheme="minorEastAsia" w:hAnsiTheme="minorEastAsia" w:eastAsiaTheme="minorEastAsia"/>
          <w:sz w:val="28"/>
          <w:szCs w:val="28"/>
        </w:rPr>
      </w:pPr>
    </w:p>
    <w:p w14:paraId="4CCEAE32">
      <w:pPr>
        <w:pStyle w:val="20"/>
        <w:rPr>
          <w:rFonts w:asciiTheme="minorEastAsia" w:hAnsiTheme="minorEastAsia" w:eastAsiaTheme="minorEastAsia"/>
          <w:sz w:val="28"/>
          <w:szCs w:val="28"/>
        </w:rPr>
      </w:pPr>
    </w:p>
    <w:p w14:paraId="2A41E2C3">
      <w:pPr>
        <w:pStyle w:val="20"/>
        <w:rPr>
          <w:rFonts w:asciiTheme="minorEastAsia" w:hAnsiTheme="minorEastAsia" w:eastAsiaTheme="minorEastAsia"/>
          <w:sz w:val="28"/>
          <w:szCs w:val="28"/>
        </w:rPr>
      </w:pPr>
    </w:p>
    <w:p w14:paraId="3FFF3861">
      <w:pPr>
        <w:pStyle w:val="20"/>
        <w:rPr>
          <w:rFonts w:asciiTheme="minorEastAsia" w:hAnsiTheme="minorEastAsia" w:eastAsiaTheme="minorEastAsia"/>
          <w:sz w:val="28"/>
          <w:szCs w:val="28"/>
        </w:rPr>
      </w:pPr>
    </w:p>
    <w:p w14:paraId="09923107">
      <w:pPr>
        <w:pStyle w:val="20"/>
        <w:rPr>
          <w:rFonts w:asciiTheme="minorEastAsia" w:hAnsiTheme="minorEastAsia" w:eastAsiaTheme="minorEastAsia"/>
          <w:sz w:val="28"/>
          <w:szCs w:val="28"/>
        </w:rPr>
      </w:pPr>
    </w:p>
    <w:p w14:paraId="1949A8FC">
      <w:pPr>
        <w:pStyle w:val="20"/>
        <w:rPr>
          <w:rFonts w:asciiTheme="minorEastAsia" w:hAnsiTheme="minorEastAsia" w:eastAsiaTheme="minorEastAsia"/>
          <w:sz w:val="28"/>
          <w:szCs w:val="28"/>
        </w:rPr>
      </w:pPr>
    </w:p>
    <w:p w14:paraId="257901B9">
      <w:pPr>
        <w:pStyle w:val="20"/>
        <w:rPr>
          <w:rFonts w:asciiTheme="minorEastAsia" w:hAnsiTheme="minorEastAsia" w:eastAsiaTheme="minorEastAsia"/>
          <w:sz w:val="28"/>
          <w:szCs w:val="28"/>
        </w:rPr>
      </w:pPr>
    </w:p>
    <w:p w14:paraId="55D031D6">
      <w:pPr>
        <w:pStyle w:val="20"/>
        <w:rPr>
          <w:rFonts w:asciiTheme="minorEastAsia" w:hAnsiTheme="minorEastAsia" w:eastAsiaTheme="minorEastAsia"/>
          <w:sz w:val="28"/>
          <w:szCs w:val="28"/>
        </w:rPr>
      </w:pPr>
    </w:p>
    <w:p w14:paraId="74D17B40">
      <w:pPr>
        <w:pStyle w:val="20"/>
        <w:rPr>
          <w:rFonts w:asciiTheme="minorEastAsia" w:hAnsiTheme="minorEastAsia" w:eastAsiaTheme="minorEastAsia"/>
          <w:sz w:val="28"/>
          <w:szCs w:val="28"/>
        </w:rPr>
      </w:pPr>
    </w:p>
    <w:p w14:paraId="6B9D015C">
      <w:pPr>
        <w:pStyle w:val="20"/>
        <w:rPr>
          <w:rFonts w:asciiTheme="minorEastAsia" w:hAnsiTheme="minorEastAsia" w:eastAsiaTheme="minorEastAsia"/>
          <w:sz w:val="28"/>
          <w:szCs w:val="28"/>
        </w:rPr>
      </w:pPr>
    </w:p>
    <w:p w14:paraId="3DA2A2A2">
      <w:pPr>
        <w:rPr>
          <w:rFonts w:hint="eastAsia" w:asciiTheme="minorEastAsia" w:hAnsiTheme="minorEastAsia" w:eastAsiaTheme="minorEastAsia"/>
          <w:sz w:val="28"/>
          <w:szCs w:val="28"/>
        </w:rPr>
      </w:pPr>
      <w:r>
        <w:rPr>
          <w:rFonts w:hint="eastAsia" w:asciiTheme="minorEastAsia" w:hAnsiTheme="minorEastAsia" w:eastAsiaTheme="minorEastAsia"/>
          <w:sz w:val="28"/>
          <w:szCs w:val="28"/>
        </w:rPr>
        <w:br w:type="page"/>
      </w:r>
    </w:p>
    <w:p w14:paraId="4A1A8172">
      <w:pPr>
        <w:pStyle w:val="20"/>
        <w:jc w:val="left"/>
        <w:rPr>
          <w:rFonts w:asciiTheme="minorEastAsia" w:hAnsiTheme="minorEastAsia" w:eastAsiaTheme="minorEastAsia"/>
          <w:sz w:val="28"/>
          <w:szCs w:val="28"/>
        </w:rPr>
      </w:pPr>
      <w:r>
        <w:rPr>
          <w:rFonts w:hint="eastAsia" w:asciiTheme="minorEastAsia" w:hAnsiTheme="minorEastAsia" w:eastAsiaTheme="minorEastAsia"/>
          <w:sz w:val="28"/>
          <w:szCs w:val="28"/>
        </w:rPr>
        <w:t>附件2</w:t>
      </w:r>
    </w:p>
    <w:p w14:paraId="494EE71D">
      <w:pPr>
        <w:jc w:val="center"/>
        <w:rPr>
          <w:rFonts w:ascii="宋体" w:hAnsi="宋体" w:eastAsia="宋体"/>
          <w:b/>
          <w:bCs/>
          <w:sz w:val="30"/>
          <w:szCs w:val="30"/>
        </w:rPr>
      </w:pPr>
      <w:bookmarkStart w:id="15" w:name="_Toc6170"/>
      <w:r>
        <w:rPr>
          <w:rFonts w:hint="eastAsia" w:ascii="宋体" w:hAnsi="宋体" w:eastAsia="宋体"/>
          <w:b/>
          <w:bCs/>
          <w:sz w:val="30"/>
          <w:szCs w:val="30"/>
          <w:lang w:val="zh-CN"/>
        </w:rPr>
        <w:t>外包项目安全协议书</w:t>
      </w:r>
      <w:bookmarkEnd w:id="15"/>
    </w:p>
    <w:p w14:paraId="3297825C">
      <w:pPr>
        <w:spacing w:line="560" w:lineRule="exact"/>
        <w:rPr>
          <w:rFonts w:ascii="宋体" w:hAnsi="宋体" w:eastAsia="宋体"/>
          <w:bCs/>
          <w:spacing w:val="-10"/>
          <w:sz w:val="24"/>
        </w:rPr>
      </w:pPr>
      <w:r>
        <w:rPr>
          <w:rFonts w:hint="eastAsia" w:ascii="宋体" w:hAnsi="宋体" w:eastAsia="宋体"/>
          <w:bCs/>
          <w:spacing w:val="-10"/>
          <w:sz w:val="24"/>
        </w:rPr>
        <w:t>发包单位：</w:t>
      </w:r>
      <w:r>
        <w:rPr>
          <w:rFonts w:hint="eastAsia" w:ascii="宋体" w:hAnsi="宋体" w:eastAsia="宋体"/>
          <w:bCs/>
          <w:spacing w:val="-10"/>
          <w:sz w:val="24"/>
          <w:u w:val="single"/>
        </w:rPr>
        <w:t xml:space="preserve"> 东莞市新东元环保投资有限公司 </w:t>
      </w:r>
      <w:r>
        <w:rPr>
          <w:rFonts w:hint="eastAsia" w:ascii="宋体" w:hAnsi="宋体" w:eastAsia="宋体"/>
          <w:bCs/>
          <w:spacing w:val="-10"/>
          <w:sz w:val="24"/>
        </w:rPr>
        <w:t xml:space="preserve">   （以下简称甲方）</w:t>
      </w:r>
    </w:p>
    <w:p w14:paraId="14D5791D">
      <w:pPr>
        <w:spacing w:line="560" w:lineRule="exact"/>
        <w:rPr>
          <w:rFonts w:ascii="宋体" w:hAnsi="宋体" w:eastAsia="宋体"/>
          <w:bCs/>
          <w:spacing w:val="-10"/>
          <w:sz w:val="24"/>
        </w:rPr>
      </w:pPr>
      <w:r>
        <w:rPr>
          <w:rFonts w:hint="eastAsia" w:ascii="宋体" w:hAnsi="宋体" w:eastAsia="宋体"/>
          <w:bCs/>
          <w:spacing w:val="-10"/>
          <w:sz w:val="24"/>
        </w:rPr>
        <w:t>承包单位：</w:t>
      </w:r>
      <w:r>
        <w:rPr>
          <w:rFonts w:hint="eastAsia" w:ascii="宋体" w:hAnsi="宋体" w:eastAsia="宋体"/>
          <w:bCs/>
          <w:spacing w:val="-10"/>
          <w:sz w:val="24"/>
          <w:u w:val="single"/>
        </w:rPr>
        <w:t xml:space="preserve"> </w:t>
      </w:r>
      <w:r>
        <w:rPr>
          <w:rFonts w:ascii="宋体" w:hAnsi="宋体" w:eastAsia="宋体"/>
          <w:bCs/>
          <w:spacing w:val="-10"/>
          <w:sz w:val="24"/>
          <w:u w:val="single"/>
        </w:rPr>
        <w:t xml:space="preserve">                              </w:t>
      </w:r>
      <w:r>
        <w:rPr>
          <w:rFonts w:hint="eastAsia" w:ascii="宋体" w:hAnsi="宋体" w:eastAsia="宋体"/>
          <w:bCs/>
          <w:spacing w:val="-10"/>
          <w:sz w:val="24"/>
          <w:u w:val="single"/>
        </w:rPr>
        <w:t xml:space="preserve"> </w:t>
      </w:r>
      <w:r>
        <w:rPr>
          <w:rFonts w:hint="eastAsia" w:ascii="宋体" w:hAnsi="宋体" w:eastAsia="宋体"/>
          <w:bCs/>
          <w:spacing w:val="-10"/>
          <w:sz w:val="24"/>
        </w:rPr>
        <w:t xml:space="preserve">   （以下简称乙方）</w:t>
      </w:r>
    </w:p>
    <w:p w14:paraId="04355F62">
      <w:pPr>
        <w:spacing w:beforeLines="0" w:line="560" w:lineRule="exact"/>
        <w:jc w:val="left"/>
        <w:rPr>
          <w:rFonts w:ascii="宋体" w:hAnsi="宋体" w:eastAsia="宋体"/>
          <w:snapToGrid w:val="0"/>
          <w:color w:val="000000"/>
          <w:sz w:val="24"/>
          <w:szCs w:val="24"/>
        </w:rPr>
      </w:pPr>
      <w:r>
        <w:rPr>
          <w:rFonts w:hint="eastAsia" w:ascii="仿宋_GB2312" w:hAnsi="宋体" w:eastAsia="仿宋_GB2312" w:cs="宋体"/>
          <w:sz w:val="24"/>
        </w:rPr>
        <w:t xml:space="preserve">    </w:t>
      </w:r>
      <w:r>
        <w:rPr>
          <w:rFonts w:hint="eastAsia" w:ascii="宋体" w:hAnsi="宋体" w:eastAsia="宋体" w:cs="宋体"/>
          <w:sz w:val="24"/>
        </w:rPr>
        <w:t>根据甲方工作需要，</w:t>
      </w:r>
      <w:r>
        <w:rPr>
          <w:rFonts w:hint="eastAsia" w:ascii="宋体" w:hAnsi="宋体" w:eastAsia="宋体" w:cs="宋体"/>
          <w:sz w:val="24"/>
          <w:u w:val="single"/>
        </w:rPr>
        <w:t xml:space="preserve">现将    </w:t>
      </w:r>
      <w:r>
        <w:rPr>
          <w:rFonts w:ascii="宋体" w:hAnsi="宋体" w:eastAsia="宋体" w:cs="宋体"/>
          <w:sz w:val="24"/>
          <w:u w:val="single"/>
        </w:rPr>
        <w:t xml:space="preserve">        </w:t>
      </w:r>
      <w:r>
        <w:rPr>
          <w:rFonts w:hint="eastAsia" w:ascii="宋体" w:hAnsi="宋体" w:eastAsia="宋体" w:cs="宋体"/>
          <w:sz w:val="24"/>
          <w:u w:val="single"/>
        </w:rPr>
        <w:t xml:space="preserve">       项目（合同编号：          ）发包乙方</w:t>
      </w:r>
      <w:r>
        <w:rPr>
          <w:rFonts w:hint="eastAsia" w:ascii="宋体" w:hAnsi="宋体" w:eastAsia="宋体" w:cs="宋体"/>
          <w:sz w:val="24"/>
        </w:rPr>
        <w:t>，</w:t>
      </w:r>
      <w:r>
        <w:rPr>
          <w:rFonts w:hint="eastAsia" w:ascii="宋体" w:hAnsi="宋体" w:eastAsia="宋体"/>
          <w:snapToGrid w:val="0"/>
          <w:color w:val="000000"/>
          <w:sz w:val="24"/>
          <w:szCs w:val="24"/>
        </w:rPr>
        <w:t>为了确保实现甲方的安全生产目标，进一步明确双方的安全管理责任，加强安全生产管理工作的协调、管理力度，甲方与乙方依据国家安全生产相关的法律、法规、条例、标准、行业标准，双方同意签订该协议作为正式合同安全管理方面的补充规定，并承诺本协议具有与合同相同的法律效力。具体条款如下：</w:t>
      </w:r>
    </w:p>
    <w:p w14:paraId="053E2DD3">
      <w:pPr>
        <w:pStyle w:val="48"/>
        <w:spacing w:before="0" w:after="0" w:line="560" w:lineRule="exact"/>
        <w:jc w:val="left"/>
        <w:rPr>
          <w:rFonts w:ascii="宋体" w:hAnsi="宋体" w:eastAsia="宋体"/>
          <w:sz w:val="24"/>
          <w:szCs w:val="24"/>
        </w:rPr>
      </w:pPr>
      <w:r>
        <w:rPr>
          <w:rFonts w:hint="eastAsia" w:ascii="宋体" w:hAnsi="宋体" w:eastAsia="宋体"/>
          <w:sz w:val="24"/>
          <w:szCs w:val="24"/>
        </w:rPr>
        <w:t>一、协议有效期限</w:t>
      </w:r>
    </w:p>
    <w:p w14:paraId="6FEF3424">
      <w:pPr>
        <w:spacing w:beforeLines="0" w:line="560" w:lineRule="exact"/>
        <w:ind w:firstLine="480" w:firstLineChars="200"/>
        <w:rPr>
          <w:rFonts w:ascii="宋体" w:hAnsi="宋体" w:eastAsia="宋体"/>
          <w:snapToGrid w:val="0"/>
          <w:color w:val="000000"/>
          <w:sz w:val="24"/>
          <w:szCs w:val="24"/>
        </w:rPr>
      </w:pPr>
      <w:r>
        <w:rPr>
          <w:rFonts w:hint="eastAsia" w:ascii="宋体" w:hAnsi="宋体" w:eastAsia="宋体"/>
          <w:snapToGrid w:val="0"/>
          <w:color w:val="000000"/>
          <w:sz w:val="24"/>
          <w:szCs w:val="24"/>
        </w:rPr>
        <w:t>本协议中所涉及的安全管理责任自合同签订之日起开始生效，至合同终止之日。</w:t>
      </w:r>
    </w:p>
    <w:p w14:paraId="568FEFD8">
      <w:pPr>
        <w:pStyle w:val="48"/>
        <w:spacing w:before="0" w:after="0" w:line="560" w:lineRule="exact"/>
        <w:jc w:val="left"/>
        <w:rPr>
          <w:rFonts w:ascii="宋体" w:hAnsi="宋体" w:eastAsia="宋体"/>
          <w:sz w:val="24"/>
          <w:szCs w:val="24"/>
        </w:rPr>
      </w:pPr>
      <w:r>
        <w:rPr>
          <w:rFonts w:hint="eastAsia" w:ascii="宋体" w:hAnsi="宋体" w:eastAsia="宋体"/>
          <w:sz w:val="24"/>
          <w:szCs w:val="24"/>
        </w:rPr>
        <w:t>二、安全管理目标</w:t>
      </w:r>
    </w:p>
    <w:p w14:paraId="54F190CD">
      <w:pPr>
        <w:snapToGrid w:val="0"/>
        <w:spacing w:beforeLines="0" w:line="560" w:lineRule="exact"/>
        <w:rPr>
          <w:rFonts w:ascii="宋体" w:hAnsi="宋体" w:eastAsia="宋体"/>
          <w:snapToGrid w:val="0"/>
          <w:color w:val="000000"/>
          <w:sz w:val="24"/>
          <w:szCs w:val="24"/>
        </w:rPr>
      </w:pPr>
      <w:r>
        <w:rPr>
          <w:rFonts w:hint="eastAsia" w:ascii="宋体" w:hAnsi="宋体" w:eastAsia="宋体"/>
          <w:snapToGrid w:val="0"/>
          <w:color w:val="000000"/>
          <w:sz w:val="24"/>
          <w:szCs w:val="24"/>
        </w:rPr>
        <w:t>(一)乙方承诺履行和承担合同和甲方程序所规定的安全责任，并完成如下控制目标：</w:t>
      </w:r>
    </w:p>
    <w:p w14:paraId="6CF0AE4B">
      <w:pPr>
        <w:pStyle w:val="253"/>
        <w:numPr>
          <w:ilvl w:val="0"/>
          <w:numId w:val="6"/>
        </w:numPr>
        <w:snapToGrid w:val="0"/>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不发生重伤及以上人身伤亡事故；</w:t>
      </w:r>
    </w:p>
    <w:p w14:paraId="497C45A6">
      <w:pPr>
        <w:pStyle w:val="253"/>
        <w:numPr>
          <w:ilvl w:val="0"/>
          <w:numId w:val="6"/>
        </w:numPr>
        <w:snapToGrid w:val="0"/>
        <w:spacing w:line="560" w:lineRule="exact"/>
        <w:ind w:firstLineChars="0"/>
        <w:rPr>
          <w:rFonts w:ascii="宋体" w:hAnsi="宋体" w:eastAsia="宋体" w:cs="宋体"/>
          <w:sz w:val="24"/>
          <w:szCs w:val="24"/>
        </w:rPr>
      </w:pPr>
      <w:r>
        <w:rPr>
          <w:rFonts w:hint="eastAsia" w:ascii="宋体" w:hAnsi="宋体" w:eastAsia="宋体" w:cs="宋体"/>
          <w:sz w:val="24"/>
          <w:szCs w:val="24"/>
        </w:rPr>
        <w:t>不发生单项直接损失超过20万元以上的经济损失事故；</w:t>
      </w:r>
    </w:p>
    <w:p w14:paraId="14BB61EC">
      <w:pPr>
        <w:pStyle w:val="253"/>
        <w:numPr>
          <w:ilvl w:val="0"/>
          <w:numId w:val="6"/>
        </w:numPr>
        <w:snapToGrid w:val="0"/>
        <w:spacing w:line="560" w:lineRule="exact"/>
        <w:ind w:firstLineChars="0"/>
        <w:rPr>
          <w:rFonts w:ascii="宋体" w:hAnsi="宋体" w:eastAsia="宋体" w:cs="宋体"/>
          <w:sz w:val="24"/>
          <w:szCs w:val="24"/>
        </w:rPr>
      </w:pPr>
      <w:r>
        <w:rPr>
          <w:rFonts w:hint="eastAsia" w:ascii="宋体" w:hAnsi="宋体" w:eastAsia="宋体" w:cs="宋体"/>
          <w:sz w:val="24"/>
          <w:szCs w:val="24"/>
        </w:rPr>
        <w:t>不发生造成20万元以上直接经济损失或致人重伤的火灾事故；</w:t>
      </w:r>
    </w:p>
    <w:p w14:paraId="1CEC9B32">
      <w:pPr>
        <w:pStyle w:val="253"/>
        <w:numPr>
          <w:ilvl w:val="0"/>
          <w:numId w:val="6"/>
        </w:numPr>
        <w:snapToGrid w:val="0"/>
        <w:spacing w:line="560" w:lineRule="exact"/>
        <w:ind w:firstLineChars="0"/>
        <w:rPr>
          <w:rFonts w:ascii="宋体" w:hAnsi="宋体" w:eastAsia="宋体" w:cs="宋体"/>
          <w:sz w:val="24"/>
          <w:szCs w:val="24"/>
        </w:rPr>
      </w:pPr>
      <w:r>
        <w:rPr>
          <w:rFonts w:hint="eastAsia" w:ascii="宋体" w:hAnsi="宋体" w:eastAsia="宋体" w:cs="宋体"/>
          <w:sz w:val="24"/>
          <w:szCs w:val="24"/>
        </w:rPr>
        <w:t>不发生负同等及同等以上责任的且导致重伤1人或轻伤3人及以上，或财产损失3万元以上的交通事故；</w:t>
      </w:r>
    </w:p>
    <w:p w14:paraId="5663FC74">
      <w:pPr>
        <w:pStyle w:val="253"/>
        <w:numPr>
          <w:ilvl w:val="0"/>
          <w:numId w:val="6"/>
        </w:numPr>
        <w:snapToGrid w:val="0"/>
        <w:spacing w:line="560" w:lineRule="exact"/>
        <w:ind w:firstLineChars="0"/>
        <w:rPr>
          <w:rFonts w:ascii="宋体" w:hAnsi="宋体" w:eastAsia="宋体"/>
          <w:snapToGrid w:val="0"/>
          <w:color w:val="000000"/>
          <w:sz w:val="24"/>
          <w:szCs w:val="24"/>
        </w:rPr>
      </w:pPr>
      <w:r>
        <w:rPr>
          <w:rFonts w:hint="eastAsia" w:ascii="宋体" w:hAnsi="宋体" w:eastAsia="宋体" w:cs="宋体"/>
          <w:sz w:val="24"/>
          <w:szCs w:val="24"/>
        </w:rPr>
        <w:t>不发生被生态环境部门挂网通报或行政处罚的环保事件；</w:t>
      </w:r>
    </w:p>
    <w:p w14:paraId="56215839">
      <w:pPr>
        <w:pStyle w:val="253"/>
        <w:numPr>
          <w:ilvl w:val="0"/>
          <w:numId w:val="6"/>
        </w:numPr>
        <w:snapToGrid w:val="0"/>
        <w:spacing w:line="560" w:lineRule="exact"/>
        <w:ind w:firstLineChars="0"/>
        <w:rPr>
          <w:rFonts w:ascii="宋体" w:hAnsi="宋体" w:eastAsia="宋体" w:cs="宋体"/>
          <w:sz w:val="24"/>
          <w:szCs w:val="24"/>
        </w:rPr>
      </w:pPr>
      <w:r>
        <w:rPr>
          <w:rFonts w:hint="eastAsia" w:ascii="宋体" w:hAnsi="宋体" w:eastAsia="宋体"/>
          <w:snapToGrid w:val="0"/>
          <w:color w:val="000000"/>
          <w:sz w:val="24"/>
          <w:szCs w:val="24"/>
        </w:rPr>
        <w:t>不发生职业病病例；</w:t>
      </w:r>
    </w:p>
    <w:p w14:paraId="6CC4F69D">
      <w:pPr>
        <w:pStyle w:val="253"/>
        <w:numPr>
          <w:ilvl w:val="0"/>
          <w:numId w:val="6"/>
        </w:numPr>
        <w:snapToGrid w:val="0"/>
        <w:spacing w:line="560" w:lineRule="exact"/>
        <w:ind w:firstLineChars="0"/>
        <w:rPr>
          <w:rFonts w:ascii="宋体" w:hAnsi="宋体" w:eastAsia="宋体" w:cs="宋体"/>
          <w:sz w:val="24"/>
          <w:szCs w:val="24"/>
        </w:rPr>
      </w:pPr>
      <w:r>
        <w:rPr>
          <w:rFonts w:hint="eastAsia" w:ascii="宋体" w:hAnsi="宋体" w:eastAsia="宋体"/>
          <w:snapToGrid w:val="0"/>
          <w:color w:val="000000"/>
          <w:sz w:val="24"/>
          <w:szCs w:val="24"/>
        </w:rPr>
        <w:t>不发生乙方管理责任导致的治安案件、群体事件；</w:t>
      </w:r>
    </w:p>
    <w:p w14:paraId="6D598673">
      <w:pPr>
        <w:pStyle w:val="253"/>
        <w:numPr>
          <w:ilvl w:val="0"/>
          <w:numId w:val="6"/>
        </w:numPr>
        <w:snapToGrid w:val="0"/>
        <w:spacing w:line="560" w:lineRule="exact"/>
        <w:ind w:firstLineChars="0"/>
        <w:rPr>
          <w:rFonts w:ascii="宋体" w:hAnsi="宋体" w:eastAsia="宋体" w:cs="宋体"/>
          <w:sz w:val="24"/>
          <w:szCs w:val="24"/>
        </w:rPr>
      </w:pPr>
      <w:r>
        <w:rPr>
          <w:rFonts w:hint="eastAsia" w:ascii="宋体" w:hAnsi="宋体" w:eastAsia="宋体" w:cs="宋体"/>
          <w:sz w:val="24"/>
          <w:szCs w:val="24"/>
        </w:rPr>
        <w:t>不发生</w:t>
      </w:r>
      <w:r>
        <w:rPr>
          <w:rFonts w:hint="eastAsia" w:ascii="宋体" w:hAnsi="宋体" w:eastAsia="宋体" w:cs="宋体"/>
          <w:color w:val="000000"/>
          <w:sz w:val="24"/>
          <w:szCs w:val="24"/>
          <w:shd w:val="clear" w:color="auto" w:fill="FFFFFF"/>
        </w:rPr>
        <w:t>安全事故隐瞒不报、谎报或严重迟报（指超过24h）行为。</w:t>
      </w:r>
    </w:p>
    <w:p w14:paraId="291AF63C">
      <w:pPr>
        <w:snapToGrid w:val="0"/>
        <w:spacing w:line="560" w:lineRule="exact"/>
        <w:rPr>
          <w:rFonts w:ascii="宋体" w:hAnsi="宋体" w:eastAsia="宋体"/>
          <w:snapToGrid w:val="0"/>
          <w:color w:val="000000"/>
          <w:sz w:val="24"/>
          <w:szCs w:val="24"/>
        </w:rPr>
      </w:pPr>
      <w:r>
        <w:rPr>
          <w:rFonts w:hint="eastAsia" w:ascii="宋体" w:hAnsi="宋体" w:eastAsia="宋体"/>
          <w:snapToGrid w:val="0"/>
          <w:color w:val="000000"/>
          <w:sz w:val="24"/>
          <w:szCs w:val="24"/>
        </w:rPr>
        <w:t>（二）乙方承诺在作业中控制以下安全事件（行为）的发生：</w:t>
      </w:r>
    </w:p>
    <w:p w14:paraId="5D4B7BD3">
      <w:pPr>
        <w:pStyle w:val="253"/>
        <w:numPr>
          <w:ilvl w:val="0"/>
          <w:numId w:val="7"/>
        </w:numPr>
        <w:snapToGrid w:val="0"/>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人员轻伤事故；</w:t>
      </w:r>
    </w:p>
    <w:p w14:paraId="7A87D8D4">
      <w:pPr>
        <w:pStyle w:val="253"/>
        <w:numPr>
          <w:ilvl w:val="0"/>
          <w:numId w:val="7"/>
        </w:numPr>
        <w:snapToGrid w:val="0"/>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未遂事故；</w:t>
      </w:r>
    </w:p>
    <w:p w14:paraId="3E3C32D0">
      <w:pPr>
        <w:pStyle w:val="253"/>
        <w:numPr>
          <w:ilvl w:val="0"/>
          <w:numId w:val="7"/>
        </w:numPr>
        <w:snapToGrid w:val="0"/>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恶性误操作；</w:t>
      </w:r>
    </w:p>
    <w:p w14:paraId="0C4D0670">
      <w:pPr>
        <w:pStyle w:val="253"/>
        <w:numPr>
          <w:ilvl w:val="0"/>
          <w:numId w:val="7"/>
        </w:numPr>
        <w:snapToGrid w:val="0"/>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无票作业；</w:t>
      </w:r>
    </w:p>
    <w:p w14:paraId="677CF805">
      <w:pPr>
        <w:pStyle w:val="253"/>
        <w:numPr>
          <w:ilvl w:val="0"/>
          <w:numId w:val="7"/>
        </w:numPr>
        <w:snapToGrid w:val="0"/>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严重违章、群体违章；</w:t>
      </w:r>
    </w:p>
    <w:p w14:paraId="2AB66478">
      <w:pPr>
        <w:pStyle w:val="253"/>
        <w:numPr>
          <w:ilvl w:val="0"/>
          <w:numId w:val="7"/>
        </w:numPr>
        <w:snapToGrid w:val="0"/>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未经培训或培训不合格人员上岗；</w:t>
      </w:r>
    </w:p>
    <w:p w14:paraId="76716DB6">
      <w:pPr>
        <w:pStyle w:val="253"/>
        <w:numPr>
          <w:ilvl w:val="0"/>
          <w:numId w:val="7"/>
        </w:numPr>
        <w:snapToGrid w:val="0"/>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特种作业人员无证上岗；</w:t>
      </w:r>
    </w:p>
    <w:p w14:paraId="17B8D6E5">
      <w:pPr>
        <w:pStyle w:val="253"/>
        <w:numPr>
          <w:ilvl w:val="0"/>
          <w:numId w:val="7"/>
        </w:numPr>
        <w:snapToGrid w:val="0"/>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重大安全隐患。</w:t>
      </w:r>
    </w:p>
    <w:p w14:paraId="6E4AFAED">
      <w:pPr>
        <w:pStyle w:val="48"/>
        <w:spacing w:before="0" w:after="0" w:line="560" w:lineRule="exact"/>
        <w:jc w:val="left"/>
        <w:rPr>
          <w:rFonts w:ascii="宋体" w:hAnsi="宋体" w:eastAsia="宋体"/>
          <w:sz w:val="24"/>
          <w:szCs w:val="24"/>
        </w:rPr>
      </w:pPr>
      <w:r>
        <w:rPr>
          <w:rFonts w:hint="eastAsia" w:ascii="宋体" w:hAnsi="宋体" w:eastAsia="宋体"/>
          <w:sz w:val="24"/>
          <w:szCs w:val="24"/>
        </w:rPr>
        <w:t>三、安全责任</w:t>
      </w:r>
    </w:p>
    <w:p w14:paraId="7D961178">
      <w:pPr>
        <w:pStyle w:val="48"/>
        <w:spacing w:before="0" w:after="0" w:line="560" w:lineRule="exact"/>
        <w:jc w:val="left"/>
        <w:rPr>
          <w:rFonts w:ascii="宋体" w:hAnsi="宋体" w:eastAsia="宋体"/>
          <w:sz w:val="24"/>
          <w:szCs w:val="24"/>
        </w:rPr>
      </w:pPr>
      <w:r>
        <w:rPr>
          <w:rFonts w:hint="eastAsia" w:ascii="宋体" w:hAnsi="宋体" w:eastAsia="宋体"/>
          <w:sz w:val="24"/>
          <w:szCs w:val="24"/>
        </w:rPr>
        <w:t>（一）甲方安全责任</w:t>
      </w:r>
    </w:p>
    <w:p w14:paraId="32A684D9">
      <w:pPr>
        <w:pStyle w:val="253"/>
        <w:numPr>
          <w:ilvl w:val="0"/>
          <w:numId w:val="8"/>
        </w:numPr>
        <w:snapToGrid w:val="0"/>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对乙方的资质、条件进行审查，符合安全生产相关规定的要求。</w:t>
      </w:r>
    </w:p>
    <w:p w14:paraId="540799BD">
      <w:pPr>
        <w:pStyle w:val="253"/>
        <w:numPr>
          <w:ilvl w:val="0"/>
          <w:numId w:val="8"/>
        </w:numPr>
        <w:snapToGrid w:val="0"/>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开工前，对乙方提供的人员名单进行入厂安全教育培训、考试。</w:t>
      </w:r>
    </w:p>
    <w:p w14:paraId="64A52444">
      <w:pPr>
        <w:pStyle w:val="253"/>
        <w:numPr>
          <w:ilvl w:val="0"/>
          <w:numId w:val="8"/>
        </w:numPr>
        <w:snapToGrid w:val="0"/>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开工前甲方对乙方进行施工安全技术交底，并应有书面记录或资料。</w:t>
      </w:r>
    </w:p>
    <w:p w14:paraId="2842D39B">
      <w:pPr>
        <w:pStyle w:val="253"/>
        <w:numPr>
          <w:ilvl w:val="0"/>
          <w:numId w:val="8"/>
        </w:numPr>
        <w:snapToGrid w:val="0"/>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甲方有权检查督促乙方执行有关安全生产方面的工作规定，对乙方不符合安全文明施工标准的行为进行制止、纠正并发出安全整改通知书。</w:t>
      </w:r>
    </w:p>
    <w:p w14:paraId="16488E1E">
      <w:pPr>
        <w:pStyle w:val="253"/>
        <w:numPr>
          <w:ilvl w:val="0"/>
          <w:numId w:val="8"/>
        </w:numPr>
        <w:snapToGrid w:val="0"/>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甲方指派负责与乙方联系安全生产、质量控制、进度协调等方面的工作。</w:t>
      </w:r>
    </w:p>
    <w:p w14:paraId="11A0F12C">
      <w:pPr>
        <w:pStyle w:val="253"/>
        <w:numPr>
          <w:ilvl w:val="0"/>
          <w:numId w:val="8"/>
        </w:numPr>
        <w:snapToGrid w:val="0"/>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甲方有权对工作票所填写的安全措施是否正确完备进行监督。</w:t>
      </w:r>
    </w:p>
    <w:p w14:paraId="6A725547">
      <w:pPr>
        <w:pStyle w:val="253"/>
        <w:numPr>
          <w:ilvl w:val="0"/>
          <w:numId w:val="8"/>
        </w:numPr>
        <w:snapToGrid w:val="0"/>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甲方有权要求乙方制定确保施工安全的组织措施、安全措施和技术措施，并监督执行。</w:t>
      </w:r>
    </w:p>
    <w:p w14:paraId="3E62AA06">
      <w:pPr>
        <w:pStyle w:val="253"/>
        <w:numPr>
          <w:ilvl w:val="0"/>
          <w:numId w:val="8"/>
        </w:numPr>
        <w:snapToGrid w:val="0"/>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甲方有权对乙方参与施工的人员进行安全技术知识和安全工作规程的抽考。</w:t>
      </w:r>
    </w:p>
    <w:p w14:paraId="2D2B3D8F">
      <w:pPr>
        <w:pStyle w:val="253"/>
        <w:numPr>
          <w:ilvl w:val="0"/>
          <w:numId w:val="8"/>
        </w:numPr>
        <w:snapToGrid w:val="0"/>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乙方发生如上第二项第（二）条所列不安全事件（或行为）的，甲方有权按照本协议考核条款进行考核；发生如上第二项第（一）条控制目标事故的，除依照本协议考核条款进行考核外，还要遵从地方政府对事故的处理决定；因乙方责任原因造成甲方重大损失或重大影响的，甲方保留追诉权。</w:t>
      </w:r>
    </w:p>
    <w:p w14:paraId="0587BBCE">
      <w:pPr>
        <w:pStyle w:val="253"/>
        <w:numPr>
          <w:ilvl w:val="0"/>
          <w:numId w:val="8"/>
        </w:numPr>
        <w:snapToGrid w:val="0"/>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在有可能造成火灾、爆炸、中毒、窒息、坍塌、高空坠落、触电等容易引起人身伤害和设备事故的高风险区域内的作业，甲方要求乙方制定安全技术措施，经甲方审查后，监督实施。</w:t>
      </w:r>
    </w:p>
    <w:p w14:paraId="3762E3EC">
      <w:pPr>
        <w:pStyle w:val="48"/>
        <w:spacing w:before="0" w:after="0" w:line="560" w:lineRule="exact"/>
        <w:jc w:val="left"/>
        <w:rPr>
          <w:rFonts w:ascii="宋体" w:hAnsi="宋体" w:eastAsia="宋体"/>
          <w:sz w:val="24"/>
          <w:szCs w:val="24"/>
        </w:rPr>
      </w:pPr>
      <w:r>
        <w:rPr>
          <w:rFonts w:hint="eastAsia" w:ascii="宋体" w:hAnsi="宋体" w:eastAsia="宋体"/>
          <w:sz w:val="24"/>
          <w:szCs w:val="24"/>
        </w:rPr>
        <w:t>（二）乙方安全责任</w:t>
      </w:r>
    </w:p>
    <w:p w14:paraId="007E69C5">
      <w:pPr>
        <w:pStyle w:val="253"/>
        <w:numPr>
          <w:ilvl w:val="0"/>
          <w:numId w:val="9"/>
        </w:numPr>
        <w:snapToGrid w:val="0"/>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乙方的法定代表人对本合同内容的安全管理负有全面领导责任。</w:t>
      </w:r>
    </w:p>
    <w:p w14:paraId="414FAC6D">
      <w:pPr>
        <w:pStyle w:val="253"/>
        <w:numPr>
          <w:ilvl w:val="0"/>
          <w:numId w:val="9"/>
        </w:numPr>
        <w:snapToGrid w:val="0"/>
        <w:spacing w:line="560" w:lineRule="exact"/>
        <w:ind w:firstLineChars="0"/>
        <w:rPr>
          <w:rFonts w:ascii="宋体" w:hAnsi="宋体" w:eastAsia="宋体"/>
          <w:sz w:val="24"/>
          <w:szCs w:val="24"/>
        </w:rPr>
      </w:pPr>
      <w:r>
        <w:rPr>
          <w:rFonts w:hint="eastAsia" w:ascii="宋体" w:hAnsi="宋体" w:eastAsia="宋体"/>
          <w:snapToGrid w:val="0"/>
          <w:color w:val="000000"/>
          <w:sz w:val="24"/>
          <w:szCs w:val="24"/>
        </w:rPr>
        <w:t>乙方项目经理对作业现场的安全工作负有直接领导责任。</w:t>
      </w:r>
    </w:p>
    <w:p w14:paraId="3645CE45">
      <w:pPr>
        <w:pStyle w:val="253"/>
        <w:numPr>
          <w:ilvl w:val="0"/>
          <w:numId w:val="9"/>
        </w:numPr>
        <w:snapToGrid w:val="0"/>
        <w:spacing w:line="560" w:lineRule="exact"/>
        <w:ind w:firstLineChars="0"/>
        <w:rPr>
          <w:rFonts w:ascii="宋体" w:hAnsi="宋体" w:eastAsia="宋体"/>
          <w:sz w:val="24"/>
          <w:szCs w:val="24"/>
        </w:rPr>
      </w:pPr>
      <w:r>
        <w:rPr>
          <w:rFonts w:hint="eastAsia" w:ascii="宋体" w:hAnsi="宋体" w:eastAsia="宋体"/>
          <w:snapToGrid w:val="0"/>
          <w:color w:val="000000"/>
          <w:sz w:val="24"/>
          <w:szCs w:val="24"/>
        </w:rPr>
        <w:t>乙方保证服从甲方对安全工作的统一协调和监管，遵守甲方安全管理相关规定，接受甲方安全监督人员的指导和监督。在所有的现场工作中，乙方人员必须严格遵守甲方职业健康、安全、环保相关的管理规定，并接受甲方的监督、落实甲方提出的整改要求。</w:t>
      </w:r>
    </w:p>
    <w:p w14:paraId="48D0D565">
      <w:pPr>
        <w:pStyle w:val="253"/>
        <w:numPr>
          <w:ilvl w:val="0"/>
          <w:numId w:val="9"/>
        </w:numPr>
        <w:snapToGrid w:val="0"/>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乙方保证对本项目安全生产条件及其管理资源的投入，保证安全资金的专款专用，并建立适用于本项目的《项目生产安全费用明细一览表》，如实填报，作为项目安全投入的技术性依据。</w:t>
      </w:r>
    </w:p>
    <w:p w14:paraId="4FF95F32">
      <w:pPr>
        <w:pStyle w:val="253"/>
        <w:numPr>
          <w:ilvl w:val="0"/>
          <w:numId w:val="9"/>
        </w:numPr>
        <w:snapToGrid w:val="0"/>
        <w:spacing w:line="560" w:lineRule="exact"/>
        <w:ind w:firstLineChars="0"/>
        <w:rPr>
          <w:rFonts w:ascii="宋体" w:hAnsi="宋体" w:eastAsia="宋体"/>
          <w:sz w:val="24"/>
          <w:szCs w:val="24"/>
        </w:rPr>
      </w:pPr>
      <w:r>
        <w:rPr>
          <w:rFonts w:hint="eastAsia" w:ascii="宋体" w:hAnsi="宋体" w:eastAsia="宋体"/>
          <w:snapToGrid w:val="0"/>
          <w:color w:val="000000"/>
          <w:sz w:val="24"/>
          <w:szCs w:val="24"/>
        </w:rPr>
        <w:t>乙方保证建立本项目的安全管理体系，项目安全管理大纲/手册报甲方审查批准后发布实施，安全奖惩制度等安全管理性的程序/制度文件须报甲方备案，相关文件如有升版，应及时分发甲方。</w:t>
      </w:r>
    </w:p>
    <w:p w14:paraId="3CFB1DEE">
      <w:pPr>
        <w:pStyle w:val="253"/>
        <w:numPr>
          <w:ilvl w:val="0"/>
          <w:numId w:val="9"/>
        </w:numPr>
        <w:snapToGrid w:val="0"/>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乙方保证现场的项目经理、安全管理专职人员、特种作业人员必须持有符合规定的安全生产培训考核合格证书。</w:t>
      </w:r>
    </w:p>
    <w:p w14:paraId="3914A5FA">
      <w:pPr>
        <w:pStyle w:val="253"/>
        <w:numPr>
          <w:ilvl w:val="0"/>
          <w:numId w:val="9"/>
        </w:numPr>
        <w:snapToGrid w:val="0"/>
        <w:spacing w:line="560" w:lineRule="exact"/>
        <w:ind w:firstLineChars="0"/>
        <w:rPr>
          <w:rFonts w:ascii="宋体" w:hAnsi="宋体" w:eastAsia="宋体"/>
          <w:sz w:val="24"/>
          <w:szCs w:val="24"/>
        </w:rPr>
      </w:pPr>
      <w:r>
        <w:rPr>
          <w:rFonts w:hint="eastAsia" w:ascii="宋体" w:hAnsi="宋体" w:eastAsia="宋体"/>
          <w:snapToGrid w:val="0"/>
          <w:color w:val="000000"/>
          <w:sz w:val="24"/>
          <w:szCs w:val="24"/>
        </w:rPr>
        <w:t>乙方保证为现场所有工作人员配备符合国家标准的个人劳动保护用品。</w:t>
      </w:r>
    </w:p>
    <w:p w14:paraId="78310952">
      <w:pPr>
        <w:pStyle w:val="253"/>
        <w:numPr>
          <w:ilvl w:val="0"/>
          <w:numId w:val="9"/>
        </w:numPr>
        <w:snapToGrid w:val="0"/>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乙方保证按照国家法律规定为所有从业人员办理意外伤害保险、工伤保险，保额不低于当地赔付标准。</w:t>
      </w:r>
    </w:p>
    <w:p w14:paraId="0B1CD5CD">
      <w:pPr>
        <w:pStyle w:val="253"/>
        <w:numPr>
          <w:ilvl w:val="0"/>
          <w:numId w:val="9"/>
        </w:numPr>
        <w:snapToGrid w:val="0"/>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乙方保证生活营地（包括自建的和租用的营地）满足消防、环保、安全用电、卫生防疫、防暴雨、防雷击、防台风等方面的安全标准。</w:t>
      </w:r>
    </w:p>
    <w:p w14:paraId="6F668AA4">
      <w:pPr>
        <w:pStyle w:val="253"/>
        <w:numPr>
          <w:ilvl w:val="0"/>
          <w:numId w:val="9"/>
        </w:numPr>
        <w:snapToGrid w:val="0"/>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乙方保证对入场大型施工机械、特种设备、工器具、大宗材料按照国家法规和标准进行检测、试验，并按规定持有法定部门出具的检验合格证书。</w:t>
      </w:r>
    </w:p>
    <w:p w14:paraId="2B928FE0">
      <w:pPr>
        <w:pStyle w:val="253"/>
        <w:numPr>
          <w:ilvl w:val="0"/>
          <w:numId w:val="9"/>
        </w:numPr>
        <w:snapToGrid w:val="0"/>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开工前，乙方应组织人员对作业区域、作业环境及使用甲方提供的设施设备、工器具等进行检查，熟悉并确认符合安全要求。一经开工，就表示乙方已确认作业现场、作业环境、设施设备、工器具符合安全要求并处于安全状态。</w:t>
      </w:r>
    </w:p>
    <w:p w14:paraId="74934A6E">
      <w:pPr>
        <w:pStyle w:val="253"/>
        <w:numPr>
          <w:ilvl w:val="0"/>
          <w:numId w:val="9"/>
        </w:numPr>
        <w:snapToGrid w:val="0"/>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乙方保证作业现场符合甲方现场安全要求规范，保持作业现场的良好秩序和整洁的作业环境，作业现场的物料堆放要摆放整齐，安全标志和宣传标志要清楚醒目，废料、废物要按规定分类收集处置，安全通道要畅通。</w:t>
      </w:r>
    </w:p>
    <w:p w14:paraId="3F189A4B">
      <w:pPr>
        <w:pStyle w:val="48"/>
        <w:spacing w:before="0" w:after="0" w:line="560" w:lineRule="exact"/>
        <w:jc w:val="left"/>
        <w:rPr>
          <w:rFonts w:ascii="宋体" w:hAnsi="宋体" w:eastAsia="宋体"/>
          <w:color w:val="000000"/>
          <w:sz w:val="24"/>
          <w:szCs w:val="24"/>
        </w:rPr>
      </w:pPr>
      <w:r>
        <w:rPr>
          <w:rFonts w:hint="eastAsia" w:ascii="宋体" w:hAnsi="宋体" w:eastAsia="宋体"/>
          <w:sz w:val="24"/>
          <w:szCs w:val="24"/>
        </w:rPr>
        <w:t>四、安全投入</w:t>
      </w:r>
    </w:p>
    <w:p w14:paraId="784DAE65">
      <w:pPr>
        <w:pStyle w:val="253"/>
        <w:numPr>
          <w:ilvl w:val="0"/>
          <w:numId w:val="10"/>
        </w:numPr>
        <w:snapToGrid w:val="0"/>
        <w:spacing w:line="560" w:lineRule="exact"/>
        <w:ind w:firstLineChars="0"/>
        <w:rPr>
          <w:rFonts w:ascii="宋体" w:hAnsi="宋体" w:eastAsia="宋体"/>
          <w:sz w:val="24"/>
          <w:szCs w:val="24"/>
        </w:rPr>
      </w:pPr>
      <w:r>
        <w:rPr>
          <w:rFonts w:hint="eastAsia" w:ascii="宋体" w:hAnsi="宋体" w:eastAsia="宋体"/>
          <w:snapToGrid w:val="0"/>
          <w:color w:val="000000"/>
          <w:sz w:val="24"/>
          <w:szCs w:val="24"/>
        </w:rPr>
        <w:t>乙方应按照法规要求对项目的安全投入做出合理、及时、足量的安排，保证有足够的资金用于建立、维护、改善作业安全环境条件和安全作业条件。</w:t>
      </w:r>
    </w:p>
    <w:p w14:paraId="4B749F09">
      <w:pPr>
        <w:pStyle w:val="253"/>
        <w:numPr>
          <w:ilvl w:val="0"/>
          <w:numId w:val="10"/>
        </w:numPr>
        <w:snapToGrid w:val="0"/>
        <w:spacing w:line="560" w:lineRule="exact"/>
        <w:ind w:firstLineChars="0"/>
        <w:rPr>
          <w:rFonts w:ascii="宋体" w:hAnsi="宋体" w:eastAsia="宋体"/>
          <w:sz w:val="24"/>
          <w:szCs w:val="24"/>
        </w:rPr>
      </w:pPr>
      <w:r>
        <w:rPr>
          <w:rFonts w:hint="eastAsia" w:ascii="宋体" w:hAnsi="宋体" w:eastAsia="宋体"/>
          <w:snapToGrid w:val="0"/>
          <w:color w:val="000000"/>
          <w:sz w:val="24"/>
          <w:szCs w:val="24"/>
        </w:rPr>
        <w:t>乙方必须建立专项资金管理机制，保证安全投入专款专用，及时投入，满足现场的安全需求，禁止挪用安全资金。若甲方发现乙方挪用安全资金，则甲方有权在合同支付中扣除，并返作安全投入资金，同时对乙方实施考核。</w:t>
      </w:r>
    </w:p>
    <w:p w14:paraId="23CA1D8E">
      <w:pPr>
        <w:pStyle w:val="253"/>
        <w:numPr>
          <w:ilvl w:val="0"/>
          <w:numId w:val="10"/>
        </w:numPr>
        <w:snapToGrid w:val="0"/>
        <w:spacing w:line="560" w:lineRule="exact"/>
        <w:ind w:firstLineChars="0"/>
        <w:rPr>
          <w:rFonts w:ascii="宋体" w:hAnsi="宋体" w:eastAsia="宋体"/>
          <w:sz w:val="24"/>
          <w:szCs w:val="24"/>
        </w:rPr>
      </w:pPr>
      <w:r>
        <w:rPr>
          <w:rFonts w:hint="eastAsia" w:ascii="宋体" w:hAnsi="宋体" w:eastAsia="宋体"/>
          <w:snapToGrid w:val="0"/>
          <w:color w:val="000000"/>
          <w:sz w:val="24"/>
          <w:szCs w:val="24"/>
        </w:rPr>
        <w:t>乙方的安全投入项目清单如有遗漏，导致合同规定的安全投入专项资金不能满足“安全投入项目”资金需求时，乙方应从其他渠道安排资金，满足现场安全资金的需求。</w:t>
      </w:r>
    </w:p>
    <w:p w14:paraId="35CE4CEF">
      <w:pPr>
        <w:pStyle w:val="253"/>
        <w:numPr>
          <w:ilvl w:val="0"/>
          <w:numId w:val="10"/>
        </w:numPr>
        <w:snapToGrid w:val="0"/>
        <w:spacing w:line="560" w:lineRule="exact"/>
        <w:ind w:firstLineChars="0"/>
        <w:rPr>
          <w:rFonts w:ascii="宋体" w:hAnsi="宋体" w:eastAsia="宋体"/>
          <w:sz w:val="24"/>
          <w:szCs w:val="24"/>
        </w:rPr>
      </w:pPr>
      <w:r>
        <w:rPr>
          <w:rFonts w:hint="eastAsia" w:ascii="宋体" w:hAnsi="宋体" w:eastAsia="宋体"/>
          <w:snapToGrid w:val="0"/>
          <w:color w:val="000000"/>
          <w:sz w:val="24"/>
          <w:szCs w:val="24"/>
        </w:rPr>
        <w:t>甲方有权对安全投入的使用情况进行检查，乙方应予以配合。</w:t>
      </w:r>
    </w:p>
    <w:p w14:paraId="136ACA95">
      <w:pPr>
        <w:pStyle w:val="48"/>
        <w:spacing w:before="0" w:after="0" w:line="560" w:lineRule="exact"/>
        <w:jc w:val="left"/>
        <w:rPr>
          <w:rFonts w:ascii="宋体" w:hAnsi="宋体" w:eastAsia="宋体"/>
          <w:sz w:val="24"/>
          <w:szCs w:val="24"/>
        </w:rPr>
      </w:pPr>
      <w:r>
        <w:rPr>
          <w:rFonts w:hint="eastAsia" w:ascii="宋体" w:hAnsi="宋体" w:eastAsia="宋体"/>
          <w:sz w:val="24"/>
          <w:szCs w:val="24"/>
        </w:rPr>
        <w:t>五、接口及协调</w:t>
      </w:r>
    </w:p>
    <w:p w14:paraId="5055A284">
      <w:pPr>
        <w:pStyle w:val="253"/>
        <w:numPr>
          <w:ilvl w:val="0"/>
          <w:numId w:val="11"/>
        </w:numPr>
        <w:spacing w:line="560" w:lineRule="exact"/>
        <w:ind w:right="199" w:rightChars="83" w:firstLineChars="0"/>
        <w:rPr>
          <w:rFonts w:ascii="宋体" w:hAnsi="宋体" w:eastAsia="宋体"/>
          <w:b/>
          <w:color w:val="000000"/>
          <w:sz w:val="24"/>
          <w:szCs w:val="24"/>
        </w:rPr>
      </w:pPr>
      <w:r>
        <w:rPr>
          <w:rFonts w:hint="eastAsia" w:ascii="宋体" w:hAnsi="宋体" w:eastAsia="宋体"/>
          <w:snapToGrid w:val="0"/>
          <w:color w:val="000000"/>
          <w:sz w:val="24"/>
          <w:szCs w:val="24"/>
        </w:rPr>
        <w:t>乙方必须符合甲方的安全规范，人员、车辆的出入，带入现场的设备、机具、材料，在现场使用的或直接管理的办公、生活、生产性设施的安全管理须满足甲方现场管理的基本要求。</w:t>
      </w:r>
    </w:p>
    <w:p w14:paraId="1CDD8FC2">
      <w:pPr>
        <w:pStyle w:val="253"/>
        <w:numPr>
          <w:ilvl w:val="0"/>
          <w:numId w:val="11"/>
        </w:numPr>
        <w:snapToGrid w:val="0"/>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乙方应指定专职（或兼职）安全管理人员与甲方接口，在业务上接受甲方的协调和指导，参与安全协调和管理。</w:t>
      </w:r>
    </w:p>
    <w:p w14:paraId="68A83187">
      <w:pPr>
        <w:pStyle w:val="253"/>
        <w:numPr>
          <w:ilvl w:val="0"/>
          <w:numId w:val="11"/>
        </w:numPr>
        <w:spacing w:line="560" w:lineRule="exact"/>
        <w:ind w:right="199" w:rightChars="83" w:firstLineChars="0"/>
        <w:rPr>
          <w:rFonts w:ascii="宋体" w:hAnsi="宋体" w:eastAsia="宋体"/>
          <w:b/>
          <w:color w:val="000000"/>
          <w:sz w:val="24"/>
          <w:szCs w:val="24"/>
        </w:rPr>
      </w:pPr>
      <w:r>
        <w:rPr>
          <w:rFonts w:hint="eastAsia" w:ascii="宋体" w:hAnsi="宋体" w:eastAsia="宋体"/>
          <w:snapToGrid w:val="0"/>
          <w:color w:val="000000"/>
          <w:sz w:val="24"/>
          <w:szCs w:val="24"/>
        </w:rPr>
        <w:t>乙方的安全管理人员应具备协调安全工作的能力和授权。甲方有权对安全管理人员的能力和权力做出评价，对于不能胜任的安全管理人员，甲方有权要求乙方换人。</w:t>
      </w:r>
    </w:p>
    <w:p w14:paraId="0FF3A2EE">
      <w:pPr>
        <w:pStyle w:val="253"/>
        <w:numPr>
          <w:ilvl w:val="0"/>
          <w:numId w:val="11"/>
        </w:numPr>
        <w:spacing w:line="560" w:lineRule="exact"/>
        <w:ind w:right="199" w:rightChars="83" w:firstLineChars="0"/>
        <w:rPr>
          <w:rFonts w:ascii="宋体" w:hAnsi="宋体" w:eastAsia="宋体"/>
          <w:b/>
          <w:color w:val="000000"/>
          <w:sz w:val="24"/>
          <w:szCs w:val="24"/>
        </w:rPr>
      </w:pPr>
      <w:r>
        <w:rPr>
          <w:rFonts w:hint="eastAsia" w:ascii="宋体" w:hAnsi="宋体" w:eastAsia="宋体"/>
          <w:snapToGrid w:val="0"/>
          <w:color w:val="000000"/>
          <w:sz w:val="24"/>
          <w:szCs w:val="24"/>
        </w:rPr>
        <w:t>如合同内容出现较大变更，本协议的有关条款也应做出相应的修改。</w:t>
      </w:r>
    </w:p>
    <w:p w14:paraId="486F13AA">
      <w:pPr>
        <w:pStyle w:val="48"/>
        <w:spacing w:before="0" w:after="0" w:line="560" w:lineRule="exact"/>
        <w:jc w:val="left"/>
        <w:rPr>
          <w:rFonts w:ascii="宋体" w:hAnsi="宋体" w:eastAsia="宋体"/>
          <w:sz w:val="24"/>
          <w:szCs w:val="24"/>
        </w:rPr>
      </w:pPr>
      <w:r>
        <w:rPr>
          <w:rFonts w:hint="eastAsia" w:ascii="宋体" w:hAnsi="宋体" w:eastAsia="宋体"/>
          <w:sz w:val="24"/>
          <w:szCs w:val="24"/>
        </w:rPr>
        <w:t>六、安全资质审查</w:t>
      </w:r>
    </w:p>
    <w:p w14:paraId="472A9C1D">
      <w:pPr>
        <w:snapToGrid w:val="0"/>
        <w:spacing w:beforeLines="0" w:line="560" w:lineRule="exact"/>
        <w:rPr>
          <w:rFonts w:ascii="宋体" w:hAnsi="宋体" w:eastAsia="宋体"/>
          <w:snapToGrid w:val="0"/>
          <w:color w:val="000000"/>
          <w:sz w:val="24"/>
          <w:szCs w:val="24"/>
        </w:rPr>
      </w:pPr>
      <w:r>
        <w:rPr>
          <w:rFonts w:hint="eastAsia" w:ascii="宋体" w:hAnsi="宋体" w:eastAsia="宋体"/>
          <w:snapToGrid w:val="0"/>
          <w:color w:val="000000"/>
          <w:sz w:val="24"/>
          <w:szCs w:val="24"/>
        </w:rPr>
        <w:t>乙方在项目开工前5个工作日向甲方提供以下安全资质供审查和存档：</w:t>
      </w:r>
    </w:p>
    <w:p w14:paraId="2239E17D">
      <w:pPr>
        <w:pStyle w:val="253"/>
        <w:numPr>
          <w:ilvl w:val="0"/>
          <w:numId w:val="12"/>
        </w:numPr>
        <w:spacing w:line="560" w:lineRule="exact"/>
        <w:ind w:right="199" w:rightChars="83"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项目经理及安全管理人员资质；</w:t>
      </w:r>
    </w:p>
    <w:p w14:paraId="1452A6C0">
      <w:pPr>
        <w:pStyle w:val="253"/>
        <w:numPr>
          <w:ilvl w:val="0"/>
          <w:numId w:val="12"/>
        </w:numPr>
        <w:spacing w:line="560" w:lineRule="exact"/>
        <w:ind w:right="199" w:rightChars="83"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特种作业人员资格证书；</w:t>
      </w:r>
    </w:p>
    <w:p w14:paraId="33FA8287">
      <w:pPr>
        <w:pStyle w:val="253"/>
        <w:numPr>
          <w:ilvl w:val="0"/>
          <w:numId w:val="12"/>
        </w:numPr>
        <w:spacing w:line="560" w:lineRule="exact"/>
        <w:ind w:right="199" w:rightChars="83"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适用于本项目的安全管理体系文件；</w:t>
      </w:r>
    </w:p>
    <w:p w14:paraId="0B1C9860">
      <w:pPr>
        <w:pStyle w:val="253"/>
        <w:numPr>
          <w:ilvl w:val="0"/>
          <w:numId w:val="12"/>
        </w:numPr>
        <w:spacing w:line="560" w:lineRule="exact"/>
        <w:ind w:right="199" w:rightChars="83"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适用于本项目的《项目生产安全费用明细一览表》；</w:t>
      </w:r>
    </w:p>
    <w:p w14:paraId="2643EAA0">
      <w:pPr>
        <w:pStyle w:val="253"/>
        <w:numPr>
          <w:ilvl w:val="0"/>
          <w:numId w:val="12"/>
        </w:numPr>
        <w:spacing w:line="560" w:lineRule="exact"/>
        <w:ind w:right="199" w:rightChars="83"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近三年的安全无事故证明（针对建设施工单位）。</w:t>
      </w:r>
    </w:p>
    <w:p w14:paraId="6FA53540">
      <w:pPr>
        <w:pStyle w:val="48"/>
        <w:spacing w:before="0" w:after="0" w:line="560" w:lineRule="exact"/>
        <w:jc w:val="left"/>
        <w:rPr>
          <w:rFonts w:ascii="宋体" w:hAnsi="宋体" w:eastAsia="宋体"/>
          <w:sz w:val="24"/>
          <w:szCs w:val="24"/>
        </w:rPr>
      </w:pPr>
      <w:r>
        <w:rPr>
          <w:rFonts w:hint="eastAsia" w:ascii="宋体" w:hAnsi="宋体" w:eastAsia="宋体"/>
          <w:sz w:val="24"/>
          <w:szCs w:val="24"/>
        </w:rPr>
        <w:t>七、人员基本素质</w:t>
      </w:r>
    </w:p>
    <w:p w14:paraId="20FF9DAA">
      <w:pPr>
        <w:snapToGrid w:val="0"/>
        <w:spacing w:beforeLines="0" w:line="560" w:lineRule="exact"/>
        <w:rPr>
          <w:rFonts w:ascii="宋体" w:hAnsi="宋体" w:eastAsia="宋体"/>
          <w:snapToGrid w:val="0"/>
          <w:color w:val="000000"/>
          <w:sz w:val="24"/>
          <w:szCs w:val="24"/>
        </w:rPr>
      </w:pPr>
      <w:r>
        <w:rPr>
          <w:rFonts w:hint="eastAsia" w:ascii="宋体" w:hAnsi="宋体" w:eastAsia="宋体"/>
          <w:snapToGrid w:val="0"/>
          <w:color w:val="000000"/>
          <w:sz w:val="24"/>
          <w:szCs w:val="24"/>
        </w:rPr>
        <w:t>乙方提供的人员必须满足下列要求:</w:t>
      </w:r>
    </w:p>
    <w:p w14:paraId="445EC357">
      <w:pPr>
        <w:pStyle w:val="253"/>
        <w:numPr>
          <w:ilvl w:val="0"/>
          <w:numId w:val="13"/>
        </w:numPr>
        <w:snapToGrid w:val="0"/>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身体健康，无影响工作的高血压、心脏病、低血糖，无精神疾病、无传染病和其他重大疾病，年龄在</w:t>
      </w:r>
      <w:r>
        <w:rPr>
          <w:rFonts w:hint="eastAsia" w:ascii="宋体" w:hAnsi="宋体" w:eastAsia="宋体"/>
          <w:snapToGrid w:val="0"/>
          <w:color w:val="000000"/>
          <w:sz w:val="24"/>
          <w:szCs w:val="24"/>
          <w:u w:val="single"/>
        </w:rPr>
        <w:t>55</w:t>
      </w:r>
      <w:r>
        <w:rPr>
          <w:rFonts w:hint="eastAsia" w:ascii="宋体" w:hAnsi="宋体" w:eastAsia="宋体"/>
          <w:snapToGrid w:val="0"/>
          <w:color w:val="000000"/>
          <w:sz w:val="24"/>
          <w:szCs w:val="24"/>
        </w:rPr>
        <w:t>岁以下；在上岗前应提供符合甲方要求的体检报告以供审核评价，作为人员办理相应入场授权证件的必备材料；</w:t>
      </w:r>
    </w:p>
    <w:p w14:paraId="01D0B82F">
      <w:pPr>
        <w:pStyle w:val="253"/>
        <w:numPr>
          <w:ilvl w:val="0"/>
          <w:numId w:val="13"/>
        </w:numPr>
        <w:snapToGrid w:val="0"/>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无刑事案件牵连；</w:t>
      </w:r>
    </w:p>
    <w:p w14:paraId="03C1BE9C">
      <w:pPr>
        <w:pStyle w:val="253"/>
        <w:numPr>
          <w:ilvl w:val="0"/>
          <w:numId w:val="13"/>
        </w:numPr>
        <w:snapToGrid w:val="0"/>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无吸毒、酗酒、赌博、嫖娼等恶习及违法行为；</w:t>
      </w:r>
    </w:p>
    <w:p w14:paraId="350D5BA4">
      <w:pPr>
        <w:pStyle w:val="253"/>
        <w:numPr>
          <w:ilvl w:val="0"/>
          <w:numId w:val="13"/>
        </w:numPr>
        <w:snapToGrid w:val="0"/>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甲方有权对乙方员工的基本素质情况进行检查，对不能满足要求的人员有权进行清理，对乙方则予以考核。</w:t>
      </w:r>
    </w:p>
    <w:p w14:paraId="122B1A35">
      <w:pPr>
        <w:pStyle w:val="48"/>
        <w:spacing w:before="0" w:after="0" w:line="560" w:lineRule="exact"/>
        <w:jc w:val="left"/>
        <w:rPr>
          <w:rFonts w:ascii="宋体" w:hAnsi="宋体" w:eastAsia="宋体"/>
          <w:color w:val="000000"/>
          <w:sz w:val="24"/>
          <w:szCs w:val="24"/>
        </w:rPr>
      </w:pPr>
      <w:r>
        <w:rPr>
          <w:rFonts w:hint="eastAsia" w:ascii="宋体" w:hAnsi="宋体" w:eastAsia="宋体"/>
          <w:sz w:val="24"/>
          <w:szCs w:val="24"/>
        </w:rPr>
        <w:t>八、劳动保护</w:t>
      </w:r>
    </w:p>
    <w:p w14:paraId="41093913">
      <w:pPr>
        <w:pStyle w:val="253"/>
        <w:numPr>
          <w:ilvl w:val="0"/>
          <w:numId w:val="14"/>
        </w:numPr>
        <w:snapToGrid w:val="0"/>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乙方须为其从业人员提供符合国家标准的劳动保护用品，包括安全鞋、工作服和安全帽、安全带、防酸碱服和防酸碱手套、呼吸保护器、口罩、护目镜等。</w:t>
      </w:r>
    </w:p>
    <w:p w14:paraId="53BC0996">
      <w:pPr>
        <w:pStyle w:val="253"/>
        <w:numPr>
          <w:ilvl w:val="0"/>
          <w:numId w:val="14"/>
        </w:numPr>
        <w:snapToGrid w:val="0"/>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乙方入场前将个人劳动保护用品配用标准交甲方审核。</w:t>
      </w:r>
    </w:p>
    <w:p w14:paraId="1C79AED7">
      <w:pPr>
        <w:pStyle w:val="253"/>
        <w:numPr>
          <w:ilvl w:val="0"/>
          <w:numId w:val="14"/>
        </w:numPr>
        <w:snapToGrid w:val="0"/>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乙方应为其从事射线探伤人员配备个人剂量计。</w:t>
      </w:r>
    </w:p>
    <w:p w14:paraId="1BF3B39F">
      <w:pPr>
        <w:pStyle w:val="253"/>
        <w:numPr>
          <w:ilvl w:val="0"/>
          <w:numId w:val="14"/>
        </w:numPr>
        <w:snapToGrid w:val="0"/>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乙方的劳动保护必须满足甲方的劳动保护要求；甲方对乙方安全实施的情况进行检查，乙方应予以配合,不满足安全条件的，甲方有权中止现场活动，由此产生的工期和成本的影响,由乙方自行负责。</w:t>
      </w:r>
    </w:p>
    <w:p w14:paraId="3F0BBAFF">
      <w:pPr>
        <w:pStyle w:val="253"/>
        <w:numPr>
          <w:ilvl w:val="0"/>
          <w:numId w:val="14"/>
        </w:numPr>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乙方开工前应组织全体施工人员认真学习《中华人民共和国安全生产法》、《电力安全工作规程》、《电力建设安全工作规程》、甲方安健环管理规章制度等规定中的相关部分，经考试合格方可进行工作，并将考试成绩书面报甲方项目公司审核备案。若发生人员变更，在进入现场前，保证遵照以上程序办理报备。</w:t>
      </w:r>
    </w:p>
    <w:p w14:paraId="17D18EB5">
      <w:pPr>
        <w:pStyle w:val="253"/>
        <w:numPr>
          <w:ilvl w:val="0"/>
          <w:numId w:val="14"/>
        </w:numPr>
        <w:snapToGrid w:val="0"/>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乙方负责所属工作人员着装整齐，符合《电力安全工作规程》着装规定，佩戴《出入证》和反光马甲。乙方保证不使用未成年工和不适应现场安全施工的老、弱、病、残等人员进行施工。</w:t>
      </w:r>
    </w:p>
    <w:p w14:paraId="6EFB996C">
      <w:pPr>
        <w:pStyle w:val="48"/>
        <w:spacing w:before="0" w:after="0" w:line="560" w:lineRule="exact"/>
        <w:jc w:val="left"/>
        <w:rPr>
          <w:rFonts w:ascii="宋体" w:hAnsi="宋体" w:eastAsia="宋体"/>
          <w:sz w:val="24"/>
          <w:szCs w:val="24"/>
        </w:rPr>
      </w:pPr>
      <w:r>
        <w:rPr>
          <w:rFonts w:hint="eastAsia" w:ascii="宋体" w:hAnsi="宋体" w:eastAsia="宋体"/>
          <w:sz w:val="24"/>
          <w:szCs w:val="24"/>
        </w:rPr>
        <w:t>九、作业机具与材料</w:t>
      </w:r>
    </w:p>
    <w:p w14:paraId="6897E1D1">
      <w:pPr>
        <w:pStyle w:val="253"/>
        <w:numPr>
          <w:ilvl w:val="0"/>
          <w:numId w:val="15"/>
        </w:numPr>
        <w:spacing w:line="560" w:lineRule="exact"/>
        <w:ind w:firstLineChars="0"/>
        <w:rPr>
          <w:rFonts w:ascii="宋体" w:hAnsi="宋体" w:eastAsia="宋体"/>
          <w:b/>
          <w:color w:val="000000"/>
          <w:sz w:val="24"/>
          <w:szCs w:val="24"/>
        </w:rPr>
      </w:pPr>
      <w:r>
        <w:rPr>
          <w:rFonts w:hint="eastAsia" w:ascii="宋体" w:hAnsi="宋体" w:eastAsia="宋体"/>
          <w:snapToGrid w:val="0"/>
          <w:color w:val="000000"/>
          <w:sz w:val="24"/>
          <w:szCs w:val="24"/>
        </w:rPr>
        <w:t>乙方对带入现场的作业机械和工器具的安全可靠性负责。</w:t>
      </w:r>
    </w:p>
    <w:p w14:paraId="22230F15">
      <w:pPr>
        <w:pStyle w:val="253"/>
        <w:numPr>
          <w:ilvl w:val="0"/>
          <w:numId w:val="15"/>
        </w:numPr>
        <w:spacing w:line="560" w:lineRule="exact"/>
        <w:ind w:firstLineChars="0"/>
        <w:rPr>
          <w:rFonts w:ascii="宋体" w:hAnsi="宋体" w:eastAsia="宋体"/>
          <w:b/>
          <w:color w:val="000000"/>
          <w:sz w:val="24"/>
          <w:szCs w:val="24"/>
        </w:rPr>
      </w:pPr>
      <w:r>
        <w:rPr>
          <w:rFonts w:hint="eastAsia" w:ascii="宋体" w:hAnsi="宋体" w:eastAsia="宋体"/>
          <w:snapToGrid w:val="0"/>
          <w:color w:val="000000"/>
          <w:sz w:val="24"/>
          <w:szCs w:val="24"/>
        </w:rPr>
        <w:t>对于乙方带入现场的特殊工器具、设备，如起重设备、索具、机动车辆、压缩气瓶等，乙方必须按国家法规和标准进行检测、试验，并按规定持有法定部门出具的检验合格证书。</w:t>
      </w:r>
    </w:p>
    <w:p w14:paraId="6BD388B2">
      <w:pPr>
        <w:pStyle w:val="253"/>
        <w:numPr>
          <w:ilvl w:val="0"/>
          <w:numId w:val="15"/>
        </w:numPr>
        <w:spacing w:line="560" w:lineRule="exact"/>
        <w:ind w:firstLineChars="0"/>
        <w:rPr>
          <w:rFonts w:ascii="宋体" w:hAnsi="宋体" w:eastAsia="宋体"/>
          <w:b/>
          <w:color w:val="000000"/>
          <w:sz w:val="24"/>
          <w:szCs w:val="24"/>
        </w:rPr>
      </w:pPr>
      <w:r>
        <w:rPr>
          <w:rFonts w:hint="eastAsia" w:ascii="宋体" w:hAnsi="宋体" w:eastAsia="宋体"/>
          <w:snapToGrid w:val="0"/>
          <w:color w:val="000000"/>
          <w:sz w:val="24"/>
          <w:szCs w:val="24"/>
        </w:rPr>
        <w:t>对于不属于法定检测的工器具，乙方也必须建立相应的管理、检测制度。</w:t>
      </w:r>
    </w:p>
    <w:p w14:paraId="73E8B4C5">
      <w:pPr>
        <w:pStyle w:val="48"/>
        <w:spacing w:before="0" w:after="0" w:line="560" w:lineRule="exact"/>
        <w:jc w:val="left"/>
        <w:rPr>
          <w:rFonts w:ascii="宋体" w:hAnsi="宋体" w:eastAsia="宋体"/>
          <w:sz w:val="24"/>
          <w:szCs w:val="24"/>
        </w:rPr>
      </w:pPr>
      <w:r>
        <w:rPr>
          <w:rFonts w:hint="eastAsia" w:ascii="宋体" w:hAnsi="宋体" w:eastAsia="宋体"/>
          <w:sz w:val="24"/>
          <w:szCs w:val="24"/>
        </w:rPr>
        <w:t>十、安全监督</w:t>
      </w:r>
    </w:p>
    <w:p w14:paraId="41605C4B">
      <w:pPr>
        <w:pStyle w:val="253"/>
        <w:numPr>
          <w:ilvl w:val="0"/>
          <w:numId w:val="16"/>
        </w:numPr>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乙方应设安全监督机构，建立、健全安全、消防、应急、环保、职业健康等管理体系。配备有满足项目安全管理需要的安全管理人员，并持证上岗。</w:t>
      </w:r>
    </w:p>
    <w:p w14:paraId="554D3619">
      <w:pPr>
        <w:pStyle w:val="253"/>
        <w:numPr>
          <w:ilvl w:val="0"/>
          <w:numId w:val="16"/>
        </w:numPr>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乙方的安全管理专职人员必须经过甲方考核，且常驻现场；乙方的专职安全监督人员在业务上接受甲方的协调和指导。</w:t>
      </w:r>
    </w:p>
    <w:p w14:paraId="3E8B9C5D">
      <w:pPr>
        <w:pStyle w:val="253"/>
        <w:numPr>
          <w:ilvl w:val="0"/>
          <w:numId w:val="16"/>
        </w:numPr>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乙方应定期开展安全生产自我评估，开展经验反馈活动和日常安全宣传教育，传达甲方的安全要求和信息、对本单位的风险和安全指标趋势进行分析和预测，提出安全工作重点，并向甲方提供评估报告。</w:t>
      </w:r>
    </w:p>
    <w:p w14:paraId="1BCBEFF3">
      <w:pPr>
        <w:pStyle w:val="253"/>
        <w:numPr>
          <w:ilvl w:val="0"/>
          <w:numId w:val="16"/>
        </w:numPr>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乙方应接受和配合甲方的监督与安全评估。</w:t>
      </w:r>
    </w:p>
    <w:p w14:paraId="56EB1A28">
      <w:pPr>
        <w:pStyle w:val="253"/>
        <w:numPr>
          <w:ilvl w:val="0"/>
          <w:numId w:val="16"/>
        </w:numPr>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甲方有权对乙方履行安全条款的情况进行监督，并有权对违章行为进行考核。</w:t>
      </w:r>
    </w:p>
    <w:p w14:paraId="0CBB7F09">
      <w:pPr>
        <w:pStyle w:val="48"/>
        <w:spacing w:before="0" w:after="0" w:line="560" w:lineRule="exact"/>
        <w:jc w:val="left"/>
        <w:rPr>
          <w:rFonts w:ascii="宋体" w:hAnsi="宋体" w:eastAsia="宋体"/>
          <w:sz w:val="24"/>
          <w:szCs w:val="24"/>
        </w:rPr>
      </w:pPr>
      <w:r>
        <w:rPr>
          <w:rFonts w:hint="eastAsia" w:ascii="宋体" w:hAnsi="宋体" w:eastAsia="宋体"/>
          <w:sz w:val="24"/>
          <w:szCs w:val="24"/>
        </w:rPr>
        <w:t>十一、安全培训与授权</w:t>
      </w:r>
    </w:p>
    <w:p w14:paraId="4718C306">
      <w:pPr>
        <w:pStyle w:val="253"/>
        <w:numPr>
          <w:ilvl w:val="0"/>
          <w:numId w:val="17"/>
        </w:numPr>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乙方所有特种作业人员必须持证上岗，甲方有权对其进行抽查。乙方要建立特种作业定期培训和检查计划，这些工种包括但不限于：高压焊工、起重工、电工、架子工等。</w:t>
      </w:r>
    </w:p>
    <w:p w14:paraId="5609B120">
      <w:pPr>
        <w:pStyle w:val="253"/>
        <w:numPr>
          <w:ilvl w:val="0"/>
          <w:numId w:val="17"/>
        </w:numPr>
        <w:spacing w:line="560" w:lineRule="exact"/>
        <w:ind w:firstLineChars="0"/>
        <w:rPr>
          <w:rFonts w:ascii="宋体" w:hAnsi="宋体" w:eastAsia="宋体"/>
          <w:b/>
          <w:color w:val="000000"/>
          <w:sz w:val="24"/>
          <w:szCs w:val="24"/>
        </w:rPr>
      </w:pPr>
      <w:r>
        <w:rPr>
          <w:rFonts w:hint="eastAsia" w:ascii="宋体" w:hAnsi="宋体" w:eastAsia="宋体"/>
          <w:snapToGrid w:val="0"/>
          <w:color w:val="000000"/>
          <w:sz w:val="24"/>
          <w:szCs w:val="24"/>
        </w:rPr>
        <w:t>由乙方负责其员工安全、消防、应急、环保、职业健康培训和授权的，其培训大纲、教材内容、教员资格等提交甲方审核。甲方有权对乙方培训质量进行检查，对不符合要求的人员，将不能进入现场工作。</w:t>
      </w:r>
    </w:p>
    <w:p w14:paraId="49ABA789">
      <w:pPr>
        <w:pStyle w:val="48"/>
        <w:spacing w:before="0" w:after="0" w:line="560" w:lineRule="exact"/>
        <w:jc w:val="left"/>
        <w:rPr>
          <w:rFonts w:ascii="宋体" w:hAnsi="宋体" w:eastAsia="宋体"/>
          <w:sz w:val="24"/>
          <w:szCs w:val="24"/>
        </w:rPr>
      </w:pPr>
      <w:r>
        <w:rPr>
          <w:rFonts w:hint="eastAsia" w:ascii="宋体" w:hAnsi="宋体" w:eastAsia="宋体"/>
          <w:sz w:val="24"/>
          <w:szCs w:val="24"/>
        </w:rPr>
        <w:t>十二、入场控制</w:t>
      </w:r>
    </w:p>
    <w:p w14:paraId="527227AF">
      <w:pPr>
        <w:pStyle w:val="253"/>
        <w:numPr>
          <w:ilvl w:val="0"/>
          <w:numId w:val="18"/>
        </w:numPr>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甲方对乙方安全准备的情况进行检查。不满足开工安全条件的，乙方不得入场，由此产生的工期和成本的影响，由乙方自行负责。</w:t>
      </w:r>
    </w:p>
    <w:p w14:paraId="149E1313">
      <w:pPr>
        <w:pStyle w:val="253"/>
        <w:numPr>
          <w:ilvl w:val="0"/>
          <w:numId w:val="18"/>
        </w:numPr>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入场前安全检查的基本内容包括：安全责任制建设、安全投入、危险源识别和风险分析、施工机械的安全状况、安全工器具和材料、安全培训教材和教员、专职安全人员的到岗情况、培训的有效性、流动人员控制、个人劳动保护用品的发放等内容。</w:t>
      </w:r>
    </w:p>
    <w:p w14:paraId="428F1A86">
      <w:pPr>
        <w:pStyle w:val="48"/>
        <w:spacing w:before="0" w:after="0" w:line="560" w:lineRule="exact"/>
        <w:jc w:val="both"/>
        <w:rPr>
          <w:rFonts w:ascii="宋体" w:hAnsi="宋体" w:eastAsia="宋体"/>
          <w:sz w:val="24"/>
          <w:szCs w:val="24"/>
        </w:rPr>
      </w:pPr>
      <w:r>
        <w:rPr>
          <w:rFonts w:hint="eastAsia" w:ascii="宋体" w:hAnsi="宋体" w:eastAsia="宋体"/>
          <w:sz w:val="24"/>
          <w:szCs w:val="24"/>
        </w:rPr>
        <w:t>十三、职业健康与卫生防疫</w:t>
      </w:r>
    </w:p>
    <w:p w14:paraId="542C20F8">
      <w:pPr>
        <w:pStyle w:val="253"/>
        <w:numPr>
          <w:ilvl w:val="0"/>
          <w:numId w:val="19"/>
        </w:numPr>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乙方应有特殊健康检查制度，预防有禁忌症患者从事有关职业，如恐高症患者不得从事高空作业，特种作业人员的体检应符合国家的规定。杜绝体检不合格或犯职业禁忌症人员上岗。</w:t>
      </w:r>
    </w:p>
    <w:p w14:paraId="4FEE2966">
      <w:pPr>
        <w:pStyle w:val="253"/>
        <w:numPr>
          <w:ilvl w:val="0"/>
          <w:numId w:val="19"/>
        </w:numPr>
        <w:snapToGrid w:val="0"/>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乙方应保证卫生防疫基本设施的投入，以满足医疗、急救的要求。</w:t>
      </w:r>
    </w:p>
    <w:p w14:paraId="57F4A28E">
      <w:pPr>
        <w:pStyle w:val="253"/>
        <w:numPr>
          <w:ilvl w:val="0"/>
          <w:numId w:val="19"/>
        </w:numPr>
        <w:snapToGrid w:val="0"/>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乙方应建立卫生防疫措施计划，做好生活区和作业区的卫生防疫工作；制定和执行保证饮水卫生、饮食卫生、环境卫生和预防集体食物中毒的措施；有灭蚊、灭鼠和消毒的专项工作计划；有针对性地制订预防SARS、冠状病毒肺炎、禽流感、疟疾、霍乱、肠道传染病、肝炎等疾病的措施。</w:t>
      </w:r>
    </w:p>
    <w:p w14:paraId="7CFE3A86">
      <w:pPr>
        <w:pStyle w:val="48"/>
        <w:spacing w:before="0" w:after="0" w:line="560" w:lineRule="exact"/>
        <w:jc w:val="left"/>
        <w:rPr>
          <w:rFonts w:ascii="宋体" w:hAnsi="宋体" w:eastAsia="宋体"/>
          <w:sz w:val="24"/>
          <w:szCs w:val="24"/>
        </w:rPr>
      </w:pPr>
      <w:r>
        <w:rPr>
          <w:rFonts w:hint="eastAsia" w:ascii="宋体" w:hAnsi="宋体" w:eastAsia="宋体"/>
          <w:sz w:val="24"/>
          <w:szCs w:val="24"/>
        </w:rPr>
        <w:t>十四、项目风险管理与事故预防</w:t>
      </w:r>
    </w:p>
    <w:p w14:paraId="42A4C393">
      <w:pPr>
        <w:pStyle w:val="253"/>
        <w:numPr>
          <w:ilvl w:val="0"/>
          <w:numId w:val="20"/>
        </w:numPr>
        <w:snapToGrid w:val="0"/>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乙方应对作业过程进行全面、深入的危险源识别和风险分析。在作业安全组织设计中提供危险源及重要危险源清单、作业风险分析报告，该报告应包括（但不限于）如下信息：</w:t>
      </w:r>
    </w:p>
    <w:p w14:paraId="3F552134">
      <w:pPr>
        <w:pStyle w:val="253"/>
        <w:numPr>
          <w:ilvl w:val="0"/>
          <w:numId w:val="21"/>
        </w:numPr>
        <w:snapToGrid w:val="0"/>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高风险作业和工种清单：作业名称、这些作业工种的类别和数量、主要事故风险。</w:t>
      </w:r>
    </w:p>
    <w:p w14:paraId="41F62F03">
      <w:pPr>
        <w:pStyle w:val="253"/>
        <w:numPr>
          <w:ilvl w:val="0"/>
          <w:numId w:val="21"/>
        </w:numPr>
        <w:snapToGrid w:val="0"/>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作业机械的种类、数量和主要事故风险。</w:t>
      </w:r>
    </w:p>
    <w:p w14:paraId="5234A821">
      <w:pPr>
        <w:pStyle w:val="253"/>
        <w:numPr>
          <w:ilvl w:val="0"/>
          <w:numId w:val="21"/>
        </w:numPr>
        <w:snapToGrid w:val="0"/>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作业条件的类型和主要事故风险。</w:t>
      </w:r>
    </w:p>
    <w:p w14:paraId="39CDAABB">
      <w:pPr>
        <w:pStyle w:val="253"/>
        <w:numPr>
          <w:ilvl w:val="0"/>
          <w:numId w:val="21"/>
        </w:numPr>
        <w:snapToGrid w:val="0"/>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主要工艺过程（或作业活动）的类别及其相关的事故风险。</w:t>
      </w:r>
    </w:p>
    <w:p w14:paraId="3F9C4379">
      <w:pPr>
        <w:pStyle w:val="253"/>
        <w:numPr>
          <w:ilvl w:val="0"/>
          <w:numId w:val="21"/>
        </w:numPr>
        <w:snapToGrid w:val="0"/>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主要火灾危险（可燃物、点火源）。</w:t>
      </w:r>
    </w:p>
    <w:p w14:paraId="03D7AFAD">
      <w:pPr>
        <w:pStyle w:val="253"/>
        <w:numPr>
          <w:ilvl w:val="0"/>
          <w:numId w:val="21"/>
        </w:numPr>
        <w:snapToGrid w:val="0"/>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其他。</w:t>
      </w:r>
    </w:p>
    <w:p w14:paraId="1BDB67DA">
      <w:pPr>
        <w:pStyle w:val="253"/>
        <w:numPr>
          <w:ilvl w:val="0"/>
          <w:numId w:val="20"/>
        </w:numPr>
        <w:snapToGrid w:val="0"/>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乙方应针对识别出的危险源制定有针对性的事故预防措施并确保在作业中得到有效落实。</w:t>
      </w:r>
    </w:p>
    <w:p w14:paraId="2E142087">
      <w:pPr>
        <w:pStyle w:val="253"/>
        <w:numPr>
          <w:ilvl w:val="0"/>
          <w:numId w:val="20"/>
        </w:numPr>
        <w:snapToGrid w:val="0"/>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乙方应建立日常作业活动的动态作业风险分析和安全交底制度。该制度应明确规定风险分析的方法、责任和交底的内容、时间及记录。</w:t>
      </w:r>
    </w:p>
    <w:p w14:paraId="0F7CC05E">
      <w:pPr>
        <w:pStyle w:val="253"/>
        <w:numPr>
          <w:ilvl w:val="0"/>
          <w:numId w:val="20"/>
        </w:numPr>
        <w:snapToGrid w:val="0"/>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对于危险性较大的施工、维修作业，乙方必须专门制定施工安全方案，并报甲方备案。甲方认为不合格的方案，有权要求乙方重新进行制定，新方案批准前不得开工。开工前，对作业组成员开展安全技术交底。</w:t>
      </w:r>
    </w:p>
    <w:p w14:paraId="172D131D">
      <w:pPr>
        <w:pStyle w:val="48"/>
        <w:spacing w:before="0" w:after="0" w:line="560" w:lineRule="exact"/>
        <w:jc w:val="left"/>
        <w:rPr>
          <w:rFonts w:ascii="宋体" w:hAnsi="宋体" w:eastAsia="宋体"/>
          <w:sz w:val="24"/>
          <w:szCs w:val="24"/>
        </w:rPr>
      </w:pPr>
      <w:r>
        <w:rPr>
          <w:rFonts w:hint="eastAsia" w:ascii="宋体" w:hAnsi="宋体" w:eastAsia="宋体"/>
          <w:sz w:val="24"/>
          <w:szCs w:val="24"/>
        </w:rPr>
        <w:t>十五、事故报告与应急救援</w:t>
      </w:r>
    </w:p>
    <w:p w14:paraId="7FF9E3B6">
      <w:pPr>
        <w:pStyle w:val="253"/>
        <w:numPr>
          <w:ilvl w:val="0"/>
          <w:numId w:val="22"/>
        </w:numPr>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乙方应建立安全事故统计记录、医学处置事件统计记录、未遂事件统计记录、违章统计记录，并根据统计情况进行分析，并就分析结果制定相应的预防措施。</w:t>
      </w:r>
    </w:p>
    <w:p w14:paraId="04382FB7">
      <w:pPr>
        <w:pStyle w:val="253"/>
        <w:numPr>
          <w:ilvl w:val="0"/>
          <w:numId w:val="22"/>
        </w:numPr>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乙方应根据《电力安全隐患监督管理暂行规定》等规定要求建立安全隐患统计记录，并根据统计情况进行分析，并就分析结果制定相应的预防措施。</w:t>
      </w:r>
    </w:p>
    <w:p w14:paraId="57BB2A63">
      <w:pPr>
        <w:pStyle w:val="253"/>
        <w:numPr>
          <w:ilvl w:val="0"/>
          <w:numId w:val="22"/>
        </w:numPr>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乙方应建立生产安全事件报告准则；对于未遂事件及以上级别的安全事件和事故，应建立事故快速报告制度，即在事件、事故发生后，立即口头报告甲方。在事件发生后的24小时以内，向甲方发出书面安全事件通告。</w:t>
      </w:r>
    </w:p>
    <w:p w14:paraId="06E6C5DC">
      <w:pPr>
        <w:pStyle w:val="253"/>
        <w:numPr>
          <w:ilvl w:val="0"/>
          <w:numId w:val="22"/>
        </w:numPr>
        <w:snapToGrid w:val="0"/>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乙方应制定安全生产事故/事件管理程序，发生事故/事件后要及时向甲方报告，不得瞒报、漏报、谎报和迟报。</w:t>
      </w:r>
    </w:p>
    <w:p w14:paraId="2AD02D3C">
      <w:pPr>
        <w:pStyle w:val="253"/>
        <w:numPr>
          <w:ilvl w:val="0"/>
          <w:numId w:val="22"/>
        </w:numPr>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乙方应根据国家相关法规、文件规定和甲方相关管理程序要求，建立应急管理体系和应急救援机制，制定本单位突发事件应急预案和核事故应急撤离计划，准备并保障相应的应急物资，严格按照甲方的要求及时报送应急值班信息和本单位人员、资源等信息，在事故情况下及时启动应急响应机制，及时报告相关信息，并采取措施限制事故扩大,必要时接受甲方的统一协调和指挥。</w:t>
      </w:r>
    </w:p>
    <w:p w14:paraId="774C5566">
      <w:pPr>
        <w:pStyle w:val="253"/>
        <w:numPr>
          <w:ilvl w:val="0"/>
          <w:numId w:val="22"/>
        </w:numPr>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在现场其他单位发生重大事故时，乙方应无条件立即配合、支持事故抢险。</w:t>
      </w:r>
    </w:p>
    <w:p w14:paraId="5D5BE933">
      <w:pPr>
        <w:pStyle w:val="253"/>
        <w:numPr>
          <w:ilvl w:val="0"/>
          <w:numId w:val="22"/>
        </w:numPr>
        <w:snapToGrid w:val="0"/>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乙方必须为事故处置支付各项费用，包括受伤者的抚恤、补偿等费用，对甲方造成损失的，造价赔偿。</w:t>
      </w:r>
    </w:p>
    <w:p w14:paraId="70A1A760">
      <w:pPr>
        <w:pStyle w:val="253"/>
        <w:numPr>
          <w:ilvl w:val="0"/>
          <w:numId w:val="22"/>
        </w:numPr>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涉及乙方员工的伤害事故，乙方除要报告甲方外，还应负责按照国家、行业和本单位上级公司的要求，上报事故。</w:t>
      </w:r>
    </w:p>
    <w:p w14:paraId="100C98D7">
      <w:pPr>
        <w:pStyle w:val="253"/>
        <w:numPr>
          <w:ilvl w:val="0"/>
          <w:numId w:val="22"/>
        </w:numPr>
        <w:snapToGrid w:val="0"/>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乙方负责组织事件调查的，甲方有权参与。</w:t>
      </w:r>
    </w:p>
    <w:p w14:paraId="39B1ED78">
      <w:pPr>
        <w:pStyle w:val="48"/>
        <w:spacing w:before="0" w:after="0" w:line="560" w:lineRule="exact"/>
        <w:jc w:val="left"/>
        <w:rPr>
          <w:rFonts w:ascii="宋体" w:hAnsi="宋体" w:eastAsia="宋体"/>
          <w:sz w:val="24"/>
          <w:szCs w:val="24"/>
        </w:rPr>
      </w:pPr>
      <w:r>
        <w:rPr>
          <w:rFonts w:hint="eastAsia" w:ascii="宋体" w:hAnsi="宋体" w:eastAsia="宋体"/>
          <w:sz w:val="24"/>
          <w:szCs w:val="24"/>
        </w:rPr>
        <w:t>十六、协议条款的修订</w:t>
      </w:r>
    </w:p>
    <w:p w14:paraId="0ED26608">
      <w:pPr>
        <w:pStyle w:val="253"/>
        <w:numPr>
          <w:ilvl w:val="0"/>
          <w:numId w:val="23"/>
        </w:numPr>
        <w:snapToGrid w:val="0"/>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在项目实施过程中，经双方友好协商，本协议的有关条款也可做出相应的修改。</w:t>
      </w:r>
    </w:p>
    <w:p w14:paraId="6D3B7AD0">
      <w:pPr>
        <w:pStyle w:val="253"/>
        <w:numPr>
          <w:ilvl w:val="0"/>
          <w:numId w:val="23"/>
        </w:numPr>
        <w:snapToGrid w:val="0"/>
        <w:spacing w:line="56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本协议自合同生效日起实施，甲方保留最终解释权。</w:t>
      </w:r>
    </w:p>
    <w:p w14:paraId="0A3B2C9D">
      <w:pPr>
        <w:pStyle w:val="48"/>
        <w:spacing w:before="0" w:after="0" w:line="560" w:lineRule="exact"/>
        <w:jc w:val="left"/>
        <w:rPr>
          <w:rFonts w:ascii="宋体" w:hAnsi="宋体" w:eastAsia="宋体"/>
          <w:sz w:val="24"/>
          <w:szCs w:val="24"/>
        </w:rPr>
      </w:pPr>
      <w:r>
        <w:rPr>
          <w:rFonts w:hint="eastAsia" w:ascii="宋体" w:hAnsi="宋体" w:eastAsia="宋体"/>
          <w:sz w:val="24"/>
          <w:szCs w:val="24"/>
        </w:rPr>
        <w:t>十七、附件</w:t>
      </w:r>
    </w:p>
    <w:p w14:paraId="5EFD1CB5">
      <w:pPr>
        <w:pStyle w:val="48"/>
        <w:spacing w:before="0" w:after="0" w:line="560" w:lineRule="exact"/>
        <w:jc w:val="left"/>
        <w:rPr>
          <w:rFonts w:ascii="宋体" w:hAnsi="宋体" w:eastAsia="宋体"/>
          <w:b w:val="0"/>
          <w:bCs w:val="0"/>
          <w:sz w:val="24"/>
          <w:szCs w:val="24"/>
        </w:rPr>
      </w:pPr>
      <w:r>
        <w:rPr>
          <w:rFonts w:hint="eastAsia" w:ascii="宋体" w:hAnsi="宋体" w:eastAsia="宋体"/>
          <w:b w:val="0"/>
          <w:bCs w:val="0"/>
          <w:sz w:val="24"/>
          <w:szCs w:val="24"/>
        </w:rPr>
        <w:t>附件1：考核指标定义</w:t>
      </w:r>
    </w:p>
    <w:p w14:paraId="03ED89F4">
      <w:pPr>
        <w:pStyle w:val="48"/>
        <w:spacing w:before="0" w:after="0" w:line="560" w:lineRule="exact"/>
        <w:jc w:val="left"/>
        <w:rPr>
          <w:rFonts w:ascii="宋体" w:hAnsi="宋体" w:eastAsia="宋体"/>
          <w:b w:val="0"/>
          <w:bCs w:val="0"/>
          <w:sz w:val="24"/>
          <w:szCs w:val="24"/>
        </w:rPr>
      </w:pPr>
      <w:r>
        <w:rPr>
          <w:rFonts w:hint="eastAsia" w:ascii="宋体" w:hAnsi="宋体" w:eastAsia="宋体"/>
          <w:b w:val="0"/>
          <w:bCs w:val="0"/>
          <w:sz w:val="24"/>
          <w:szCs w:val="24"/>
        </w:rPr>
        <w:t>附件2：考核条款</w:t>
      </w:r>
    </w:p>
    <w:p w14:paraId="03533649">
      <w:pPr>
        <w:tabs>
          <w:tab w:val="center" w:pos="4433"/>
        </w:tabs>
        <w:spacing w:line="560" w:lineRule="exact"/>
        <w:ind w:firstLine="480" w:firstLineChars="200"/>
        <w:rPr>
          <w:rFonts w:ascii="宋体" w:hAnsi="宋体" w:eastAsia="宋体" w:cs="宋体"/>
          <w:sz w:val="24"/>
        </w:rPr>
      </w:pPr>
      <w:r>
        <w:rPr>
          <w:rFonts w:hint="eastAsia" w:ascii="宋体" w:hAnsi="宋体" w:eastAsia="宋体" w:cs="宋体"/>
          <w:sz w:val="24"/>
        </w:rPr>
        <w:t>本协议一式二份，经双方法定代表人或委托代理人签字、盖章后生效，与合同（合同编号：        ）具有同等法律效率。本协议一式两份，甲、乙双方各执一份。</w:t>
      </w:r>
    </w:p>
    <w:p w14:paraId="2C3591A0">
      <w:pPr>
        <w:tabs>
          <w:tab w:val="center" w:pos="4433"/>
        </w:tabs>
        <w:spacing w:line="560" w:lineRule="exact"/>
        <w:rPr>
          <w:rFonts w:ascii="仿宋_GB2312" w:eastAsia="仿宋_GB2312"/>
          <w:sz w:val="24"/>
        </w:rPr>
      </w:pPr>
    </w:p>
    <w:p w14:paraId="56F71FE6">
      <w:pPr>
        <w:pStyle w:val="2"/>
        <w:rPr>
          <w:rFonts w:ascii="仿宋_GB2312" w:eastAsia="仿宋_GB2312"/>
          <w:sz w:val="24"/>
        </w:rPr>
      </w:pPr>
    </w:p>
    <w:p w14:paraId="268492F6">
      <w:pPr>
        <w:pStyle w:val="2"/>
        <w:rPr>
          <w:rFonts w:ascii="仿宋_GB2312" w:eastAsia="仿宋_GB2312"/>
          <w:sz w:val="24"/>
        </w:rPr>
      </w:pPr>
    </w:p>
    <w:p w14:paraId="4ECA4B91">
      <w:pPr>
        <w:spacing w:line="560" w:lineRule="exact"/>
        <w:rPr>
          <w:rFonts w:ascii="宋体" w:hAnsi="宋体" w:eastAsia="宋体" w:cs="宋体"/>
          <w:bCs/>
          <w:color w:val="FFFFFF"/>
          <w:sz w:val="24"/>
        </w:rPr>
      </w:pPr>
      <w:r>
        <w:rPr>
          <w:rFonts w:hint="eastAsia" w:ascii="宋体" w:hAnsi="宋体" w:eastAsia="宋体" w:cs="宋体"/>
          <w:bCs/>
          <w:sz w:val="24"/>
        </w:rPr>
        <w:t>发包单位：</w:t>
      </w:r>
      <w:r>
        <w:rPr>
          <w:rFonts w:hint="eastAsia" w:ascii="宋体" w:hAnsi="宋体" w:eastAsia="宋体"/>
          <w:bCs/>
          <w:spacing w:val="-10"/>
          <w:sz w:val="24"/>
          <w:u w:val="single"/>
        </w:rPr>
        <w:t>东莞市新东元环保投资有限公司</w:t>
      </w:r>
      <w:r>
        <w:rPr>
          <w:rFonts w:hint="eastAsia" w:ascii="宋体" w:hAnsi="宋体" w:eastAsia="宋体" w:cs="宋体"/>
          <w:bCs/>
          <w:spacing w:val="-10"/>
          <w:sz w:val="24"/>
        </w:rPr>
        <w:t xml:space="preserve">  </w:t>
      </w:r>
      <w:r>
        <w:rPr>
          <w:rFonts w:hint="eastAsia" w:ascii="宋体" w:hAnsi="宋体" w:eastAsia="宋体" w:cs="宋体"/>
          <w:bCs/>
          <w:sz w:val="24"/>
        </w:rPr>
        <w:t xml:space="preserve">  承包单位：</w:t>
      </w:r>
      <w:r>
        <w:rPr>
          <w:rFonts w:hint="eastAsia" w:ascii="宋体" w:hAnsi="宋体" w:eastAsia="宋体" w:cs="宋体"/>
          <w:bCs/>
          <w:color w:val="FFFFFF"/>
          <w:sz w:val="24"/>
        </w:rPr>
        <w:t xml:space="preserve"> </w:t>
      </w:r>
    </w:p>
    <w:p w14:paraId="7BC599DC">
      <w:pPr>
        <w:pStyle w:val="2"/>
        <w:rPr>
          <w:rFonts w:hint="eastAsia"/>
        </w:rPr>
      </w:pPr>
    </w:p>
    <w:p w14:paraId="539E3F3C">
      <w:pPr>
        <w:spacing w:line="560" w:lineRule="exact"/>
        <w:rPr>
          <w:rFonts w:ascii="宋体" w:hAnsi="宋体" w:eastAsia="宋体" w:cs="宋体"/>
          <w:bCs/>
          <w:sz w:val="24"/>
        </w:rPr>
      </w:pPr>
      <w:r>
        <w:rPr>
          <w:rFonts w:hint="eastAsia" w:ascii="宋体" w:hAnsi="宋体" w:eastAsia="宋体" w:cs="宋体"/>
          <w:bCs/>
          <w:sz w:val="24"/>
        </w:rPr>
        <w:t>（盖章）                              （盖章）</w:t>
      </w:r>
    </w:p>
    <w:p w14:paraId="7CE4F784">
      <w:pPr>
        <w:spacing w:line="560" w:lineRule="exact"/>
        <w:rPr>
          <w:rFonts w:ascii="宋体" w:hAnsi="宋体" w:eastAsia="宋体" w:cs="宋体"/>
          <w:bCs/>
          <w:sz w:val="24"/>
        </w:rPr>
      </w:pPr>
      <w:r>
        <w:rPr>
          <w:rFonts w:hint="eastAsia" w:ascii="宋体" w:hAnsi="宋体" w:eastAsia="宋体" w:cs="宋体"/>
          <w:bCs/>
          <w:sz w:val="24"/>
        </w:rPr>
        <w:t>法定代表人或                           法定代表人或</w:t>
      </w:r>
    </w:p>
    <w:p w14:paraId="5CE8EBE9">
      <w:pPr>
        <w:spacing w:line="560" w:lineRule="exact"/>
        <w:rPr>
          <w:rFonts w:ascii="宋体" w:hAnsi="宋体" w:eastAsia="宋体" w:cs="宋体"/>
          <w:bCs/>
          <w:sz w:val="24"/>
        </w:rPr>
      </w:pPr>
      <w:r>
        <w:rPr>
          <w:rFonts w:hint="eastAsia" w:ascii="宋体" w:hAnsi="宋体" w:eastAsia="宋体" w:cs="宋体"/>
          <w:bCs/>
          <w:sz w:val="24"/>
        </w:rPr>
        <w:t>代表人：                               代表人：</w:t>
      </w:r>
    </w:p>
    <w:p w14:paraId="43116C58">
      <w:pPr>
        <w:spacing w:line="560" w:lineRule="exact"/>
        <w:rPr>
          <w:rFonts w:ascii="宋体" w:hAnsi="宋体" w:eastAsia="宋体" w:cs="宋体"/>
          <w:snapToGrid w:val="0"/>
          <w:color w:val="000000"/>
          <w:sz w:val="24"/>
          <w:szCs w:val="24"/>
        </w:rPr>
      </w:pPr>
      <w:r>
        <w:rPr>
          <w:rFonts w:hint="eastAsia" w:ascii="宋体" w:hAnsi="宋体" w:eastAsia="宋体" w:cs="宋体"/>
          <w:bCs/>
          <w:sz w:val="24"/>
        </w:rPr>
        <w:t>日  期：  年  月   日                  日  期：  年    月   日</w:t>
      </w:r>
    </w:p>
    <w:p w14:paraId="1F4CB2E5">
      <w:pPr>
        <w:snapToGrid w:val="0"/>
        <w:spacing w:line="560" w:lineRule="exact"/>
        <w:rPr>
          <w:rFonts w:ascii="宋体" w:hAnsi="宋体" w:eastAsia="宋体" w:cs="宋体"/>
          <w:snapToGrid w:val="0"/>
          <w:color w:val="000000"/>
          <w:sz w:val="24"/>
          <w:szCs w:val="24"/>
        </w:rPr>
        <w:sectPr>
          <w:pgSz w:w="11906" w:h="16838"/>
          <w:pgMar w:top="2098" w:right="1474" w:bottom="1985" w:left="1588" w:header="851" w:footer="992" w:gutter="0"/>
          <w:cols w:space="425" w:num="1"/>
          <w:docGrid w:type="lines" w:linePitch="579" w:charSpace="17613"/>
        </w:sectPr>
      </w:pPr>
    </w:p>
    <w:p w14:paraId="56B1C57B">
      <w:pPr>
        <w:spacing w:line="560" w:lineRule="exact"/>
        <w:jc w:val="left"/>
        <w:rPr>
          <w:rFonts w:ascii="宋体" w:hAnsi="宋体" w:eastAsia="宋体"/>
          <w:bCs/>
          <w:snapToGrid w:val="0"/>
          <w:color w:val="000000"/>
          <w:sz w:val="24"/>
          <w:szCs w:val="24"/>
        </w:rPr>
      </w:pPr>
      <w:r>
        <w:rPr>
          <w:rFonts w:hint="eastAsia" w:ascii="宋体" w:hAnsi="宋体" w:eastAsia="宋体"/>
          <w:bCs/>
          <w:snapToGrid w:val="0"/>
          <w:color w:val="000000"/>
          <w:sz w:val="24"/>
          <w:szCs w:val="24"/>
        </w:rPr>
        <w:t>附件1 考核指标定义</w:t>
      </w:r>
    </w:p>
    <w:p w14:paraId="1991287A">
      <w:pPr>
        <w:spacing w:line="560" w:lineRule="exact"/>
        <w:jc w:val="center"/>
        <w:rPr>
          <w:rFonts w:ascii="宋体" w:hAnsi="宋体" w:eastAsia="宋体"/>
          <w:b/>
          <w:snapToGrid w:val="0"/>
          <w:color w:val="000000"/>
          <w:sz w:val="24"/>
          <w:szCs w:val="24"/>
        </w:rPr>
      </w:pPr>
      <w:r>
        <w:rPr>
          <w:rFonts w:hint="eastAsia" w:ascii="宋体" w:hAnsi="宋体" w:eastAsia="宋体"/>
          <w:b/>
          <w:snapToGrid w:val="0"/>
          <w:color w:val="000000"/>
          <w:sz w:val="24"/>
          <w:szCs w:val="24"/>
        </w:rPr>
        <w:t>考核指标定义</w:t>
      </w:r>
    </w:p>
    <w:p w14:paraId="04C44E3A">
      <w:pPr>
        <w:pStyle w:val="253"/>
        <w:numPr>
          <w:ilvl w:val="0"/>
          <w:numId w:val="24"/>
        </w:numPr>
        <w:spacing w:line="540" w:lineRule="exact"/>
        <w:ind w:firstLineChars="0"/>
        <w:rPr>
          <w:rStyle w:val="54"/>
          <w:rFonts w:ascii="新宋体" w:hAnsi="新宋体" w:eastAsia="新宋体" w:cs="新宋体"/>
          <w:b w:val="0"/>
          <w:bCs w:val="0"/>
          <w:sz w:val="24"/>
          <w:szCs w:val="24"/>
        </w:rPr>
      </w:pPr>
      <w:r>
        <w:rPr>
          <w:rFonts w:hint="eastAsia" w:ascii="新宋体" w:hAnsi="新宋体" w:eastAsia="新宋体" w:cs="新宋体"/>
          <w:snapToGrid w:val="0"/>
          <w:color w:val="000000"/>
          <w:sz w:val="24"/>
          <w:szCs w:val="24"/>
        </w:rPr>
        <w:t>死亡及以上事故：见</w:t>
      </w:r>
      <w:r>
        <w:rPr>
          <w:rFonts w:hint="eastAsia" w:ascii="新宋体" w:hAnsi="新宋体" w:eastAsia="新宋体" w:cs="新宋体"/>
          <w:sz w:val="24"/>
          <w:szCs w:val="24"/>
        </w:rPr>
        <w:t>中华人民共和国《生产安全事故报告和调查处理条例》（国务院令第493号）事故标准。</w:t>
      </w:r>
    </w:p>
    <w:p w14:paraId="501A961B">
      <w:pPr>
        <w:pStyle w:val="253"/>
        <w:numPr>
          <w:ilvl w:val="0"/>
          <w:numId w:val="24"/>
        </w:numPr>
        <w:spacing w:line="540" w:lineRule="exact"/>
        <w:ind w:firstLineChars="0"/>
        <w:rPr>
          <w:rFonts w:ascii="新宋体" w:hAnsi="新宋体" w:eastAsia="新宋体" w:cs="新宋体"/>
          <w:snapToGrid w:val="0"/>
          <w:color w:val="000000"/>
          <w:sz w:val="24"/>
          <w:szCs w:val="24"/>
        </w:rPr>
      </w:pPr>
      <w:r>
        <w:rPr>
          <w:rFonts w:hint="eastAsia" w:ascii="新宋体" w:hAnsi="新宋体" w:eastAsia="新宋体" w:cs="新宋体"/>
          <w:sz w:val="24"/>
          <w:szCs w:val="24"/>
        </w:rPr>
        <w:t>重伤事故：（1）</w:t>
      </w:r>
      <w:r>
        <w:rPr>
          <w:rStyle w:val="54"/>
          <w:rFonts w:hint="eastAsia" w:ascii="新宋体" w:hAnsi="新宋体" w:eastAsia="新宋体" w:cs="新宋体"/>
          <w:b w:val="0"/>
          <w:bCs w:val="0"/>
          <w:sz w:val="24"/>
          <w:szCs w:val="24"/>
        </w:rPr>
        <w:t>指造成人员肢体残废、毁人容貌、丧失听觉、丧失视觉、丧失其他器官功能或者其他对于人身健康有重大伤害的事故，包括重伤一级和重伤二级，具体以劳动能力鉴定委员会的最终评定结果为准。（2）</w:t>
      </w:r>
      <w:r>
        <w:rPr>
          <w:rStyle w:val="54"/>
          <w:rFonts w:hint="eastAsia" w:ascii="新宋体" w:hAnsi="新宋体" w:eastAsia="新宋体" w:cs="新宋体"/>
          <w:b w:val="0"/>
          <w:sz w:val="24"/>
          <w:szCs w:val="24"/>
        </w:rPr>
        <w:t>造成20万元以上100万元以下直接经济损失的，与重伤事故同等级别认定。</w:t>
      </w:r>
    </w:p>
    <w:p w14:paraId="2C154348">
      <w:pPr>
        <w:pStyle w:val="253"/>
        <w:numPr>
          <w:ilvl w:val="0"/>
          <w:numId w:val="24"/>
        </w:numPr>
        <w:spacing w:line="540" w:lineRule="exact"/>
        <w:ind w:firstLineChars="0"/>
        <w:rPr>
          <w:rFonts w:ascii="宋体" w:hAnsi="宋体" w:eastAsia="宋体"/>
          <w:snapToGrid w:val="0"/>
          <w:color w:val="000000"/>
          <w:sz w:val="24"/>
          <w:szCs w:val="24"/>
        </w:rPr>
      </w:pPr>
      <w:r>
        <w:rPr>
          <w:rStyle w:val="54"/>
          <w:rFonts w:hint="eastAsia" w:ascii="新宋体" w:hAnsi="新宋体" w:eastAsia="新宋体" w:cs="新宋体"/>
          <w:b w:val="0"/>
          <w:sz w:val="24"/>
          <w:szCs w:val="24"/>
        </w:rPr>
        <w:t>轻伤事故：（1）造成1人肢体或者容貌损害，听觉、视觉或者其他器官功能部分障碍或者其他对于人身健康有中度伤害的事故，</w:t>
      </w:r>
      <w:r>
        <w:rPr>
          <w:rStyle w:val="54"/>
          <w:rFonts w:hint="eastAsia" w:ascii="新宋体" w:hAnsi="新宋体" w:eastAsia="新宋体" w:cs="新宋体"/>
          <w:b w:val="0"/>
          <w:bCs w:val="0"/>
          <w:sz w:val="24"/>
          <w:szCs w:val="24"/>
        </w:rPr>
        <w:t>包括轻伤一级和轻伤二级，具体</w:t>
      </w:r>
      <w:r>
        <w:rPr>
          <w:rStyle w:val="54"/>
          <w:rFonts w:hint="eastAsia" w:ascii="新宋体" w:hAnsi="新宋体" w:eastAsia="新宋体" w:cs="新宋体"/>
          <w:b w:val="0"/>
          <w:sz w:val="24"/>
          <w:szCs w:val="24"/>
        </w:rPr>
        <w:t>以劳动能力鉴定委员会的最终评定结果为准。（2）造成3万元以上20万元以下直接经济损失的，与重伤事故同等级别认定。</w:t>
      </w:r>
    </w:p>
    <w:p w14:paraId="3F876A7E">
      <w:pPr>
        <w:pStyle w:val="253"/>
        <w:numPr>
          <w:ilvl w:val="0"/>
          <w:numId w:val="24"/>
        </w:numPr>
        <w:spacing w:line="54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损失工时事故（LWC）：造成员工离开工作岗位一天或一天以上（不含事故当天）；</w:t>
      </w:r>
    </w:p>
    <w:p w14:paraId="423582AC">
      <w:pPr>
        <w:pStyle w:val="253"/>
        <w:numPr>
          <w:ilvl w:val="0"/>
          <w:numId w:val="24"/>
        </w:numPr>
        <w:spacing w:line="54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限制工时事故（RWC）：造成员工工作受限制一天或一天以上（不含事故当天）；限制性工业事故由职业医疗根据员工的实际情况和医疗部门给出的休息建议确定；</w:t>
      </w:r>
    </w:p>
    <w:p w14:paraId="6BCB8E2A">
      <w:pPr>
        <w:pStyle w:val="253"/>
        <w:numPr>
          <w:ilvl w:val="0"/>
          <w:numId w:val="24"/>
        </w:numPr>
        <w:spacing w:line="54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医学处置事件（MTC）：该事故需要医疗处置但又没有LWC和RWC的后果；医疗处置事件分为医护处置事件、急救箱处置事件；</w:t>
      </w:r>
    </w:p>
    <w:p w14:paraId="5A76D92C">
      <w:pPr>
        <w:pStyle w:val="253"/>
        <w:numPr>
          <w:ilvl w:val="0"/>
          <w:numId w:val="24"/>
        </w:numPr>
        <w:spacing w:line="54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医护处置事件：需要专业医护人员进行一般医学处理的事件。</w:t>
      </w:r>
    </w:p>
    <w:p w14:paraId="28EF69F0">
      <w:pPr>
        <w:pStyle w:val="253"/>
        <w:numPr>
          <w:ilvl w:val="0"/>
          <w:numId w:val="24"/>
        </w:numPr>
        <w:spacing w:line="540" w:lineRule="exact"/>
        <w:ind w:firstLineChars="0"/>
        <w:rPr>
          <w:rFonts w:ascii="宋体" w:hAnsi="宋体" w:eastAsia="宋体"/>
          <w:snapToGrid w:val="0"/>
          <w:color w:val="000000"/>
          <w:sz w:val="24"/>
          <w:szCs w:val="24"/>
        </w:rPr>
      </w:pPr>
      <w:r>
        <w:rPr>
          <w:rFonts w:hint="eastAsia" w:ascii="宋体" w:hAnsi="宋体" w:eastAsia="宋体"/>
          <w:snapToGrid w:val="0"/>
          <w:color w:val="000000"/>
          <w:sz w:val="24"/>
          <w:szCs w:val="24"/>
        </w:rPr>
        <w:t>急救箱处置事件：需要专业医护人员进行简单医学处理的事件，或可自行处理的伤害事件，例如：</w:t>
      </w:r>
    </w:p>
    <w:p w14:paraId="1258DA43">
      <w:pPr>
        <w:numPr>
          <w:ilvl w:val="3"/>
          <w:numId w:val="25"/>
        </w:numPr>
        <w:tabs>
          <w:tab w:val="clear" w:pos="2268"/>
        </w:tabs>
        <w:spacing w:beforeLines="0" w:line="540" w:lineRule="exact"/>
        <w:ind w:left="420"/>
        <w:rPr>
          <w:rFonts w:ascii="宋体" w:hAnsi="宋体" w:eastAsia="宋体"/>
          <w:snapToGrid w:val="0"/>
          <w:color w:val="000000"/>
          <w:sz w:val="24"/>
          <w:szCs w:val="24"/>
        </w:rPr>
      </w:pPr>
      <w:r>
        <w:rPr>
          <w:rFonts w:hint="eastAsia" w:ascii="宋体" w:hAnsi="宋体" w:eastAsia="宋体"/>
          <w:snapToGrid w:val="0"/>
          <w:color w:val="000000"/>
          <w:sz w:val="24"/>
          <w:szCs w:val="24"/>
        </w:rPr>
        <w:t>使用创可贴、纱布及绷带对伤口包扎，不影响工作活动；</w:t>
      </w:r>
    </w:p>
    <w:p w14:paraId="00ED423E">
      <w:pPr>
        <w:numPr>
          <w:ilvl w:val="3"/>
          <w:numId w:val="25"/>
        </w:numPr>
        <w:tabs>
          <w:tab w:val="clear" w:pos="2268"/>
        </w:tabs>
        <w:spacing w:beforeLines="0" w:line="540" w:lineRule="exact"/>
        <w:ind w:left="420"/>
        <w:rPr>
          <w:rFonts w:ascii="宋体" w:hAnsi="宋体" w:eastAsia="宋体"/>
          <w:snapToGrid w:val="0"/>
          <w:color w:val="000000"/>
          <w:sz w:val="24"/>
          <w:szCs w:val="24"/>
        </w:rPr>
      </w:pPr>
      <w:r>
        <w:rPr>
          <w:rFonts w:hint="eastAsia" w:ascii="宋体" w:hAnsi="宋体" w:eastAsia="宋体"/>
          <w:snapToGrid w:val="0"/>
          <w:color w:val="000000"/>
          <w:sz w:val="24"/>
          <w:szCs w:val="24"/>
        </w:rPr>
        <w:t>轻微挫伤，皮肤没有破损，只需冷敷或理疗处理；</w:t>
      </w:r>
    </w:p>
    <w:p w14:paraId="795295E2">
      <w:pPr>
        <w:numPr>
          <w:ilvl w:val="3"/>
          <w:numId w:val="25"/>
        </w:numPr>
        <w:tabs>
          <w:tab w:val="clear" w:pos="2268"/>
        </w:tabs>
        <w:spacing w:beforeLines="0" w:line="540" w:lineRule="exact"/>
        <w:ind w:left="420"/>
        <w:rPr>
          <w:rFonts w:ascii="宋体" w:hAnsi="宋体" w:eastAsia="宋体"/>
          <w:snapToGrid w:val="0"/>
          <w:color w:val="000000"/>
          <w:sz w:val="24"/>
          <w:szCs w:val="24"/>
        </w:rPr>
      </w:pPr>
      <w:r>
        <w:rPr>
          <w:rFonts w:hint="eastAsia" w:ascii="宋体" w:hAnsi="宋体" w:eastAsia="宋体"/>
          <w:snapToGrid w:val="0"/>
          <w:color w:val="000000"/>
          <w:sz w:val="24"/>
          <w:szCs w:val="24"/>
        </w:rPr>
        <w:t>推拿治疗；</w:t>
      </w:r>
    </w:p>
    <w:p w14:paraId="3005F374">
      <w:pPr>
        <w:numPr>
          <w:ilvl w:val="3"/>
          <w:numId w:val="25"/>
        </w:numPr>
        <w:tabs>
          <w:tab w:val="clear" w:pos="2268"/>
        </w:tabs>
        <w:spacing w:beforeLines="0" w:line="540" w:lineRule="exact"/>
        <w:ind w:left="420"/>
        <w:rPr>
          <w:rFonts w:ascii="宋体" w:hAnsi="宋体" w:eastAsia="宋体"/>
          <w:snapToGrid w:val="0"/>
          <w:color w:val="000000"/>
          <w:sz w:val="24"/>
          <w:szCs w:val="24"/>
        </w:rPr>
      </w:pPr>
      <w:r>
        <w:rPr>
          <w:rFonts w:hint="eastAsia" w:ascii="宋体" w:hAnsi="宋体" w:eastAsia="宋体"/>
          <w:snapToGrid w:val="0"/>
          <w:color w:val="000000"/>
          <w:sz w:val="24"/>
          <w:szCs w:val="24"/>
        </w:rPr>
        <w:t>只使用冲洗或棉签来清除眼中的异物；</w:t>
      </w:r>
    </w:p>
    <w:p w14:paraId="2420AF0A">
      <w:pPr>
        <w:numPr>
          <w:ilvl w:val="3"/>
          <w:numId w:val="25"/>
        </w:numPr>
        <w:tabs>
          <w:tab w:val="clear" w:pos="2268"/>
        </w:tabs>
        <w:spacing w:beforeLines="0" w:line="540" w:lineRule="exact"/>
        <w:ind w:left="420"/>
        <w:rPr>
          <w:rFonts w:ascii="宋体" w:hAnsi="宋体" w:eastAsia="宋体"/>
          <w:snapToGrid w:val="0"/>
          <w:color w:val="000000"/>
          <w:sz w:val="24"/>
          <w:szCs w:val="24"/>
        </w:rPr>
      </w:pPr>
      <w:r>
        <w:rPr>
          <w:rFonts w:hint="eastAsia" w:ascii="宋体" w:hAnsi="宋体" w:eastAsia="宋体"/>
          <w:snapToGrid w:val="0"/>
          <w:color w:val="000000"/>
          <w:sz w:val="24"/>
          <w:szCs w:val="24"/>
        </w:rPr>
        <w:t>使用非刚性的方法进行支撑，例如弹性绷带、护套、非刚性的腰背带等；</w:t>
      </w:r>
    </w:p>
    <w:p w14:paraId="355AD069">
      <w:pPr>
        <w:numPr>
          <w:ilvl w:val="3"/>
          <w:numId w:val="25"/>
        </w:numPr>
        <w:tabs>
          <w:tab w:val="clear" w:pos="2268"/>
        </w:tabs>
        <w:spacing w:beforeLines="0" w:line="540" w:lineRule="exact"/>
        <w:ind w:left="420"/>
        <w:rPr>
          <w:rFonts w:ascii="宋体" w:hAnsi="宋体" w:eastAsia="宋体"/>
          <w:snapToGrid w:val="0"/>
          <w:color w:val="000000"/>
          <w:sz w:val="24"/>
          <w:szCs w:val="24"/>
        </w:rPr>
      </w:pPr>
      <w:r>
        <w:rPr>
          <w:rFonts w:hint="eastAsia" w:ascii="宋体" w:hAnsi="宋体" w:eastAsia="宋体"/>
          <w:snapToGrid w:val="0"/>
          <w:color w:val="000000"/>
          <w:sz w:val="24"/>
          <w:szCs w:val="24"/>
        </w:rPr>
        <w:t>使用手指防护装置等。</w:t>
      </w:r>
    </w:p>
    <w:p w14:paraId="4A81FBBF">
      <w:pPr>
        <w:numPr>
          <w:ilvl w:val="0"/>
          <w:numId w:val="26"/>
        </w:numPr>
        <w:tabs>
          <w:tab w:val="left" w:pos="360"/>
        </w:tabs>
        <w:spacing w:beforeLines="0" w:line="540" w:lineRule="exact"/>
        <w:rPr>
          <w:rFonts w:ascii="宋体" w:hAnsi="宋体" w:eastAsia="宋体"/>
          <w:snapToGrid w:val="0"/>
          <w:color w:val="000000"/>
          <w:sz w:val="24"/>
          <w:szCs w:val="24"/>
        </w:rPr>
      </w:pPr>
      <w:r>
        <w:rPr>
          <w:rFonts w:hint="eastAsia" w:ascii="宋体" w:hAnsi="宋体" w:eastAsia="宋体"/>
          <w:snapToGrid w:val="0"/>
          <w:color w:val="000000"/>
          <w:sz w:val="24"/>
          <w:szCs w:val="24"/>
        </w:rPr>
        <w:t>未遂事件：</w:t>
      </w:r>
    </w:p>
    <w:p w14:paraId="741F9821">
      <w:pPr>
        <w:spacing w:beforeLines="0" w:line="540" w:lineRule="exact"/>
        <w:ind w:firstLine="540" w:firstLineChars="225"/>
        <w:rPr>
          <w:rFonts w:ascii="宋体" w:hAnsi="宋体" w:eastAsia="宋体"/>
          <w:snapToGrid w:val="0"/>
          <w:sz w:val="24"/>
          <w:szCs w:val="24"/>
        </w:rPr>
      </w:pPr>
      <w:r>
        <w:rPr>
          <w:rFonts w:hint="eastAsia" w:ascii="宋体" w:hAnsi="宋体" w:eastAsia="宋体"/>
          <w:snapToGrid w:val="0"/>
          <w:sz w:val="24"/>
          <w:szCs w:val="24"/>
        </w:rPr>
        <w:t>未造成人员伤害但是可能会导致工业事故的事件，未遂事件分为严重未遂事件、普通未遂事件。</w:t>
      </w:r>
    </w:p>
    <w:p w14:paraId="2CC51112">
      <w:pPr>
        <w:numPr>
          <w:ilvl w:val="0"/>
          <w:numId w:val="27"/>
        </w:numPr>
        <w:tabs>
          <w:tab w:val="clear" w:pos="1848"/>
        </w:tabs>
        <w:spacing w:beforeLines="0" w:line="540" w:lineRule="exact"/>
        <w:ind w:left="420"/>
        <w:rPr>
          <w:rFonts w:ascii="宋体" w:hAnsi="宋体" w:eastAsia="宋体"/>
          <w:snapToGrid w:val="0"/>
          <w:color w:val="000000"/>
          <w:sz w:val="24"/>
          <w:szCs w:val="24"/>
        </w:rPr>
      </w:pPr>
      <w:r>
        <w:rPr>
          <w:rFonts w:hint="eastAsia" w:ascii="宋体" w:hAnsi="宋体" w:eastAsia="宋体"/>
          <w:snapToGrid w:val="0"/>
          <w:color w:val="000000"/>
          <w:sz w:val="24"/>
          <w:szCs w:val="24"/>
        </w:rPr>
        <w:t>严重未遂事件：指已经发生，未构成事故，潜在后果严重，可能导致人员死亡、重伤的意外事件。满足下列条件的可确定为严重未遂（举例）：</w:t>
      </w:r>
    </w:p>
    <w:p w14:paraId="2861FD5A">
      <w:pPr>
        <w:numPr>
          <w:ilvl w:val="0"/>
          <w:numId w:val="27"/>
        </w:numPr>
        <w:tabs>
          <w:tab w:val="clear" w:pos="1848"/>
        </w:tabs>
        <w:spacing w:beforeLines="0" w:line="540" w:lineRule="exact"/>
        <w:ind w:left="420"/>
        <w:rPr>
          <w:rFonts w:ascii="宋体" w:hAnsi="宋体" w:eastAsia="宋体"/>
          <w:snapToGrid w:val="0"/>
          <w:color w:val="000000"/>
          <w:sz w:val="24"/>
          <w:szCs w:val="24"/>
        </w:rPr>
      </w:pPr>
      <w:r>
        <w:rPr>
          <w:rFonts w:hint="eastAsia" w:ascii="宋体" w:hAnsi="宋体" w:eastAsia="宋体"/>
          <w:snapToGrid w:val="0"/>
          <w:color w:val="000000"/>
          <w:sz w:val="24"/>
          <w:szCs w:val="24"/>
        </w:rPr>
        <w:t>脚手架坍塌时人员及时撤离、躲避或不在现场；</w:t>
      </w:r>
    </w:p>
    <w:p w14:paraId="247E4FFD">
      <w:pPr>
        <w:numPr>
          <w:ilvl w:val="0"/>
          <w:numId w:val="27"/>
        </w:numPr>
        <w:tabs>
          <w:tab w:val="clear" w:pos="1848"/>
        </w:tabs>
        <w:spacing w:beforeLines="0" w:line="540" w:lineRule="exact"/>
        <w:ind w:left="420"/>
        <w:rPr>
          <w:rFonts w:ascii="宋体" w:hAnsi="宋体" w:eastAsia="宋体"/>
          <w:snapToGrid w:val="0"/>
          <w:color w:val="000000"/>
          <w:sz w:val="24"/>
          <w:szCs w:val="24"/>
        </w:rPr>
      </w:pPr>
      <w:r>
        <w:rPr>
          <w:rFonts w:hint="eastAsia" w:ascii="宋体" w:hAnsi="宋体" w:eastAsia="宋体"/>
          <w:snapToGrid w:val="0"/>
          <w:color w:val="000000"/>
          <w:sz w:val="24"/>
          <w:szCs w:val="24"/>
        </w:rPr>
        <w:t>吊运物品过程中挂碰周围设备（施），造成周围设备（施）划痕、变形、不可用但未造成人员受伤的；</w:t>
      </w:r>
    </w:p>
    <w:p w14:paraId="5C43A6CB">
      <w:pPr>
        <w:numPr>
          <w:ilvl w:val="0"/>
          <w:numId w:val="27"/>
        </w:numPr>
        <w:tabs>
          <w:tab w:val="clear" w:pos="1848"/>
        </w:tabs>
        <w:spacing w:beforeLines="0" w:line="540" w:lineRule="exact"/>
        <w:ind w:left="420"/>
        <w:rPr>
          <w:rFonts w:ascii="宋体" w:hAnsi="宋体" w:eastAsia="宋体"/>
          <w:snapToGrid w:val="0"/>
          <w:color w:val="000000"/>
          <w:sz w:val="24"/>
          <w:szCs w:val="24"/>
        </w:rPr>
      </w:pPr>
      <w:r>
        <w:rPr>
          <w:rFonts w:hint="eastAsia" w:ascii="宋体" w:hAnsi="宋体" w:eastAsia="宋体"/>
          <w:snapToGrid w:val="0"/>
          <w:color w:val="000000"/>
          <w:sz w:val="24"/>
          <w:szCs w:val="24"/>
        </w:rPr>
        <w:t>车辆倾翻但未造成人员受伤的；</w:t>
      </w:r>
    </w:p>
    <w:p w14:paraId="4D620F95">
      <w:pPr>
        <w:numPr>
          <w:ilvl w:val="0"/>
          <w:numId w:val="27"/>
        </w:numPr>
        <w:tabs>
          <w:tab w:val="clear" w:pos="1848"/>
        </w:tabs>
        <w:spacing w:beforeLines="0" w:line="540" w:lineRule="exact"/>
        <w:ind w:left="420"/>
        <w:rPr>
          <w:rFonts w:ascii="宋体" w:hAnsi="宋体" w:eastAsia="宋体"/>
          <w:snapToGrid w:val="0"/>
          <w:color w:val="000000"/>
          <w:sz w:val="24"/>
          <w:szCs w:val="24"/>
        </w:rPr>
      </w:pPr>
      <w:r>
        <w:rPr>
          <w:rFonts w:hint="eastAsia" w:ascii="宋体" w:hAnsi="宋体" w:eastAsia="宋体"/>
          <w:snapToGrid w:val="0"/>
          <w:color w:val="000000"/>
          <w:sz w:val="24"/>
          <w:szCs w:val="24"/>
        </w:rPr>
        <w:t>物品运输、装卸过程中坠落倾翻，但未造成人员受伤的；</w:t>
      </w:r>
    </w:p>
    <w:p w14:paraId="27B373C0">
      <w:pPr>
        <w:numPr>
          <w:ilvl w:val="0"/>
          <w:numId w:val="27"/>
        </w:numPr>
        <w:tabs>
          <w:tab w:val="clear" w:pos="1848"/>
        </w:tabs>
        <w:spacing w:beforeLines="0" w:line="540" w:lineRule="exact"/>
        <w:ind w:left="420"/>
        <w:rPr>
          <w:rFonts w:ascii="宋体" w:hAnsi="宋体" w:eastAsia="宋体"/>
          <w:snapToGrid w:val="0"/>
          <w:color w:val="000000"/>
          <w:sz w:val="24"/>
          <w:szCs w:val="24"/>
        </w:rPr>
      </w:pPr>
      <w:r>
        <w:rPr>
          <w:rFonts w:hint="eastAsia" w:ascii="宋体" w:hAnsi="宋体" w:eastAsia="宋体"/>
          <w:snapToGrid w:val="0"/>
          <w:color w:val="000000"/>
          <w:sz w:val="24"/>
          <w:szCs w:val="24"/>
        </w:rPr>
        <w:t>较重物体从高处落下或突然弹射出，未砸到人，或人员不在场但落在人行通道上；</w:t>
      </w:r>
    </w:p>
    <w:p w14:paraId="2D59C44D">
      <w:pPr>
        <w:numPr>
          <w:ilvl w:val="0"/>
          <w:numId w:val="27"/>
        </w:numPr>
        <w:tabs>
          <w:tab w:val="clear" w:pos="1848"/>
        </w:tabs>
        <w:spacing w:beforeLines="0" w:line="540" w:lineRule="exact"/>
        <w:ind w:left="420"/>
        <w:rPr>
          <w:rFonts w:ascii="宋体" w:hAnsi="宋体" w:eastAsia="宋体"/>
          <w:snapToGrid w:val="0"/>
          <w:color w:val="000000"/>
          <w:sz w:val="24"/>
          <w:szCs w:val="24"/>
        </w:rPr>
      </w:pPr>
      <w:r>
        <w:rPr>
          <w:rFonts w:hint="eastAsia" w:ascii="宋体" w:hAnsi="宋体" w:eastAsia="宋体"/>
          <w:snapToGrid w:val="0"/>
          <w:color w:val="000000"/>
          <w:sz w:val="24"/>
          <w:szCs w:val="24"/>
        </w:rPr>
        <w:t>无证作业、作业中发现隔离边界不完整，误操作（如误合刀闸、误开或误关重要阀门）或操作严重漏项，且有较大人身伤害或主要设备损坏风险；</w:t>
      </w:r>
    </w:p>
    <w:p w14:paraId="61D54746">
      <w:pPr>
        <w:numPr>
          <w:ilvl w:val="0"/>
          <w:numId w:val="27"/>
        </w:numPr>
        <w:tabs>
          <w:tab w:val="clear" w:pos="1848"/>
        </w:tabs>
        <w:spacing w:beforeLines="0" w:line="540" w:lineRule="exact"/>
        <w:ind w:left="420"/>
        <w:rPr>
          <w:rFonts w:ascii="宋体" w:hAnsi="宋体" w:eastAsia="宋体"/>
          <w:snapToGrid w:val="0"/>
          <w:color w:val="000000"/>
          <w:sz w:val="24"/>
          <w:szCs w:val="24"/>
        </w:rPr>
      </w:pPr>
      <w:r>
        <w:rPr>
          <w:rFonts w:hint="eastAsia" w:ascii="宋体" w:hAnsi="宋体" w:eastAsia="宋体"/>
          <w:snapToGrid w:val="0"/>
          <w:color w:val="000000"/>
          <w:sz w:val="24"/>
          <w:szCs w:val="24"/>
        </w:rPr>
        <w:t>人员高处坠落（2m及以上），但因保护设施起作用或缓冲等因素避免人员受伤的；</w:t>
      </w:r>
    </w:p>
    <w:p w14:paraId="6D71B826">
      <w:pPr>
        <w:numPr>
          <w:ilvl w:val="0"/>
          <w:numId w:val="27"/>
        </w:numPr>
        <w:tabs>
          <w:tab w:val="clear" w:pos="1848"/>
        </w:tabs>
        <w:spacing w:beforeLines="0" w:line="540" w:lineRule="exact"/>
        <w:ind w:left="420"/>
        <w:rPr>
          <w:rFonts w:ascii="宋体" w:hAnsi="宋体" w:eastAsia="宋体"/>
          <w:snapToGrid w:val="0"/>
          <w:color w:val="000000"/>
          <w:sz w:val="24"/>
          <w:szCs w:val="24"/>
        </w:rPr>
      </w:pPr>
      <w:r>
        <w:rPr>
          <w:rFonts w:hint="eastAsia" w:ascii="宋体" w:hAnsi="宋体" w:eastAsia="宋体"/>
          <w:snapToGrid w:val="0"/>
          <w:color w:val="000000"/>
          <w:sz w:val="24"/>
          <w:szCs w:val="24"/>
        </w:rPr>
        <w:t>作业过程中安全防护装置发生故障（如起重机电梯限位、紧急制动失效）；</w:t>
      </w:r>
    </w:p>
    <w:p w14:paraId="1A6E1890">
      <w:pPr>
        <w:numPr>
          <w:ilvl w:val="0"/>
          <w:numId w:val="27"/>
        </w:numPr>
        <w:tabs>
          <w:tab w:val="clear" w:pos="1848"/>
        </w:tabs>
        <w:spacing w:beforeLines="0" w:line="540" w:lineRule="exact"/>
        <w:ind w:left="420"/>
        <w:rPr>
          <w:rFonts w:ascii="宋体" w:hAnsi="宋体" w:eastAsia="宋体"/>
          <w:snapToGrid w:val="0"/>
          <w:color w:val="000000"/>
          <w:sz w:val="24"/>
          <w:szCs w:val="24"/>
        </w:rPr>
      </w:pPr>
      <w:r>
        <w:rPr>
          <w:rFonts w:hint="eastAsia" w:ascii="宋体" w:hAnsi="宋体" w:eastAsia="宋体"/>
          <w:snapToGrid w:val="0"/>
          <w:color w:val="000000"/>
          <w:sz w:val="24"/>
          <w:szCs w:val="24"/>
        </w:rPr>
        <w:t>高温（</w:t>
      </w:r>
      <w:r>
        <w:rPr>
          <w:rFonts w:ascii="宋体" w:hAnsi="宋体" w:eastAsia="宋体"/>
          <w:snapToGrid w:val="0"/>
          <w:color w:val="000000"/>
          <w:sz w:val="24"/>
          <w:szCs w:val="24"/>
        </w:rPr>
        <w:t>≥</w:t>
      </w:r>
      <w:r>
        <w:rPr>
          <w:rFonts w:hint="eastAsia" w:ascii="宋体" w:hAnsi="宋体" w:eastAsia="宋体"/>
          <w:snapToGrid w:val="0"/>
          <w:color w:val="000000"/>
          <w:sz w:val="24"/>
          <w:szCs w:val="24"/>
        </w:rPr>
        <w:t>70</w:t>
      </w:r>
      <w:r>
        <w:rPr>
          <w:rFonts w:ascii="宋体" w:hAnsi="宋体" w:eastAsia="宋体"/>
          <w:snapToGrid w:val="0"/>
          <w:color w:val="000000"/>
          <w:sz w:val="24"/>
          <w:szCs w:val="24"/>
        </w:rPr>
        <w:t>℃</w:t>
      </w:r>
      <w:r>
        <w:rPr>
          <w:rFonts w:hint="eastAsia" w:ascii="宋体" w:hAnsi="宋体" w:eastAsia="宋体"/>
          <w:snapToGrid w:val="0"/>
          <w:color w:val="000000"/>
          <w:sz w:val="24"/>
          <w:szCs w:val="24"/>
        </w:rPr>
        <w:t>）、高压水（水蒸气、绝对压力＞1bar）、低温液体（液N2）等危险品突然泄漏喷射，没有造成在场人员的受伤的；</w:t>
      </w:r>
    </w:p>
    <w:p w14:paraId="10E9F595">
      <w:pPr>
        <w:numPr>
          <w:ilvl w:val="0"/>
          <w:numId w:val="27"/>
        </w:numPr>
        <w:tabs>
          <w:tab w:val="clear" w:pos="1848"/>
        </w:tabs>
        <w:spacing w:beforeLines="0" w:line="540" w:lineRule="exact"/>
        <w:ind w:left="420"/>
        <w:rPr>
          <w:rFonts w:ascii="宋体" w:hAnsi="宋体" w:eastAsia="宋体"/>
          <w:snapToGrid w:val="0"/>
          <w:color w:val="000000"/>
          <w:sz w:val="24"/>
          <w:szCs w:val="24"/>
        </w:rPr>
      </w:pPr>
      <w:r>
        <w:rPr>
          <w:rFonts w:hint="eastAsia" w:ascii="宋体" w:hAnsi="宋体" w:eastAsia="宋体"/>
          <w:snapToGrid w:val="0"/>
          <w:color w:val="000000"/>
          <w:sz w:val="24"/>
          <w:szCs w:val="24"/>
        </w:rPr>
        <w:t>设备、设施的专设安全保护装置在非控情况下被拆除，如格栅、盖板、围栏、转动机械防护装置，给人员带来较大伤害风险；</w:t>
      </w:r>
    </w:p>
    <w:p w14:paraId="71628093">
      <w:pPr>
        <w:numPr>
          <w:ilvl w:val="0"/>
          <w:numId w:val="27"/>
        </w:numPr>
        <w:tabs>
          <w:tab w:val="clear" w:pos="1848"/>
        </w:tabs>
        <w:spacing w:beforeLines="0" w:line="540" w:lineRule="exact"/>
        <w:ind w:left="420"/>
        <w:rPr>
          <w:rFonts w:ascii="宋体" w:hAnsi="宋体" w:eastAsia="宋体"/>
          <w:snapToGrid w:val="0"/>
          <w:color w:val="000000"/>
          <w:sz w:val="24"/>
          <w:szCs w:val="24"/>
        </w:rPr>
      </w:pPr>
      <w:r>
        <w:rPr>
          <w:rFonts w:hint="eastAsia" w:ascii="宋体" w:hAnsi="宋体" w:eastAsia="宋体"/>
          <w:snapToGrid w:val="0"/>
          <w:color w:val="000000"/>
          <w:sz w:val="24"/>
          <w:szCs w:val="24"/>
        </w:rPr>
        <w:t>可导致人员窒息、中毒、触电、淹溺的作业，未采取有效措施且已出现较大伤害风险；</w:t>
      </w:r>
    </w:p>
    <w:p w14:paraId="7E95D437">
      <w:pPr>
        <w:numPr>
          <w:ilvl w:val="0"/>
          <w:numId w:val="27"/>
        </w:numPr>
        <w:tabs>
          <w:tab w:val="clear" w:pos="1848"/>
        </w:tabs>
        <w:spacing w:beforeLines="0" w:line="540" w:lineRule="exact"/>
        <w:ind w:left="420"/>
        <w:rPr>
          <w:rFonts w:ascii="宋体" w:hAnsi="宋体" w:eastAsia="宋体"/>
          <w:snapToGrid w:val="0"/>
          <w:color w:val="000000"/>
          <w:sz w:val="24"/>
          <w:szCs w:val="24"/>
        </w:rPr>
      </w:pPr>
      <w:r>
        <w:rPr>
          <w:rFonts w:hint="eastAsia" w:ascii="宋体" w:hAnsi="宋体" w:eastAsia="宋体"/>
          <w:snapToGrid w:val="0"/>
          <w:color w:val="000000"/>
          <w:sz w:val="24"/>
          <w:szCs w:val="24"/>
        </w:rPr>
        <w:t>经甲方认定的对人身有重大伤害风险的事件。</w:t>
      </w:r>
    </w:p>
    <w:p w14:paraId="13838289">
      <w:pPr>
        <w:numPr>
          <w:ilvl w:val="0"/>
          <w:numId w:val="28"/>
        </w:numPr>
        <w:tabs>
          <w:tab w:val="left" w:pos="900"/>
        </w:tabs>
        <w:spacing w:beforeLines="0" w:line="540" w:lineRule="exact"/>
        <w:rPr>
          <w:rFonts w:ascii="宋体" w:hAnsi="宋体" w:eastAsia="宋体"/>
          <w:snapToGrid w:val="0"/>
          <w:color w:val="000000"/>
          <w:sz w:val="24"/>
          <w:szCs w:val="24"/>
        </w:rPr>
      </w:pPr>
      <w:r>
        <w:rPr>
          <w:rFonts w:hint="eastAsia" w:ascii="宋体" w:hAnsi="宋体" w:eastAsia="宋体"/>
          <w:snapToGrid w:val="0"/>
          <w:color w:val="000000"/>
          <w:sz w:val="24"/>
          <w:szCs w:val="24"/>
        </w:rPr>
        <w:t>普通未遂事件：指已经发生未构成事件，潜在后果一般的意外事件。满足下列条件的可确定为普通未遂（举例）：</w:t>
      </w:r>
    </w:p>
    <w:p w14:paraId="15E9D1F6">
      <w:pPr>
        <w:numPr>
          <w:ilvl w:val="0"/>
          <w:numId w:val="29"/>
        </w:numPr>
        <w:spacing w:beforeLines="0" w:line="540" w:lineRule="exact"/>
        <w:rPr>
          <w:rFonts w:ascii="宋体" w:hAnsi="宋体" w:eastAsia="宋体"/>
          <w:snapToGrid w:val="0"/>
          <w:color w:val="000000"/>
          <w:sz w:val="24"/>
          <w:szCs w:val="24"/>
        </w:rPr>
      </w:pPr>
      <w:r>
        <w:rPr>
          <w:rFonts w:hint="eastAsia" w:ascii="宋体" w:hAnsi="宋体" w:eastAsia="宋体"/>
          <w:snapToGrid w:val="0"/>
          <w:color w:val="000000"/>
          <w:sz w:val="24"/>
          <w:szCs w:val="24"/>
        </w:rPr>
        <w:t>较轻物体（如手电、小工具）高处坠落未砸（击）到人；</w:t>
      </w:r>
    </w:p>
    <w:p w14:paraId="0CE42286">
      <w:pPr>
        <w:numPr>
          <w:ilvl w:val="0"/>
          <w:numId w:val="29"/>
        </w:numPr>
        <w:spacing w:beforeLines="0" w:line="540" w:lineRule="exact"/>
        <w:rPr>
          <w:rFonts w:ascii="宋体" w:hAnsi="宋体" w:eastAsia="宋体"/>
          <w:snapToGrid w:val="0"/>
          <w:color w:val="000000"/>
          <w:sz w:val="24"/>
          <w:szCs w:val="24"/>
        </w:rPr>
      </w:pPr>
      <w:r>
        <w:rPr>
          <w:rFonts w:hint="eastAsia" w:ascii="宋体" w:hAnsi="宋体" w:eastAsia="宋体"/>
          <w:snapToGrid w:val="0"/>
          <w:color w:val="000000"/>
          <w:sz w:val="24"/>
          <w:szCs w:val="24"/>
        </w:rPr>
        <w:t>走错间隔，有人身伤害风险，但未造成后果；</w:t>
      </w:r>
    </w:p>
    <w:p w14:paraId="55A44AC4">
      <w:pPr>
        <w:numPr>
          <w:ilvl w:val="0"/>
          <w:numId w:val="29"/>
        </w:numPr>
        <w:spacing w:beforeLines="0" w:line="540" w:lineRule="exact"/>
        <w:rPr>
          <w:rFonts w:ascii="宋体" w:hAnsi="宋体" w:eastAsia="宋体"/>
          <w:snapToGrid w:val="0"/>
          <w:color w:val="000000"/>
          <w:sz w:val="24"/>
          <w:szCs w:val="24"/>
        </w:rPr>
      </w:pPr>
      <w:r>
        <w:rPr>
          <w:rFonts w:hint="eastAsia" w:ascii="宋体" w:hAnsi="宋体" w:eastAsia="宋体"/>
          <w:snapToGrid w:val="0"/>
          <w:color w:val="000000"/>
          <w:sz w:val="24"/>
          <w:szCs w:val="24"/>
        </w:rPr>
        <w:t>错用工作票作业，工作开始前被发现且潜在后果存在人身伤害风险；</w:t>
      </w:r>
    </w:p>
    <w:p w14:paraId="506F5FED">
      <w:pPr>
        <w:numPr>
          <w:ilvl w:val="0"/>
          <w:numId w:val="29"/>
        </w:numPr>
        <w:spacing w:beforeLines="0" w:line="540" w:lineRule="exact"/>
        <w:rPr>
          <w:rFonts w:ascii="宋体" w:hAnsi="宋体" w:eastAsia="宋体"/>
          <w:snapToGrid w:val="0"/>
          <w:color w:val="000000"/>
          <w:sz w:val="24"/>
          <w:szCs w:val="24"/>
        </w:rPr>
      </w:pPr>
      <w:r>
        <w:rPr>
          <w:rFonts w:hint="eastAsia" w:ascii="宋体" w:hAnsi="宋体" w:eastAsia="宋体"/>
          <w:snapToGrid w:val="0"/>
          <w:color w:val="000000"/>
          <w:sz w:val="24"/>
          <w:szCs w:val="24"/>
        </w:rPr>
        <w:t>造成人员失足、失手、身体不适的作业条件（如孔洞、照明、通风），并已给人员带来普通风险。</w:t>
      </w:r>
    </w:p>
    <w:p w14:paraId="1BB07384">
      <w:pPr>
        <w:numPr>
          <w:ilvl w:val="0"/>
          <w:numId w:val="30"/>
        </w:numPr>
        <w:tabs>
          <w:tab w:val="left" w:pos="360"/>
        </w:tabs>
        <w:spacing w:beforeLines="0" w:line="540" w:lineRule="exact"/>
        <w:rPr>
          <w:rFonts w:ascii="宋体" w:hAnsi="宋体" w:eastAsia="宋体"/>
          <w:snapToGrid w:val="0"/>
          <w:color w:val="000000"/>
          <w:sz w:val="24"/>
          <w:szCs w:val="24"/>
        </w:rPr>
      </w:pPr>
      <w:r>
        <w:rPr>
          <w:rFonts w:hint="eastAsia" w:ascii="宋体" w:hAnsi="宋体" w:eastAsia="宋体"/>
          <w:snapToGrid w:val="0"/>
          <w:color w:val="000000"/>
          <w:sz w:val="24"/>
          <w:szCs w:val="24"/>
        </w:rPr>
        <w:t xml:space="preserve"> 异常事件：任何未构成未遂事故的不安全的条件、设备/设施缺陷违章行为、不良工作习惯等不构成未遂事故的事件；或</w:t>
      </w:r>
      <w:r>
        <w:rPr>
          <w:rStyle w:val="54"/>
          <w:rFonts w:hint="eastAsia" w:ascii="新宋体" w:hAnsi="新宋体" w:eastAsia="新宋体" w:cs="新宋体"/>
          <w:b w:val="0"/>
          <w:bCs w:val="0"/>
          <w:sz w:val="24"/>
          <w:szCs w:val="24"/>
        </w:rPr>
        <w:t>主设备被迫停运12h以内、火灾一次损失0.2万以下等生产安全事件。</w:t>
      </w:r>
    </w:p>
    <w:p w14:paraId="03083E3C">
      <w:pPr>
        <w:tabs>
          <w:tab w:val="left" w:pos="360"/>
        </w:tabs>
        <w:spacing w:beforeLines="0" w:line="540" w:lineRule="exact"/>
        <w:rPr>
          <w:rStyle w:val="54"/>
          <w:rFonts w:ascii="新宋体" w:hAnsi="新宋体" w:eastAsia="新宋体" w:cs="新宋体"/>
          <w:b w:val="0"/>
          <w:bCs w:val="0"/>
          <w:sz w:val="24"/>
          <w:szCs w:val="24"/>
        </w:rPr>
      </w:pPr>
      <w:r>
        <w:rPr>
          <w:rFonts w:hint="eastAsia" w:ascii="宋体" w:hAnsi="宋体" w:eastAsia="宋体"/>
          <w:snapToGrid w:val="0"/>
          <w:color w:val="000000"/>
          <w:sz w:val="24"/>
          <w:szCs w:val="24"/>
        </w:rPr>
        <w:t>12.一类障碍：</w:t>
      </w:r>
      <w:r>
        <w:rPr>
          <w:rFonts w:hint="eastAsia" w:ascii="新宋体" w:hAnsi="新宋体" w:eastAsia="新宋体" w:cs="新宋体"/>
          <w:sz w:val="24"/>
          <w:szCs w:val="24"/>
          <w:shd w:val="clear" w:color="auto" w:fill="FFFFFF"/>
        </w:rPr>
        <w:t>主设备被迫停运超过48h低于96小于、火灾一次损失0.5万—1万元、恶性电气误操作（如带负荷拉、合隔离刀闸等）等安全生产事件。</w:t>
      </w:r>
    </w:p>
    <w:p w14:paraId="78C4FE96">
      <w:pPr>
        <w:tabs>
          <w:tab w:val="left" w:pos="360"/>
        </w:tabs>
        <w:spacing w:beforeLines="0" w:line="540" w:lineRule="exact"/>
        <w:rPr>
          <w:rStyle w:val="54"/>
          <w:rFonts w:ascii="新宋体" w:hAnsi="新宋体" w:eastAsia="新宋体" w:cs="新宋体"/>
          <w:b w:val="0"/>
          <w:bCs w:val="0"/>
          <w:sz w:val="24"/>
          <w:szCs w:val="24"/>
        </w:rPr>
      </w:pPr>
      <w:r>
        <w:rPr>
          <w:rStyle w:val="54"/>
          <w:rFonts w:hint="eastAsia" w:ascii="新宋体" w:hAnsi="新宋体" w:eastAsia="新宋体" w:cs="新宋体"/>
          <w:b w:val="0"/>
          <w:bCs w:val="0"/>
          <w:sz w:val="24"/>
          <w:szCs w:val="24"/>
        </w:rPr>
        <w:t>13.二类障碍：主设备被迫停运超过12h低于48h、火灾一次损失0.2万—0.5万、误操作引起主设备被迫停运等安全生产事件。</w:t>
      </w:r>
    </w:p>
    <w:p w14:paraId="3DBAF330">
      <w:pPr>
        <w:tabs>
          <w:tab w:val="left" w:pos="360"/>
        </w:tabs>
        <w:spacing w:beforeLines="0" w:line="540" w:lineRule="exact"/>
        <w:rPr>
          <w:rFonts w:ascii="宋体" w:hAnsi="宋体" w:eastAsia="宋体"/>
          <w:snapToGrid w:val="0"/>
          <w:color w:val="000000"/>
          <w:sz w:val="24"/>
          <w:szCs w:val="24"/>
        </w:rPr>
      </w:pPr>
      <w:r>
        <w:rPr>
          <w:rFonts w:hint="eastAsia" w:ascii="宋体" w:hAnsi="宋体" w:eastAsia="宋体"/>
          <w:snapToGrid w:val="0"/>
          <w:color w:val="000000"/>
          <w:sz w:val="24"/>
          <w:szCs w:val="24"/>
        </w:rPr>
        <w:t>14.一类设备缺陷：严重威胁系统主设备安全运行及人身安全的或已造成发电出力降低和影响对外输送电力的重大缺陷。</w:t>
      </w:r>
    </w:p>
    <w:p w14:paraId="0E45FE67">
      <w:pPr>
        <w:tabs>
          <w:tab w:val="left" w:pos="360"/>
        </w:tabs>
        <w:spacing w:beforeLines="0" w:line="540" w:lineRule="exact"/>
        <w:rPr>
          <w:rFonts w:ascii="宋体" w:hAnsi="宋体" w:eastAsia="宋体"/>
          <w:snapToGrid w:val="0"/>
          <w:color w:val="000000"/>
          <w:sz w:val="24"/>
          <w:szCs w:val="24"/>
        </w:rPr>
      </w:pPr>
      <w:r>
        <w:rPr>
          <w:rFonts w:hint="eastAsia" w:ascii="宋体" w:hAnsi="宋体" w:eastAsia="宋体"/>
          <w:snapToGrid w:val="0"/>
          <w:color w:val="000000"/>
          <w:sz w:val="24"/>
          <w:szCs w:val="24"/>
        </w:rPr>
        <w:t>15.二类设备缺陷：暂时不影响机组继续运行，但对设备安全经济运行和人身安全有一定的威胁，继续发展将导致设备停止运行，或损坏设备，需机组停运或降低出力才能消除的缺陷。</w:t>
      </w:r>
    </w:p>
    <w:p w14:paraId="4489636C">
      <w:pPr>
        <w:tabs>
          <w:tab w:val="left" w:pos="360"/>
        </w:tabs>
        <w:spacing w:beforeLines="0" w:line="540" w:lineRule="exact"/>
        <w:rPr>
          <w:rFonts w:ascii="宋体" w:hAnsi="宋体" w:eastAsia="宋体"/>
          <w:snapToGrid w:val="0"/>
          <w:color w:val="000000"/>
          <w:sz w:val="24"/>
          <w:szCs w:val="24"/>
        </w:rPr>
      </w:pPr>
      <w:r>
        <w:rPr>
          <w:rFonts w:hint="eastAsia" w:ascii="宋体" w:hAnsi="宋体" w:eastAsia="宋体"/>
          <w:snapToGrid w:val="0"/>
          <w:color w:val="000000"/>
          <w:sz w:val="24"/>
          <w:szCs w:val="24"/>
        </w:rPr>
        <w:t>16.三类设备缺陷：不需要停用主设备或降低出力可随时消除的设备缺陷，以及不影响主设备正常运行，可结合检修或停机备用期间进行消除的缺陷。</w:t>
      </w:r>
    </w:p>
    <w:p w14:paraId="058509FF">
      <w:pPr>
        <w:numPr>
          <w:ilvl w:val="0"/>
          <w:numId w:val="31"/>
        </w:numPr>
        <w:spacing w:line="560" w:lineRule="exact"/>
        <w:rPr>
          <w:rFonts w:ascii="宋体" w:hAnsi="宋体" w:eastAsia="宋体"/>
          <w:snapToGrid w:val="0"/>
          <w:color w:val="000000"/>
          <w:sz w:val="24"/>
          <w:szCs w:val="24"/>
        </w:rPr>
        <w:sectPr>
          <w:pgSz w:w="11906" w:h="16838"/>
          <w:pgMar w:top="2098" w:right="1138" w:bottom="1985" w:left="1588" w:header="851" w:footer="992" w:gutter="0"/>
          <w:cols w:space="425" w:num="1"/>
          <w:docGrid w:type="lines" w:linePitch="579" w:charSpace="17613"/>
        </w:sectPr>
      </w:pPr>
    </w:p>
    <w:p w14:paraId="75A764D5">
      <w:pPr>
        <w:rPr>
          <w:rFonts w:ascii="仿宋" w:hAnsi="仿宋" w:eastAsia="仿宋"/>
          <w:snapToGrid w:val="0"/>
          <w:sz w:val="24"/>
          <w:szCs w:val="28"/>
        </w:rPr>
      </w:pPr>
      <w:r>
        <w:rPr>
          <w:rFonts w:hint="eastAsia" w:ascii="仿宋" w:hAnsi="仿宋" w:eastAsia="仿宋"/>
          <w:snapToGrid w:val="0"/>
          <w:sz w:val="24"/>
          <w:szCs w:val="28"/>
        </w:rPr>
        <w:t>附件2：考核条款</w:t>
      </w:r>
    </w:p>
    <w:p w14:paraId="13730E94">
      <w:pPr>
        <w:jc w:val="center"/>
        <w:rPr>
          <w:rFonts w:ascii="宋体" w:hAnsi="宋体" w:eastAsia="宋体"/>
          <w:b/>
          <w:bCs/>
          <w:snapToGrid w:val="0"/>
          <w:sz w:val="28"/>
          <w:szCs w:val="28"/>
        </w:rPr>
      </w:pPr>
      <w:r>
        <w:rPr>
          <w:rFonts w:hint="eastAsia" w:ascii="宋体" w:hAnsi="宋体" w:eastAsia="宋体"/>
          <w:b/>
          <w:bCs/>
          <w:snapToGrid w:val="0"/>
          <w:sz w:val="28"/>
          <w:szCs w:val="28"/>
        </w:rPr>
        <w:t>考核条款</w:t>
      </w:r>
    </w:p>
    <w:tbl>
      <w:tblPr>
        <w:tblStyle w:val="51"/>
        <w:tblW w:w="9466" w:type="dxa"/>
        <w:jc w:val="center"/>
        <w:tblLayout w:type="autofit"/>
        <w:tblCellMar>
          <w:top w:w="0" w:type="dxa"/>
          <w:left w:w="108" w:type="dxa"/>
          <w:bottom w:w="0" w:type="dxa"/>
          <w:right w:w="108" w:type="dxa"/>
        </w:tblCellMar>
      </w:tblPr>
      <w:tblGrid>
        <w:gridCol w:w="716"/>
        <w:gridCol w:w="5030"/>
        <w:gridCol w:w="3720"/>
      </w:tblGrid>
      <w:tr w14:paraId="1DB9060F">
        <w:trPr>
          <w:trHeight w:val="285" w:hRule="atLeast"/>
          <w:tblHeader/>
          <w:jc w:val="center"/>
        </w:trPr>
        <w:tc>
          <w:tcPr>
            <w:tcW w:w="716" w:type="dxa"/>
            <w:tcBorders>
              <w:top w:val="single" w:color="auto" w:sz="4" w:space="0"/>
              <w:left w:val="single" w:color="auto" w:sz="4" w:space="0"/>
              <w:bottom w:val="single" w:color="auto" w:sz="4" w:space="0"/>
              <w:right w:val="single" w:color="auto" w:sz="4" w:space="0"/>
            </w:tcBorders>
            <w:shd w:val="clear" w:color="auto" w:fill="auto"/>
            <w:vAlign w:val="center"/>
          </w:tcPr>
          <w:p w14:paraId="314B3CE1">
            <w:pPr>
              <w:widowControl/>
              <w:spacing w:line="360" w:lineRule="exact"/>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序号</w:t>
            </w:r>
          </w:p>
        </w:tc>
        <w:tc>
          <w:tcPr>
            <w:tcW w:w="5030" w:type="dxa"/>
            <w:tcBorders>
              <w:top w:val="single" w:color="auto" w:sz="4" w:space="0"/>
              <w:left w:val="nil"/>
              <w:bottom w:val="single" w:color="auto" w:sz="4" w:space="0"/>
              <w:right w:val="single" w:color="auto" w:sz="4" w:space="0"/>
            </w:tcBorders>
            <w:shd w:val="clear" w:color="auto" w:fill="auto"/>
            <w:vAlign w:val="center"/>
          </w:tcPr>
          <w:p w14:paraId="376F8114">
            <w:pPr>
              <w:widowControl/>
              <w:spacing w:line="360" w:lineRule="exact"/>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考核项目</w:t>
            </w:r>
          </w:p>
        </w:tc>
        <w:tc>
          <w:tcPr>
            <w:tcW w:w="3720" w:type="dxa"/>
            <w:tcBorders>
              <w:top w:val="single" w:color="auto" w:sz="4" w:space="0"/>
              <w:left w:val="nil"/>
              <w:bottom w:val="single" w:color="auto" w:sz="4" w:space="0"/>
              <w:right w:val="single" w:color="auto" w:sz="4" w:space="0"/>
            </w:tcBorders>
            <w:shd w:val="clear" w:color="auto" w:fill="auto"/>
            <w:vAlign w:val="center"/>
          </w:tcPr>
          <w:p w14:paraId="23165768">
            <w:pPr>
              <w:widowControl/>
              <w:spacing w:line="360" w:lineRule="exact"/>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考核标准</w:t>
            </w:r>
          </w:p>
        </w:tc>
      </w:tr>
      <w:tr w14:paraId="06EA9ED3">
        <w:tblPrEx>
          <w:tblCellMar>
            <w:top w:w="0" w:type="dxa"/>
            <w:left w:w="108" w:type="dxa"/>
            <w:bottom w:w="0" w:type="dxa"/>
            <w:right w:w="108" w:type="dxa"/>
          </w:tblCellMar>
        </w:tblPrEx>
        <w:trPr>
          <w:trHeight w:val="45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58A2FEE6">
            <w:pPr>
              <w:widowControl/>
              <w:spacing w:line="360" w:lineRule="exact"/>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一</w:t>
            </w:r>
          </w:p>
        </w:tc>
        <w:tc>
          <w:tcPr>
            <w:tcW w:w="8750" w:type="dxa"/>
            <w:gridSpan w:val="2"/>
            <w:tcBorders>
              <w:top w:val="nil"/>
              <w:left w:val="nil"/>
              <w:bottom w:val="single" w:color="auto" w:sz="4" w:space="0"/>
              <w:right w:val="single" w:color="auto" w:sz="4" w:space="0"/>
            </w:tcBorders>
            <w:shd w:val="clear" w:color="auto" w:fill="auto"/>
            <w:vAlign w:val="center"/>
          </w:tcPr>
          <w:p w14:paraId="7DF64755">
            <w:pPr>
              <w:widowControl/>
              <w:spacing w:line="360" w:lineRule="exact"/>
              <w:jc w:val="left"/>
              <w:rPr>
                <w:rFonts w:ascii="宋体" w:hAnsi="宋体" w:eastAsia="宋体" w:cs="宋体"/>
                <w:color w:val="000000"/>
                <w:kern w:val="0"/>
                <w:sz w:val="24"/>
                <w:szCs w:val="24"/>
              </w:rPr>
            </w:pPr>
            <w:r>
              <w:rPr>
                <w:rFonts w:hint="eastAsia" w:ascii="宋体" w:hAnsi="宋体" w:eastAsia="宋体" w:cs="宋体"/>
                <w:b/>
                <w:bCs/>
                <w:color w:val="000000"/>
                <w:kern w:val="0"/>
                <w:sz w:val="24"/>
                <w:szCs w:val="24"/>
              </w:rPr>
              <w:t>安全目标考核</w:t>
            </w:r>
          </w:p>
        </w:tc>
      </w:tr>
      <w:tr w14:paraId="2A49438B">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29A5A834">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5030" w:type="dxa"/>
            <w:tcBorders>
              <w:top w:val="nil"/>
              <w:left w:val="nil"/>
              <w:bottom w:val="single" w:color="auto" w:sz="4" w:space="0"/>
              <w:right w:val="single" w:color="auto" w:sz="4" w:space="0"/>
            </w:tcBorders>
            <w:shd w:val="clear" w:color="auto" w:fill="auto"/>
            <w:vAlign w:val="center"/>
          </w:tcPr>
          <w:p w14:paraId="1649B485">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乙方发生责任性人身死亡事件</w:t>
            </w:r>
          </w:p>
        </w:tc>
        <w:tc>
          <w:tcPr>
            <w:tcW w:w="3720" w:type="dxa"/>
            <w:tcBorders>
              <w:top w:val="nil"/>
              <w:left w:val="nil"/>
              <w:bottom w:val="single" w:color="auto" w:sz="4" w:space="0"/>
              <w:right w:val="single" w:color="auto" w:sz="4" w:space="0"/>
            </w:tcBorders>
            <w:shd w:val="clear" w:color="auto" w:fill="auto"/>
            <w:vAlign w:val="center"/>
          </w:tcPr>
          <w:p w14:paraId="63C79B61">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乙方除接受政府主管部门的处罚和承担死者善后费用外，甲方对乙方另按每死亡一人不低于</w:t>
            </w:r>
            <w:r>
              <w:rPr>
                <w:rFonts w:ascii="宋体" w:hAnsi="宋体" w:eastAsia="宋体" w:cs="宋体"/>
                <w:color w:val="000000"/>
                <w:kern w:val="0"/>
                <w:sz w:val="24"/>
                <w:szCs w:val="24"/>
              </w:rPr>
              <w:t>10</w:t>
            </w:r>
            <w:r>
              <w:rPr>
                <w:rFonts w:hint="eastAsia" w:ascii="宋体" w:hAnsi="宋体" w:eastAsia="宋体" w:cs="宋体"/>
                <w:color w:val="000000"/>
                <w:kern w:val="0"/>
                <w:sz w:val="24"/>
                <w:szCs w:val="24"/>
              </w:rPr>
              <w:t>万元的标准进行考核。</w:t>
            </w:r>
          </w:p>
        </w:tc>
      </w:tr>
      <w:tr w14:paraId="33910918">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3A161CC5">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5030" w:type="dxa"/>
            <w:tcBorders>
              <w:top w:val="nil"/>
              <w:left w:val="nil"/>
              <w:bottom w:val="single" w:color="auto" w:sz="4" w:space="0"/>
              <w:right w:val="single" w:color="auto" w:sz="4" w:space="0"/>
            </w:tcBorders>
            <w:shd w:val="clear" w:color="auto" w:fill="auto"/>
            <w:vAlign w:val="center"/>
          </w:tcPr>
          <w:p w14:paraId="3A3C90B0">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乙方发生责任性人身重伤事件</w:t>
            </w:r>
          </w:p>
        </w:tc>
        <w:tc>
          <w:tcPr>
            <w:tcW w:w="3720" w:type="dxa"/>
            <w:tcBorders>
              <w:top w:val="nil"/>
              <w:left w:val="nil"/>
              <w:bottom w:val="single" w:color="auto" w:sz="4" w:space="0"/>
              <w:right w:val="single" w:color="auto" w:sz="4" w:space="0"/>
            </w:tcBorders>
            <w:shd w:val="clear" w:color="auto" w:fill="auto"/>
            <w:vAlign w:val="center"/>
          </w:tcPr>
          <w:p w14:paraId="5EF74199">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考核3万-5万元/人·次</w:t>
            </w:r>
          </w:p>
        </w:tc>
      </w:tr>
      <w:tr w14:paraId="61BD91FA">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5BD7AF1B">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w:t>
            </w:r>
          </w:p>
        </w:tc>
        <w:tc>
          <w:tcPr>
            <w:tcW w:w="5030" w:type="dxa"/>
            <w:tcBorders>
              <w:top w:val="nil"/>
              <w:left w:val="nil"/>
              <w:bottom w:val="single" w:color="auto" w:sz="4" w:space="0"/>
              <w:right w:val="single" w:color="auto" w:sz="4" w:space="0"/>
            </w:tcBorders>
            <w:shd w:val="clear" w:color="auto" w:fill="auto"/>
            <w:vAlign w:val="center"/>
          </w:tcPr>
          <w:p w14:paraId="212F66BB">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乙方发生责任性人身轻伤事件</w:t>
            </w:r>
          </w:p>
        </w:tc>
        <w:tc>
          <w:tcPr>
            <w:tcW w:w="3720" w:type="dxa"/>
            <w:tcBorders>
              <w:top w:val="nil"/>
              <w:left w:val="nil"/>
              <w:bottom w:val="single" w:color="auto" w:sz="4" w:space="0"/>
              <w:right w:val="single" w:color="auto" w:sz="4" w:space="0"/>
            </w:tcBorders>
            <w:shd w:val="clear" w:color="auto" w:fill="auto"/>
            <w:vAlign w:val="center"/>
          </w:tcPr>
          <w:p w14:paraId="4BA5112A">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考核1万-2万元/人·次</w:t>
            </w:r>
          </w:p>
        </w:tc>
      </w:tr>
      <w:tr w14:paraId="561C0BAC">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6615BBF4">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5030" w:type="dxa"/>
            <w:tcBorders>
              <w:top w:val="nil"/>
              <w:left w:val="nil"/>
              <w:bottom w:val="single" w:color="auto" w:sz="4" w:space="0"/>
              <w:right w:val="single" w:color="auto" w:sz="4" w:space="0"/>
            </w:tcBorders>
            <w:shd w:val="clear" w:color="auto" w:fill="auto"/>
            <w:vAlign w:val="center"/>
          </w:tcPr>
          <w:p w14:paraId="5F91131F">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乙方发生责任性人身未遂事件</w:t>
            </w:r>
          </w:p>
        </w:tc>
        <w:tc>
          <w:tcPr>
            <w:tcW w:w="3720" w:type="dxa"/>
            <w:tcBorders>
              <w:top w:val="nil"/>
              <w:left w:val="nil"/>
              <w:bottom w:val="single" w:color="auto" w:sz="4" w:space="0"/>
              <w:right w:val="single" w:color="auto" w:sz="4" w:space="0"/>
            </w:tcBorders>
            <w:shd w:val="clear" w:color="auto" w:fill="auto"/>
            <w:vAlign w:val="center"/>
          </w:tcPr>
          <w:p w14:paraId="131E8EC2">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考核</w:t>
            </w:r>
            <w:r>
              <w:rPr>
                <w:rFonts w:ascii="宋体" w:hAnsi="宋体" w:eastAsia="宋体" w:cs="宋体"/>
                <w:color w:val="000000"/>
                <w:kern w:val="0"/>
                <w:sz w:val="24"/>
                <w:szCs w:val="24"/>
              </w:rPr>
              <w:t>0.</w:t>
            </w:r>
            <w:r>
              <w:rPr>
                <w:rFonts w:hint="eastAsia" w:ascii="宋体" w:hAnsi="宋体" w:eastAsia="宋体" w:cs="宋体"/>
                <w:color w:val="000000"/>
                <w:kern w:val="0"/>
                <w:sz w:val="24"/>
                <w:szCs w:val="24"/>
              </w:rPr>
              <w:t>3万元-0.5万元/次</w:t>
            </w:r>
          </w:p>
        </w:tc>
      </w:tr>
      <w:tr w14:paraId="581D7AB7">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5BB394A5">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w:t>
            </w:r>
          </w:p>
        </w:tc>
        <w:tc>
          <w:tcPr>
            <w:tcW w:w="5030" w:type="dxa"/>
            <w:tcBorders>
              <w:top w:val="nil"/>
              <w:left w:val="nil"/>
              <w:bottom w:val="single" w:color="auto" w:sz="4" w:space="0"/>
              <w:right w:val="single" w:color="auto" w:sz="4" w:space="0"/>
            </w:tcBorders>
            <w:shd w:val="clear" w:color="auto" w:fill="auto"/>
            <w:vAlign w:val="center"/>
          </w:tcPr>
          <w:p w14:paraId="400AB87C">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发生乙方责任导致的经济损失事故</w:t>
            </w:r>
          </w:p>
        </w:tc>
        <w:tc>
          <w:tcPr>
            <w:tcW w:w="3720" w:type="dxa"/>
            <w:tcBorders>
              <w:top w:val="nil"/>
              <w:left w:val="nil"/>
              <w:bottom w:val="single" w:color="auto" w:sz="4" w:space="0"/>
              <w:right w:val="single" w:color="auto" w:sz="4" w:space="0"/>
            </w:tcBorders>
            <w:shd w:val="clear" w:color="auto" w:fill="auto"/>
            <w:vAlign w:val="center"/>
          </w:tcPr>
          <w:p w14:paraId="3124DF90">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承担相应经济损失并按损失金额的10%进行考核。</w:t>
            </w:r>
          </w:p>
        </w:tc>
      </w:tr>
      <w:tr w14:paraId="48E0DA4A">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04992A60">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6</w:t>
            </w:r>
          </w:p>
        </w:tc>
        <w:tc>
          <w:tcPr>
            <w:tcW w:w="5030" w:type="dxa"/>
            <w:tcBorders>
              <w:top w:val="nil"/>
              <w:left w:val="nil"/>
              <w:bottom w:val="single" w:color="auto" w:sz="4" w:space="0"/>
              <w:right w:val="single" w:color="auto" w:sz="4" w:space="0"/>
            </w:tcBorders>
            <w:shd w:val="clear" w:color="auto" w:fill="auto"/>
            <w:vAlign w:val="center"/>
          </w:tcPr>
          <w:p w14:paraId="3ADFC9C5">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乙方发生管辖范围内（含检修厂房、生活区域和运输车辆等）责任性火灾事故。</w:t>
            </w:r>
          </w:p>
        </w:tc>
        <w:tc>
          <w:tcPr>
            <w:tcW w:w="3720" w:type="dxa"/>
            <w:tcBorders>
              <w:top w:val="nil"/>
              <w:left w:val="nil"/>
              <w:bottom w:val="single" w:color="auto" w:sz="4" w:space="0"/>
              <w:right w:val="single" w:color="auto" w:sz="4" w:space="0"/>
            </w:tcBorders>
            <w:shd w:val="clear" w:color="auto" w:fill="auto"/>
            <w:vAlign w:val="center"/>
          </w:tcPr>
          <w:p w14:paraId="5973A446">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根据人员伤害及财产损失情况，参照以上标准分别考核。</w:t>
            </w:r>
          </w:p>
        </w:tc>
      </w:tr>
      <w:tr w14:paraId="3CB7A146">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2A425026">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7</w:t>
            </w:r>
          </w:p>
        </w:tc>
        <w:tc>
          <w:tcPr>
            <w:tcW w:w="5030" w:type="dxa"/>
            <w:tcBorders>
              <w:top w:val="nil"/>
              <w:left w:val="nil"/>
              <w:bottom w:val="single" w:color="auto" w:sz="4" w:space="0"/>
              <w:right w:val="single" w:color="auto" w:sz="4" w:space="0"/>
            </w:tcBorders>
            <w:shd w:val="clear" w:color="auto" w:fill="auto"/>
            <w:vAlign w:val="center"/>
          </w:tcPr>
          <w:p w14:paraId="5F3D0407">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乙方因管理疏忽、员工违章等原因导致工作期间或管辖范围内发生火灾险情。</w:t>
            </w:r>
          </w:p>
        </w:tc>
        <w:tc>
          <w:tcPr>
            <w:tcW w:w="3720" w:type="dxa"/>
            <w:tcBorders>
              <w:top w:val="nil"/>
              <w:left w:val="nil"/>
              <w:bottom w:val="single" w:color="auto" w:sz="4" w:space="0"/>
              <w:right w:val="single" w:color="auto" w:sz="4" w:space="0"/>
            </w:tcBorders>
            <w:shd w:val="clear" w:color="auto" w:fill="auto"/>
            <w:vAlign w:val="center"/>
          </w:tcPr>
          <w:p w14:paraId="59D75461">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考核0</w:t>
            </w:r>
            <w:r>
              <w:rPr>
                <w:rFonts w:ascii="宋体" w:hAnsi="宋体" w:eastAsia="宋体" w:cs="宋体"/>
                <w:color w:val="000000"/>
                <w:kern w:val="0"/>
                <w:sz w:val="24"/>
                <w:szCs w:val="24"/>
              </w:rPr>
              <w:t>.</w:t>
            </w:r>
            <w:r>
              <w:rPr>
                <w:rFonts w:hint="eastAsia" w:ascii="宋体" w:hAnsi="宋体" w:eastAsia="宋体" w:cs="宋体"/>
                <w:color w:val="000000"/>
                <w:kern w:val="0"/>
                <w:sz w:val="24"/>
                <w:szCs w:val="24"/>
              </w:rPr>
              <w:t>4万-1万元/次，并包赔甲方损失。</w:t>
            </w:r>
          </w:p>
        </w:tc>
      </w:tr>
      <w:tr w14:paraId="51CD4FD6">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6056C6F3">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8</w:t>
            </w:r>
          </w:p>
        </w:tc>
        <w:tc>
          <w:tcPr>
            <w:tcW w:w="5030" w:type="dxa"/>
            <w:tcBorders>
              <w:top w:val="nil"/>
              <w:left w:val="nil"/>
              <w:bottom w:val="single" w:color="auto" w:sz="4" w:space="0"/>
              <w:right w:val="single" w:color="auto" w:sz="4" w:space="0"/>
            </w:tcBorders>
            <w:shd w:val="clear" w:color="auto" w:fill="auto"/>
            <w:vAlign w:val="center"/>
          </w:tcPr>
          <w:p w14:paraId="539F4A49">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乙方在甲方范围内发生责任性交通事故</w:t>
            </w:r>
          </w:p>
        </w:tc>
        <w:tc>
          <w:tcPr>
            <w:tcW w:w="3720" w:type="dxa"/>
            <w:tcBorders>
              <w:top w:val="nil"/>
              <w:left w:val="nil"/>
              <w:bottom w:val="single" w:color="auto" w:sz="4" w:space="0"/>
              <w:right w:val="single" w:color="auto" w:sz="4" w:space="0"/>
            </w:tcBorders>
            <w:shd w:val="clear" w:color="auto" w:fill="auto"/>
            <w:vAlign w:val="center"/>
          </w:tcPr>
          <w:p w14:paraId="6949B045">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按人身伤亡、经济损失类事故考核标准执行，并包赔甲方损失。</w:t>
            </w:r>
          </w:p>
        </w:tc>
      </w:tr>
      <w:tr w14:paraId="024B9741">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26BEA681">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9</w:t>
            </w:r>
          </w:p>
        </w:tc>
        <w:tc>
          <w:tcPr>
            <w:tcW w:w="5030" w:type="dxa"/>
            <w:tcBorders>
              <w:top w:val="nil"/>
              <w:left w:val="nil"/>
              <w:bottom w:val="single" w:color="auto" w:sz="4" w:space="0"/>
              <w:right w:val="single" w:color="auto" w:sz="4" w:space="0"/>
            </w:tcBorders>
            <w:shd w:val="clear" w:color="auto" w:fill="auto"/>
            <w:vAlign w:val="center"/>
          </w:tcPr>
          <w:p w14:paraId="3817A234">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乙方管理责任导致发生、发现职业病病例。</w:t>
            </w:r>
          </w:p>
        </w:tc>
        <w:tc>
          <w:tcPr>
            <w:tcW w:w="3720" w:type="dxa"/>
            <w:tcBorders>
              <w:top w:val="nil"/>
              <w:left w:val="nil"/>
              <w:bottom w:val="single" w:color="auto" w:sz="4" w:space="0"/>
              <w:right w:val="single" w:color="auto" w:sz="4" w:space="0"/>
            </w:tcBorders>
            <w:shd w:val="clear" w:color="auto" w:fill="auto"/>
            <w:vAlign w:val="center"/>
          </w:tcPr>
          <w:p w14:paraId="7C70BAEE">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参照重伤考核标准</w:t>
            </w:r>
          </w:p>
        </w:tc>
      </w:tr>
      <w:tr w14:paraId="4D567337">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277DF397">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10</w:t>
            </w:r>
          </w:p>
        </w:tc>
        <w:tc>
          <w:tcPr>
            <w:tcW w:w="5030" w:type="dxa"/>
            <w:tcBorders>
              <w:top w:val="nil"/>
              <w:left w:val="nil"/>
              <w:bottom w:val="single" w:color="auto" w:sz="4" w:space="0"/>
              <w:right w:val="single" w:color="auto" w:sz="4" w:space="0"/>
            </w:tcBorders>
            <w:shd w:val="clear" w:color="auto" w:fill="auto"/>
            <w:vAlign w:val="center"/>
          </w:tcPr>
          <w:p w14:paraId="14C0B0F4">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乙方原因导致被环保主管部门通报、考核的环保事件。</w:t>
            </w:r>
          </w:p>
        </w:tc>
        <w:tc>
          <w:tcPr>
            <w:tcW w:w="3720" w:type="dxa"/>
            <w:tcBorders>
              <w:top w:val="nil"/>
              <w:left w:val="nil"/>
              <w:bottom w:val="single" w:color="auto" w:sz="4" w:space="0"/>
              <w:right w:val="single" w:color="auto" w:sz="4" w:space="0"/>
            </w:tcBorders>
            <w:shd w:val="clear" w:color="auto" w:fill="auto"/>
            <w:vAlign w:val="center"/>
          </w:tcPr>
          <w:p w14:paraId="04888BD2">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考核1万－5万元/次，并按责任定性承担主管部门的考核或罚款，并包赔甲方损失。</w:t>
            </w:r>
          </w:p>
        </w:tc>
      </w:tr>
      <w:tr w14:paraId="330852D1">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4A1B73E1">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11</w:t>
            </w:r>
          </w:p>
        </w:tc>
        <w:tc>
          <w:tcPr>
            <w:tcW w:w="5030" w:type="dxa"/>
            <w:tcBorders>
              <w:top w:val="nil"/>
              <w:left w:val="nil"/>
              <w:bottom w:val="single" w:color="auto" w:sz="4" w:space="0"/>
              <w:right w:val="single" w:color="auto" w:sz="4" w:space="0"/>
            </w:tcBorders>
            <w:shd w:val="clear" w:color="auto" w:fill="auto"/>
            <w:vAlign w:val="center"/>
          </w:tcPr>
          <w:p w14:paraId="36BF9DF0">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乙方在甲方范围内发生性质恶劣的治安事件，或乙方员工组织或参与盗窃的事件。</w:t>
            </w:r>
          </w:p>
        </w:tc>
        <w:tc>
          <w:tcPr>
            <w:tcW w:w="3720" w:type="dxa"/>
            <w:tcBorders>
              <w:top w:val="nil"/>
              <w:left w:val="nil"/>
              <w:bottom w:val="single" w:color="auto" w:sz="4" w:space="0"/>
              <w:right w:val="single" w:color="auto" w:sz="4" w:space="0"/>
            </w:tcBorders>
            <w:shd w:val="clear" w:color="auto" w:fill="auto"/>
            <w:vAlign w:val="center"/>
          </w:tcPr>
          <w:p w14:paraId="7939381E">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考核0</w:t>
            </w:r>
            <w:r>
              <w:rPr>
                <w:rFonts w:ascii="宋体" w:hAnsi="宋体" w:eastAsia="宋体" w:cs="宋体"/>
                <w:color w:val="000000"/>
                <w:kern w:val="0"/>
                <w:sz w:val="24"/>
                <w:szCs w:val="24"/>
              </w:rPr>
              <w:t>.</w:t>
            </w:r>
            <w:r>
              <w:rPr>
                <w:rFonts w:hint="eastAsia" w:ascii="宋体" w:hAnsi="宋体" w:eastAsia="宋体" w:cs="宋体"/>
                <w:color w:val="000000"/>
                <w:kern w:val="0"/>
                <w:sz w:val="24"/>
                <w:szCs w:val="24"/>
              </w:rPr>
              <w:t>3－3万元/次，并负责赔偿损失；情节特别严重的按国家法律处理。</w:t>
            </w:r>
          </w:p>
        </w:tc>
      </w:tr>
      <w:tr w14:paraId="554E100D">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2174AFD4">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12</w:t>
            </w:r>
          </w:p>
        </w:tc>
        <w:tc>
          <w:tcPr>
            <w:tcW w:w="5030" w:type="dxa"/>
            <w:tcBorders>
              <w:top w:val="nil"/>
              <w:left w:val="nil"/>
              <w:bottom w:val="single" w:color="auto" w:sz="4" w:space="0"/>
              <w:right w:val="single" w:color="auto" w:sz="4" w:space="0"/>
            </w:tcBorders>
            <w:shd w:val="clear" w:color="auto" w:fill="auto"/>
            <w:vAlign w:val="center"/>
          </w:tcPr>
          <w:p w14:paraId="35A78029">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乙方3个月内重复发生同样性质的人身伤亡、治安事件、违法事件或火灾事故、环保事件、交通事故。</w:t>
            </w:r>
          </w:p>
        </w:tc>
        <w:tc>
          <w:tcPr>
            <w:tcW w:w="3720" w:type="dxa"/>
            <w:tcBorders>
              <w:top w:val="nil"/>
              <w:left w:val="nil"/>
              <w:bottom w:val="single" w:color="auto" w:sz="4" w:space="0"/>
              <w:right w:val="single" w:color="auto" w:sz="4" w:space="0"/>
            </w:tcBorders>
            <w:shd w:val="clear" w:color="auto" w:fill="auto"/>
            <w:vAlign w:val="center"/>
          </w:tcPr>
          <w:p w14:paraId="5B7DC3FC">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对应上述款项加倍处罚。</w:t>
            </w:r>
          </w:p>
        </w:tc>
      </w:tr>
      <w:tr w14:paraId="418EA9B3">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46B0893B">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13</w:t>
            </w:r>
          </w:p>
        </w:tc>
        <w:tc>
          <w:tcPr>
            <w:tcW w:w="5030" w:type="dxa"/>
            <w:tcBorders>
              <w:top w:val="nil"/>
              <w:left w:val="nil"/>
              <w:bottom w:val="single" w:color="auto" w:sz="4" w:space="0"/>
              <w:right w:val="single" w:color="auto" w:sz="4" w:space="0"/>
            </w:tcBorders>
            <w:shd w:val="clear" w:color="auto" w:fill="auto"/>
            <w:vAlign w:val="center"/>
          </w:tcPr>
          <w:p w14:paraId="52F5976C">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发生乙方原因导致的责任性一类障碍</w:t>
            </w:r>
          </w:p>
        </w:tc>
        <w:tc>
          <w:tcPr>
            <w:tcW w:w="3720" w:type="dxa"/>
            <w:tcBorders>
              <w:top w:val="nil"/>
              <w:left w:val="nil"/>
              <w:bottom w:val="single" w:color="auto" w:sz="4" w:space="0"/>
              <w:right w:val="single" w:color="auto" w:sz="4" w:space="0"/>
            </w:tcBorders>
            <w:shd w:val="clear" w:color="auto" w:fill="auto"/>
            <w:vAlign w:val="center"/>
          </w:tcPr>
          <w:p w14:paraId="4D3BA011">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考核1万-3万元/次，视具体情况追加考核同期电量损失。</w:t>
            </w:r>
          </w:p>
        </w:tc>
      </w:tr>
      <w:tr w14:paraId="29F51DB9">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69C58B3E">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14</w:t>
            </w:r>
          </w:p>
        </w:tc>
        <w:tc>
          <w:tcPr>
            <w:tcW w:w="5030" w:type="dxa"/>
            <w:tcBorders>
              <w:top w:val="nil"/>
              <w:left w:val="nil"/>
              <w:bottom w:val="single" w:color="auto" w:sz="4" w:space="0"/>
              <w:right w:val="single" w:color="auto" w:sz="4" w:space="0"/>
            </w:tcBorders>
            <w:shd w:val="clear" w:color="auto" w:fill="auto"/>
            <w:vAlign w:val="center"/>
          </w:tcPr>
          <w:p w14:paraId="76DB0CE2">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发生乙方原因导致的责任性二类障碍</w:t>
            </w:r>
          </w:p>
        </w:tc>
        <w:tc>
          <w:tcPr>
            <w:tcW w:w="3720" w:type="dxa"/>
            <w:tcBorders>
              <w:top w:val="nil"/>
              <w:left w:val="nil"/>
              <w:bottom w:val="single" w:color="auto" w:sz="4" w:space="0"/>
              <w:right w:val="single" w:color="auto" w:sz="4" w:space="0"/>
            </w:tcBorders>
            <w:shd w:val="clear" w:color="auto" w:fill="auto"/>
            <w:vAlign w:val="center"/>
          </w:tcPr>
          <w:p w14:paraId="16F04AF2">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考核0</w:t>
            </w:r>
            <w:r>
              <w:rPr>
                <w:rFonts w:ascii="宋体" w:hAnsi="宋体" w:eastAsia="宋体" w:cs="宋体"/>
                <w:color w:val="000000"/>
                <w:kern w:val="0"/>
                <w:sz w:val="24"/>
                <w:szCs w:val="24"/>
              </w:rPr>
              <w:t>.</w:t>
            </w:r>
            <w:r>
              <w:rPr>
                <w:rFonts w:hint="eastAsia" w:ascii="宋体" w:hAnsi="宋体" w:eastAsia="宋体" w:cs="宋体"/>
                <w:color w:val="000000"/>
                <w:kern w:val="0"/>
                <w:sz w:val="24"/>
                <w:szCs w:val="24"/>
              </w:rPr>
              <w:t>4万-1万元/次，视具体情况追加考核同期电量损失。</w:t>
            </w:r>
          </w:p>
        </w:tc>
      </w:tr>
      <w:tr w14:paraId="0A4B0CC8">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4DE84301">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15</w:t>
            </w:r>
          </w:p>
        </w:tc>
        <w:tc>
          <w:tcPr>
            <w:tcW w:w="5030" w:type="dxa"/>
            <w:tcBorders>
              <w:top w:val="nil"/>
              <w:left w:val="nil"/>
              <w:bottom w:val="single" w:color="auto" w:sz="4" w:space="0"/>
              <w:right w:val="single" w:color="auto" w:sz="4" w:space="0"/>
            </w:tcBorders>
            <w:shd w:val="clear" w:color="auto" w:fill="auto"/>
            <w:vAlign w:val="center"/>
          </w:tcPr>
          <w:p w14:paraId="74021598">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乙方发生责任性异常事件</w:t>
            </w:r>
          </w:p>
        </w:tc>
        <w:tc>
          <w:tcPr>
            <w:tcW w:w="3720" w:type="dxa"/>
            <w:tcBorders>
              <w:top w:val="nil"/>
              <w:left w:val="nil"/>
              <w:bottom w:val="single" w:color="auto" w:sz="4" w:space="0"/>
              <w:right w:val="single" w:color="auto" w:sz="4" w:space="0"/>
            </w:tcBorders>
            <w:shd w:val="clear" w:color="auto" w:fill="auto"/>
            <w:vAlign w:val="center"/>
          </w:tcPr>
          <w:p w14:paraId="58E78161">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考核0</w:t>
            </w:r>
            <w:r>
              <w:rPr>
                <w:rFonts w:ascii="宋体" w:hAnsi="宋体" w:eastAsia="宋体" w:cs="宋体"/>
                <w:color w:val="000000"/>
                <w:kern w:val="0"/>
                <w:sz w:val="24"/>
                <w:szCs w:val="24"/>
              </w:rPr>
              <w:t>.</w:t>
            </w:r>
            <w:r>
              <w:rPr>
                <w:rFonts w:hint="eastAsia" w:ascii="宋体" w:hAnsi="宋体" w:eastAsia="宋体" w:cs="宋体"/>
                <w:color w:val="000000"/>
                <w:kern w:val="0"/>
                <w:sz w:val="24"/>
                <w:szCs w:val="24"/>
              </w:rPr>
              <w:t>1万—0</w:t>
            </w:r>
            <w:r>
              <w:rPr>
                <w:rFonts w:ascii="宋体" w:hAnsi="宋体" w:eastAsia="宋体" w:cs="宋体"/>
                <w:color w:val="000000"/>
                <w:kern w:val="0"/>
                <w:sz w:val="24"/>
                <w:szCs w:val="24"/>
              </w:rPr>
              <w:t>.</w:t>
            </w:r>
            <w:r>
              <w:rPr>
                <w:rFonts w:hint="eastAsia" w:ascii="宋体" w:hAnsi="宋体" w:eastAsia="宋体" w:cs="宋体"/>
                <w:color w:val="000000"/>
                <w:kern w:val="0"/>
                <w:sz w:val="24"/>
                <w:szCs w:val="24"/>
              </w:rPr>
              <w:t>4万元/次，视具体情况追加考核同期电量损失。</w:t>
            </w:r>
          </w:p>
        </w:tc>
      </w:tr>
      <w:tr w14:paraId="57BBFE7B">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05BDA4DD">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15</w:t>
            </w:r>
          </w:p>
        </w:tc>
        <w:tc>
          <w:tcPr>
            <w:tcW w:w="5030" w:type="dxa"/>
            <w:tcBorders>
              <w:top w:val="nil"/>
              <w:left w:val="nil"/>
              <w:bottom w:val="single" w:color="auto" w:sz="4" w:space="0"/>
              <w:right w:val="single" w:color="auto" w:sz="4" w:space="0"/>
            </w:tcBorders>
            <w:shd w:val="clear" w:color="auto" w:fill="auto"/>
            <w:vAlign w:val="center"/>
          </w:tcPr>
          <w:p w14:paraId="033A9DA4">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乙方发生误操作事件</w:t>
            </w:r>
          </w:p>
        </w:tc>
        <w:tc>
          <w:tcPr>
            <w:tcW w:w="3720" w:type="dxa"/>
            <w:tcBorders>
              <w:top w:val="nil"/>
              <w:left w:val="nil"/>
              <w:bottom w:val="single" w:color="auto" w:sz="4" w:space="0"/>
              <w:right w:val="single" w:color="auto" w:sz="4" w:space="0"/>
            </w:tcBorders>
            <w:shd w:val="clear" w:color="auto" w:fill="auto"/>
            <w:vAlign w:val="center"/>
          </w:tcPr>
          <w:p w14:paraId="29D36F14">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一般误操作考核0</w:t>
            </w:r>
            <w:r>
              <w:rPr>
                <w:rFonts w:ascii="宋体" w:hAnsi="宋体" w:eastAsia="宋体" w:cs="宋体"/>
                <w:color w:val="000000"/>
                <w:kern w:val="0"/>
                <w:sz w:val="24"/>
                <w:szCs w:val="24"/>
              </w:rPr>
              <w:t>.</w:t>
            </w:r>
            <w:r>
              <w:rPr>
                <w:rFonts w:hint="eastAsia" w:ascii="宋体" w:hAnsi="宋体" w:eastAsia="宋体" w:cs="宋体"/>
                <w:color w:val="000000"/>
                <w:kern w:val="0"/>
                <w:sz w:val="24"/>
                <w:szCs w:val="24"/>
              </w:rPr>
              <w:t>4万－1万元/次，恶性误操作按一类障碍考核，造成后果的按责任定性另外考核。</w:t>
            </w:r>
          </w:p>
        </w:tc>
      </w:tr>
      <w:tr w14:paraId="1C282906">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5A2C13A0">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16</w:t>
            </w:r>
          </w:p>
        </w:tc>
        <w:tc>
          <w:tcPr>
            <w:tcW w:w="5030" w:type="dxa"/>
            <w:tcBorders>
              <w:top w:val="nil"/>
              <w:left w:val="nil"/>
              <w:bottom w:val="single" w:color="auto" w:sz="4" w:space="0"/>
              <w:right w:val="single" w:color="auto" w:sz="4" w:space="0"/>
            </w:tcBorders>
            <w:shd w:val="clear" w:color="auto" w:fill="auto"/>
            <w:vAlign w:val="center"/>
          </w:tcPr>
          <w:p w14:paraId="12F0C0CB">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乙方发生安全事故不及时汇报（超过24h），或谎报、瞒报，逃避责任等行为。</w:t>
            </w:r>
          </w:p>
        </w:tc>
        <w:tc>
          <w:tcPr>
            <w:tcW w:w="3720" w:type="dxa"/>
            <w:tcBorders>
              <w:top w:val="nil"/>
              <w:left w:val="nil"/>
              <w:bottom w:val="single" w:color="auto" w:sz="4" w:space="0"/>
              <w:right w:val="single" w:color="auto" w:sz="4" w:space="0"/>
            </w:tcBorders>
            <w:shd w:val="clear" w:color="auto" w:fill="auto"/>
            <w:vAlign w:val="center"/>
          </w:tcPr>
          <w:p w14:paraId="2A041BF3">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按事故事件的级别给予不超过2万元/次的考核（事故责任另计）</w:t>
            </w:r>
          </w:p>
        </w:tc>
      </w:tr>
      <w:tr w14:paraId="68DF3513">
        <w:tblPrEx>
          <w:tblCellMar>
            <w:top w:w="0" w:type="dxa"/>
            <w:left w:w="108" w:type="dxa"/>
            <w:bottom w:w="0" w:type="dxa"/>
            <w:right w:w="108" w:type="dxa"/>
          </w:tblCellMar>
        </w:tblPrEx>
        <w:trPr>
          <w:trHeight w:val="372"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592B9CAF">
            <w:pPr>
              <w:widowControl/>
              <w:spacing w:line="360" w:lineRule="exact"/>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二</w:t>
            </w:r>
          </w:p>
        </w:tc>
        <w:tc>
          <w:tcPr>
            <w:tcW w:w="5030" w:type="dxa"/>
            <w:tcBorders>
              <w:top w:val="nil"/>
              <w:left w:val="nil"/>
              <w:bottom w:val="single" w:color="auto" w:sz="4" w:space="0"/>
              <w:right w:val="single" w:color="auto" w:sz="4" w:space="0"/>
            </w:tcBorders>
            <w:shd w:val="clear" w:color="auto" w:fill="auto"/>
            <w:vAlign w:val="center"/>
          </w:tcPr>
          <w:p w14:paraId="6A7F5E22">
            <w:pPr>
              <w:widowControl/>
              <w:spacing w:line="360" w:lineRule="exact"/>
              <w:jc w:val="left"/>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安全管理考核</w:t>
            </w:r>
          </w:p>
        </w:tc>
        <w:tc>
          <w:tcPr>
            <w:tcW w:w="3720" w:type="dxa"/>
            <w:tcBorders>
              <w:top w:val="nil"/>
              <w:left w:val="nil"/>
              <w:bottom w:val="single" w:color="auto" w:sz="4" w:space="0"/>
              <w:right w:val="single" w:color="auto" w:sz="4" w:space="0"/>
            </w:tcBorders>
            <w:shd w:val="clear" w:color="auto" w:fill="auto"/>
            <w:vAlign w:val="center"/>
          </w:tcPr>
          <w:p w14:paraId="5B1DE356">
            <w:pPr>
              <w:widowControl/>
              <w:spacing w:line="360" w:lineRule="exact"/>
              <w:jc w:val="left"/>
              <w:rPr>
                <w:rFonts w:ascii="宋体" w:hAnsi="宋体" w:eastAsia="宋体" w:cs="宋体"/>
                <w:color w:val="000000"/>
                <w:kern w:val="0"/>
                <w:sz w:val="24"/>
                <w:szCs w:val="24"/>
              </w:rPr>
            </w:pPr>
          </w:p>
        </w:tc>
      </w:tr>
      <w:tr w14:paraId="646D48C5">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0173AE34">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17</w:t>
            </w:r>
          </w:p>
        </w:tc>
        <w:tc>
          <w:tcPr>
            <w:tcW w:w="5030" w:type="dxa"/>
            <w:tcBorders>
              <w:top w:val="nil"/>
              <w:left w:val="nil"/>
              <w:bottom w:val="single" w:color="auto" w:sz="4" w:space="0"/>
              <w:right w:val="single" w:color="auto" w:sz="4" w:space="0"/>
            </w:tcBorders>
            <w:shd w:val="clear" w:color="auto" w:fill="auto"/>
            <w:vAlign w:val="center"/>
          </w:tcPr>
          <w:p w14:paraId="70889430">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乙方不设立现场安全组织管理机构，不按要求设置安全员，项目经理或专职安全人员不具备国家要求的相应安全资格。</w:t>
            </w:r>
          </w:p>
        </w:tc>
        <w:tc>
          <w:tcPr>
            <w:tcW w:w="3720" w:type="dxa"/>
            <w:tcBorders>
              <w:top w:val="nil"/>
              <w:left w:val="nil"/>
              <w:bottom w:val="single" w:color="auto" w:sz="4" w:space="0"/>
              <w:right w:val="single" w:color="auto" w:sz="4" w:space="0"/>
            </w:tcBorders>
            <w:shd w:val="clear" w:color="auto" w:fill="auto"/>
            <w:vAlign w:val="center"/>
          </w:tcPr>
          <w:p w14:paraId="5236E026">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考核0</w:t>
            </w:r>
            <w:r>
              <w:rPr>
                <w:rFonts w:ascii="宋体" w:hAnsi="宋体" w:eastAsia="宋体" w:cs="宋体"/>
                <w:color w:val="000000"/>
                <w:kern w:val="0"/>
                <w:sz w:val="24"/>
                <w:szCs w:val="24"/>
              </w:rPr>
              <w:t>.</w:t>
            </w:r>
            <w:r>
              <w:rPr>
                <w:rFonts w:hint="eastAsia" w:ascii="宋体" w:hAnsi="宋体" w:eastAsia="宋体" w:cs="宋体"/>
                <w:color w:val="000000"/>
                <w:kern w:val="0"/>
                <w:sz w:val="24"/>
                <w:szCs w:val="24"/>
              </w:rPr>
              <w:t>1万－0.5万元/人·次</w:t>
            </w:r>
          </w:p>
        </w:tc>
      </w:tr>
      <w:tr w14:paraId="2B03AF77">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3455CCAE">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18</w:t>
            </w:r>
          </w:p>
        </w:tc>
        <w:tc>
          <w:tcPr>
            <w:tcW w:w="5030" w:type="dxa"/>
            <w:tcBorders>
              <w:top w:val="nil"/>
              <w:left w:val="nil"/>
              <w:bottom w:val="single" w:color="auto" w:sz="4" w:space="0"/>
              <w:right w:val="single" w:color="auto" w:sz="4" w:space="0"/>
            </w:tcBorders>
            <w:shd w:val="clear" w:color="auto" w:fill="auto"/>
            <w:vAlign w:val="center"/>
          </w:tcPr>
          <w:p w14:paraId="4FF5D6CD">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乙方新人员未经安全教育或考试不合格上岗</w:t>
            </w:r>
          </w:p>
        </w:tc>
        <w:tc>
          <w:tcPr>
            <w:tcW w:w="3720" w:type="dxa"/>
            <w:tcBorders>
              <w:top w:val="nil"/>
              <w:left w:val="nil"/>
              <w:bottom w:val="single" w:color="auto" w:sz="4" w:space="0"/>
              <w:right w:val="single" w:color="auto" w:sz="4" w:space="0"/>
            </w:tcBorders>
            <w:shd w:val="clear" w:color="auto" w:fill="auto"/>
            <w:vAlign w:val="center"/>
          </w:tcPr>
          <w:p w14:paraId="2D0C9760">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考核500－1000元/人，屡教不改或形成普遍现象的加倍考核.</w:t>
            </w:r>
          </w:p>
        </w:tc>
      </w:tr>
      <w:tr w14:paraId="227B1948">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7E8B78AF">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19</w:t>
            </w:r>
          </w:p>
        </w:tc>
        <w:tc>
          <w:tcPr>
            <w:tcW w:w="5030" w:type="dxa"/>
            <w:tcBorders>
              <w:top w:val="nil"/>
              <w:left w:val="nil"/>
              <w:bottom w:val="single" w:color="auto" w:sz="4" w:space="0"/>
              <w:right w:val="single" w:color="auto" w:sz="4" w:space="0"/>
            </w:tcBorders>
            <w:shd w:val="clear" w:color="auto" w:fill="auto"/>
            <w:vAlign w:val="center"/>
          </w:tcPr>
          <w:p w14:paraId="5F73A54A">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乙方人员变更未及时向甲方或监理方申报、备案的。</w:t>
            </w:r>
          </w:p>
        </w:tc>
        <w:tc>
          <w:tcPr>
            <w:tcW w:w="3720" w:type="dxa"/>
            <w:tcBorders>
              <w:top w:val="nil"/>
              <w:left w:val="nil"/>
              <w:bottom w:val="single" w:color="auto" w:sz="4" w:space="0"/>
              <w:right w:val="single" w:color="auto" w:sz="4" w:space="0"/>
            </w:tcBorders>
            <w:shd w:val="clear" w:color="auto" w:fill="auto"/>
            <w:vAlign w:val="center"/>
          </w:tcPr>
          <w:p w14:paraId="2BA1ED91">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考核500元－1000元/人·次</w:t>
            </w:r>
          </w:p>
        </w:tc>
      </w:tr>
      <w:tr w14:paraId="08D60ED2">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5483B551">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20</w:t>
            </w:r>
          </w:p>
        </w:tc>
        <w:tc>
          <w:tcPr>
            <w:tcW w:w="5030" w:type="dxa"/>
            <w:tcBorders>
              <w:top w:val="nil"/>
              <w:left w:val="nil"/>
              <w:bottom w:val="single" w:color="auto" w:sz="4" w:space="0"/>
              <w:right w:val="single" w:color="auto" w:sz="4" w:space="0"/>
            </w:tcBorders>
            <w:shd w:val="clear" w:color="auto" w:fill="auto"/>
            <w:vAlign w:val="center"/>
          </w:tcPr>
          <w:p w14:paraId="5142D16D">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乙方施工过程中特种作业人员没有特种作业证，或不随身携带特种作业证。</w:t>
            </w:r>
          </w:p>
        </w:tc>
        <w:tc>
          <w:tcPr>
            <w:tcW w:w="3720" w:type="dxa"/>
            <w:tcBorders>
              <w:top w:val="nil"/>
              <w:left w:val="nil"/>
              <w:bottom w:val="single" w:color="auto" w:sz="4" w:space="0"/>
              <w:right w:val="single" w:color="auto" w:sz="4" w:space="0"/>
            </w:tcBorders>
            <w:shd w:val="clear" w:color="auto" w:fill="auto"/>
            <w:vAlign w:val="center"/>
          </w:tcPr>
          <w:p w14:paraId="0CF85388">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特种作业人员无证上岗考核0</w:t>
            </w:r>
            <w:r>
              <w:rPr>
                <w:rFonts w:ascii="宋体" w:hAnsi="宋体" w:eastAsia="宋体" w:cs="宋体"/>
                <w:color w:val="000000"/>
                <w:kern w:val="0"/>
                <w:sz w:val="24"/>
                <w:szCs w:val="24"/>
              </w:rPr>
              <w:t>.</w:t>
            </w:r>
            <w:r>
              <w:rPr>
                <w:rFonts w:hint="eastAsia" w:ascii="宋体" w:hAnsi="宋体" w:eastAsia="宋体" w:cs="宋体"/>
                <w:color w:val="000000"/>
                <w:kern w:val="0"/>
                <w:sz w:val="24"/>
                <w:szCs w:val="24"/>
              </w:rPr>
              <w:t>2万-</w:t>
            </w:r>
            <w:r>
              <w:rPr>
                <w:rFonts w:ascii="宋体" w:hAnsi="宋体" w:eastAsia="宋体" w:cs="宋体"/>
                <w:color w:val="000000"/>
                <w:kern w:val="0"/>
                <w:sz w:val="24"/>
                <w:szCs w:val="24"/>
              </w:rPr>
              <w:t>0.</w:t>
            </w:r>
            <w:r>
              <w:rPr>
                <w:rFonts w:hint="eastAsia" w:ascii="宋体" w:hAnsi="宋体" w:eastAsia="宋体" w:cs="宋体"/>
                <w:color w:val="000000"/>
                <w:kern w:val="0"/>
                <w:sz w:val="24"/>
                <w:szCs w:val="24"/>
              </w:rPr>
              <w:t>5万元/人.次，特种作业证未随身携带考核500元/人次</w:t>
            </w:r>
          </w:p>
        </w:tc>
      </w:tr>
      <w:tr w14:paraId="0EA85363">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08946813">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21</w:t>
            </w:r>
          </w:p>
        </w:tc>
        <w:tc>
          <w:tcPr>
            <w:tcW w:w="5030" w:type="dxa"/>
            <w:tcBorders>
              <w:top w:val="nil"/>
              <w:left w:val="nil"/>
              <w:bottom w:val="single" w:color="auto" w:sz="4" w:space="0"/>
              <w:right w:val="single" w:color="auto" w:sz="4" w:space="0"/>
            </w:tcBorders>
            <w:shd w:val="clear" w:color="auto" w:fill="auto"/>
            <w:vAlign w:val="center"/>
          </w:tcPr>
          <w:p w14:paraId="334ADA0A">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乙方不按规定开展安全培训、安全交底、风险分析、隐患排查、事故应急等安全活动，或安全活动查无实据、或弄虚作假。</w:t>
            </w:r>
          </w:p>
        </w:tc>
        <w:tc>
          <w:tcPr>
            <w:tcW w:w="3720" w:type="dxa"/>
            <w:tcBorders>
              <w:top w:val="nil"/>
              <w:left w:val="nil"/>
              <w:bottom w:val="single" w:color="auto" w:sz="4" w:space="0"/>
              <w:right w:val="single" w:color="auto" w:sz="4" w:space="0"/>
            </w:tcBorders>
            <w:shd w:val="clear" w:color="auto" w:fill="auto"/>
            <w:vAlign w:val="center"/>
          </w:tcPr>
          <w:p w14:paraId="1D5E6F3D">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考核0</w:t>
            </w:r>
            <w:r>
              <w:rPr>
                <w:rFonts w:ascii="宋体" w:hAnsi="宋体" w:eastAsia="宋体" w:cs="宋体"/>
                <w:color w:val="000000"/>
                <w:kern w:val="0"/>
                <w:sz w:val="24"/>
                <w:szCs w:val="24"/>
              </w:rPr>
              <w:t>.</w:t>
            </w:r>
            <w:r>
              <w:rPr>
                <w:rFonts w:hint="eastAsia" w:ascii="宋体" w:hAnsi="宋体" w:eastAsia="宋体" w:cs="宋体"/>
                <w:color w:val="000000"/>
                <w:kern w:val="0"/>
                <w:sz w:val="24"/>
                <w:szCs w:val="24"/>
              </w:rPr>
              <w:t>1万－</w:t>
            </w:r>
            <w:r>
              <w:rPr>
                <w:rFonts w:ascii="宋体" w:hAnsi="宋体" w:eastAsia="宋体" w:cs="宋体"/>
                <w:color w:val="000000"/>
                <w:kern w:val="0"/>
                <w:sz w:val="24"/>
                <w:szCs w:val="24"/>
              </w:rPr>
              <w:t>0.3</w:t>
            </w:r>
            <w:r>
              <w:rPr>
                <w:rFonts w:hint="eastAsia" w:ascii="宋体" w:hAnsi="宋体" w:eastAsia="宋体" w:cs="宋体"/>
                <w:color w:val="000000"/>
                <w:kern w:val="0"/>
                <w:sz w:val="24"/>
                <w:szCs w:val="24"/>
              </w:rPr>
              <w:t>万元/项</w:t>
            </w:r>
          </w:p>
        </w:tc>
      </w:tr>
      <w:tr w14:paraId="5B0C72F1">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13FD7DFB">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22</w:t>
            </w:r>
          </w:p>
        </w:tc>
        <w:tc>
          <w:tcPr>
            <w:tcW w:w="5030" w:type="dxa"/>
            <w:tcBorders>
              <w:top w:val="nil"/>
              <w:left w:val="nil"/>
              <w:bottom w:val="single" w:color="auto" w:sz="4" w:space="0"/>
              <w:right w:val="single" w:color="auto" w:sz="4" w:space="0"/>
            </w:tcBorders>
            <w:shd w:val="clear" w:color="auto" w:fill="auto"/>
            <w:vAlign w:val="center"/>
          </w:tcPr>
          <w:p w14:paraId="4545D9C6">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乙方不按要求落实甲方反事故措施或重大安全事故隐患整改措施。</w:t>
            </w:r>
          </w:p>
        </w:tc>
        <w:tc>
          <w:tcPr>
            <w:tcW w:w="3720" w:type="dxa"/>
            <w:tcBorders>
              <w:top w:val="nil"/>
              <w:left w:val="nil"/>
              <w:bottom w:val="single" w:color="auto" w:sz="4" w:space="0"/>
              <w:right w:val="single" w:color="auto" w:sz="4" w:space="0"/>
            </w:tcBorders>
            <w:shd w:val="clear" w:color="auto" w:fill="auto"/>
            <w:vAlign w:val="center"/>
          </w:tcPr>
          <w:p w14:paraId="36412357">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考核0</w:t>
            </w:r>
            <w:r>
              <w:rPr>
                <w:rFonts w:ascii="宋体" w:hAnsi="宋体" w:eastAsia="宋体" w:cs="宋体"/>
                <w:color w:val="000000"/>
                <w:kern w:val="0"/>
                <w:sz w:val="24"/>
                <w:szCs w:val="24"/>
              </w:rPr>
              <w:t>.</w:t>
            </w:r>
            <w:r>
              <w:rPr>
                <w:rFonts w:hint="eastAsia" w:ascii="宋体" w:hAnsi="宋体" w:eastAsia="宋体" w:cs="宋体"/>
                <w:color w:val="000000"/>
                <w:kern w:val="0"/>
                <w:sz w:val="24"/>
                <w:szCs w:val="24"/>
              </w:rPr>
              <w:t>1万－</w:t>
            </w:r>
            <w:r>
              <w:rPr>
                <w:rFonts w:ascii="宋体" w:hAnsi="宋体" w:eastAsia="宋体" w:cs="宋体"/>
                <w:color w:val="000000"/>
                <w:kern w:val="0"/>
                <w:sz w:val="24"/>
                <w:szCs w:val="24"/>
              </w:rPr>
              <w:t>0.</w:t>
            </w:r>
            <w:r>
              <w:rPr>
                <w:rFonts w:hint="eastAsia" w:ascii="宋体" w:hAnsi="宋体" w:eastAsia="宋体" w:cs="宋体"/>
                <w:color w:val="000000"/>
                <w:kern w:val="0"/>
                <w:sz w:val="24"/>
                <w:szCs w:val="24"/>
              </w:rPr>
              <w:t>5万元/项</w:t>
            </w:r>
          </w:p>
        </w:tc>
      </w:tr>
      <w:tr w14:paraId="79B2EA98">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7CD53C35">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23</w:t>
            </w:r>
          </w:p>
        </w:tc>
        <w:tc>
          <w:tcPr>
            <w:tcW w:w="5030" w:type="dxa"/>
            <w:tcBorders>
              <w:top w:val="nil"/>
              <w:left w:val="nil"/>
              <w:bottom w:val="single" w:color="auto" w:sz="4" w:space="0"/>
              <w:right w:val="single" w:color="auto" w:sz="4" w:space="0"/>
            </w:tcBorders>
            <w:shd w:val="clear" w:color="auto" w:fill="auto"/>
            <w:vAlign w:val="center"/>
          </w:tcPr>
          <w:p w14:paraId="4308708B">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乙方对甲方提出的安全整改意见无特殊原因未安排整改的。</w:t>
            </w:r>
          </w:p>
        </w:tc>
        <w:tc>
          <w:tcPr>
            <w:tcW w:w="3720" w:type="dxa"/>
            <w:tcBorders>
              <w:top w:val="nil"/>
              <w:left w:val="nil"/>
              <w:bottom w:val="single" w:color="auto" w:sz="4" w:space="0"/>
              <w:right w:val="single" w:color="auto" w:sz="4" w:space="0"/>
            </w:tcBorders>
            <w:shd w:val="clear" w:color="auto" w:fill="auto"/>
            <w:vAlign w:val="center"/>
          </w:tcPr>
          <w:p w14:paraId="0459310F">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每逾期1天考核500元</w:t>
            </w:r>
          </w:p>
        </w:tc>
      </w:tr>
      <w:tr w14:paraId="464E5D81">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54E5F5BA">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24</w:t>
            </w:r>
          </w:p>
        </w:tc>
        <w:tc>
          <w:tcPr>
            <w:tcW w:w="5030" w:type="dxa"/>
            <w:tcBorders>
              <w:top w:val="nil"/>
              <w:left w:val="nil"/>
              <w:bottom w:val="single" w:color="auto" w:sz="4" w:space="0"/>
              <w:right w:val="single" w:color="auto" w:sz="4" w:space="0"/>
            </w:tcBorders>
            <w:shd w:val="clear" w:color="auto" w:fill="auto"/>
            <w:vAlign w:val="center"/>
          </w:tcPr>
          <w:p w14:paraId="4924CDF0">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乙方在甲方厂区内未经许可，未履行完申请报批手续，违规建设。</w:t>
            </w:r>
          </w:p>
        </w:tc>
        <w:tc>
          <w:tcPr>
            <w:tcW w:w="3720" w:type="dxa"/>
            <w:tcBorders>
              <w:top w:val="nil"/>
              <w:left w:val="nil"/>
              <w:bottom w:val="single" w:color="auto" w:sz="4" w:space="0"/>
              <w:right w:val="single" w:color="auto" w:sz="4" w:space="0"/>
            </w:tcBorders>
            <w:shd w:val="clear" w:color="auto" w:fill="auto"/>
            <w:vAlign w:val="center"/>
          </w:tcPr>
          <w:p w14:paraId="383F1157">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考核0</w:t>
            </w:r>
            <w:r>
              <w:rPr>
                <w:rFonts w:ascii="宋体" w:hAnsi="宋体" w:eastAsia="宋体" w:cs="宋体"/>
                <w:color w:val="000000"/>
                <w:kern w:val="0"/>
                <w:sz w:val="24"/>
                <w:szCs w:val="24"/>
              </w:rPr>
              <w:t>.</w:t>
            </w:r>
            <w:r>
              <w:rPr>
                <w:rFonts w:hint="eastAsia" w:ascii="宋体" w:hAnsi="宋体" w:eastAsia="宋体" w:cs="宋体"/>
                <w:color w:val="000000"/>
                <w:kern w:val="0"/>
                <w:sz w:val="24"/>
                <w:szCs w:val="24"/>
              </w:rPr>
              <w:t>5万－1万元/次，并恢复原貌。</w:t>
            </w:r>
          </w:p>
        </w:tc>
      </w:tr>
      <w:tr w14:paraId="787FB70D">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7E7E50FF">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25</w:t>
            </w:r>
          </w:p>
        </w:tc>
        <w:tc>
          <w:tcPr>
            <w:tcW w:w="5030" w:type="dxa"/>
            <w:tcBorders>
              <w:top w:val="nil"/>
              <w:left w:val="nil"/>
              <w:bottom w:val="single" w:color="auto" w:sz="4" w:space="0"/>
              <w:right w:val="single" w:color="auto" w:sz="4" w:space="0"/>
            </w:tcBorders>
            <w:shd w:val="clear" w:color="auto" w:fill="auto"/>
            <w:vAlign w:val="center"/>
          </w:tcPr>
          <w:p w14:paraId="55788A62">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乙方未落实审批程序擅自开工</w:t>
            </w:r>
          </w:p>
        </w:tc>
        <w:tc>
          <w:tcPr>
            <w:tcW w:w="3720" w:type="dxa"/>
            <w:tcBorders>
              <w:top w:val="nil"/>
              <w:left w:val="nil"/>
              <w:bottom w:val="single" w:color="auto" w:sz="4" w:space="0"/>
              <w:right w:val="single" w:color="auto" w:sz="4" w:space="0"/>
            </w:tcBorders>
            <w:shd w:val="clear" w:color="auto" w:fill="auto"/>
            <w:vAlign w:val="center"/>
          </w:tcPr>
          <w:p w14:paraId="70E9096A">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考核0</w:t>
            </w:r>
            <w:r>
              <w:rPr>
                <w:rFonts w:ascii="宋体" w:hAnsi="宋体" w:eastAsia="宋体" w:cs="宋体"/>
                <w:color w:val="000000"/>
                <w:kern w:val="0"/>
                <w:sz w:val="24"/>
                <w:szCs w:val="24"/>
              </w:rPr>
              <w:t>.</w:t>
            </w:r>
            <w:r>
              <w:rPr>
                <w:rFonts w:hint="eastAsia" w:ascii="宋体" w:hAnsi="宋体" w:eastAsia="宋体" w:cs="宋体"/>
                <w:color w:val="000000"/>
                <w:kern w:val="0"/>
                <w:sz w:val="24"/>
                <w:szCs w:val="24"/>
              </w:rPr>
              <w:t>2万－0.5万元/次，并立即停工整改。</w:t>
            </w:r>
          </w:p>
        </w:tc>
      </w:tr>
      <w:tr w14:paraId="42027956">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21FB2E92">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26</w:t>
            </w:r>
          </w:p>
        </w:tc>
        <w:tc>
          <w:tcPr>
            <w:tcW w:w="5030" w:type="dxa"/>
            <w:tcBorders>
              <w:top w:val="nil"/>
              <w:left w:val="nil"/>
              <w:bottom w:val="single" w:color="auto" w:sz="4" w:space="0"/>
              <w:right w:val="single" w:color="auto" w:sz="4" w:space="0"/>
            </w:tcBorders>
            <w:shd w:val="clear" w:color="auto" w:fill="auto"/>
            <w:vAlign w:val="center"/>
          </w:tcPr>
          <w:p w14:paraId="60CA913B">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乙方施工现场在用的特种设备未经法定检验或未及时备案，或超检验期使用。</w:t>
            </w:r>
          </w:p>
        </w:tc>
        <w:tc>
          <w:tcPr>
            <w:tcW w:w="3720" w:type="dxa"/>
            <w:tcBorders>
              <w:top w:val="nil"/>
              <w:left w:val="nil"/>
              <w:bottom w:val="single" w:color="auto" w:sz="4" w:space="0"/>
              <w:right w:val="single" w:color="auto" w:sz="4" w:space="0"/>
            </w:tcBorders>
            <w:shd w:val="clear" w:color="auto" w:fill="auto"/>
            <w:vAlign w:val="center"/>
          </w:tcPr>
          <w:p w14:paraId="4C1BD429">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考核0</w:t>
            </w:r>
            <w:r>
              <w:rPr>
                <w:rFonts w:ascii="宋体" w:hAnsi="宋体" w:eastAsia="宋体" w:cs="宋体"/>
                <w:color w:val="000000"/>
                <w:kern w:val="0"/>
                <w:sz w:val="24"/>
                <w:szCs w:val="24"/>
              </w:rPr>
              <w:t>.</w:t>
            </w:r>
            <w:r>
              <w:rPr>
                <w:rFonts w:hint="eastAsia" w:ascii="宋体" w:hAnsi="宋体" w:eastAsia="宋体" w:cs="宋体"/>
                <w:color w:val="000000"/>
                <w:kern w:val="0"/>
                <w:sz w:val="24"/>
                <w:szCs w:val="24"/>
              </w:rPr>
              <w:t>5万－1万元/次</w:t>
            </w:r>
          </w:p>
        </w:tc>
      </w:tr>
      <w:tr w14:paraId="007B7CA2">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7C242AF4">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27</w:t>
            </w:r>
          </w:p>
        </w:tc>
        <w:tc>
          <w:tcPr>
            <w:tcW w:w="5030" w:type="dxa"/>
            <w:tcBorders>
              <w:top w:val="nil"/>
              <w:left w:val="nil"/>
              <w:bottom w:val="single" w:color="auto" w:sz="4" w:space="0"/>
              <w:right w:val="single" w:color="auto" w:sz="4" w:space="0"/>
            </w:tcBorders>
            <w:shd w:val="clear" w:color="auto" w:fill="auto"/>
            <w:vAlign w:val="center"/>
          </w:tcPr>
          <w:p w14:paraId="6E95D147">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乙方使用未经检验或超过检验期的安全工器具</w:t>
            </w:r>
          </w:p>
        </w:tc>
        <w:tc>
          <w:tcPr>
            <w:tcW w:w="3720" w:type="dxa"/>
            <w:tcBorders>
              <w:top w:val="nil"/>
              <w:left w:val="nil"/>
              <w:bottom w:val="single" w:color="auto" w:sz="4" w:space="0"/>
              <w:right w:val="single" w:color="auto" w:sz="4" w:space="0"/>
            </w:tcBorders>
            <w:shd w:val="clear" w:color="auto" w:fill="auto"/>
            <w:vAlign w:val="center"/>
          </w:tcPr>
          <w:p w14:paraId="4A239EA7">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考核500元-</w:t>
            </w:r>
            <w:r>
              <w:rPr>
                <w:rFonts w:ascii="宋体" w:hAnsi="宋体" w:eastAsia="宋体" w:cs="宋体"/>
                <w:color w:val="000000"/>
                <w:kern w:val="0"/>
                <w:sz w:val="24"/>
                <w:szCs w:val="24"/>
              </w:rPr>
              <w:t>0.</w:t>
            </w:r>
            <w:r>
              <w:rPr>
                <w:rFonts w:hint="eastAsia" w:ascii="宋体" w:hAnsi="宋体" w:eastAsia="宋体" w:cs="宋体"/>
                <w:color w:val="000000"/>
                <w:kern w:val="0"/>
                <w:sz w:val="24"/>
                <w:szCs w:val="24"/>
              </w:rPr>
              <w:t>2万元/项</w:t>
            </w:r>
          </w:p>
        </w:tc>
      </w:tr>
      <w:tr w14:paraId="26CBDA1F">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07693748">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28</w:t>
            </w:r>
          </w:p>
        </w:tc>
        <w:tc>
          <w:tcPr>
            <w:tcW w:w="5030" w:type="dxa"/>
            <w:tcBorders>
              <w:top w:val="nil"/>
              <w:left w:val="nil"/>
              <w:bottom w:val="single" w:color="auto" w:sz="4" w:space="0"/>
              <w:right w:val="single" w:color="auto" w:sz="4" w:space="0"/>
            </w:tcBorders>
            <w:shd w:val="clear" w:color="auto" w:fill="auto"/>
            <w:vAlign w:val="center"/>
          </w:tcPr>
          <w:p w14:paraId="21E12606">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乙方不按规定投入安全资金或虚报、瞒报安全设施投入情况。</w:t>
            </w:r>
          </w:p>
        </w:tc>
        <w:tc>
          <w:tcPr>
            <w:tcW w:w="3720" w:type="dxa"/>
            <w:tcBorders>
              <w:top w:val="nil"/>
              <w:left w:val="nil"/>
              <w:bottom w:val="single" w:color="auto" w:sz="4" w:space="0"/>
              <w:right w:val="single" w:color="auto" w:sz="4" w:space="0"/>
            </w:tcBorders>
            <w:shd w:val="clear" w:color="auto" w:fill="auto"/>
            <w:vAlign w:val="center"/>
          </w:tcPr>
          <w:p w14:paraId="47F3D4E2">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考核0</w:t>
            </w:r>
            <w:r>
              <w:rPr>
                <w:rFonts w:ascii="宋体" w:hAnsi="宋体" w:eastAsia="宋体" w:cs="宋体"/>
                <w:color w:val="000000"/>
                <w:kern w:val="0"/>
                <w:sz w:val="24"/>
                <w:szCs w:val="24"/>
              </w:rPr>
              <w:t>.</w:t>
            </w:r>
            <w:r>
              <w:rPr>
                <w:rFonts w:hint="eastAsia" w:ascii="宋体" w:hAnsi="宋体" w:eastAsia="宋体" w:cs="宋体"/>
                <w:color w:val="000000"/>
                <w:kern w:val="0"/>
                <w:sz w:val="24"/>
                <w:szCs w:val="24"/>
              </w:rPr>
              <w:t>5万－2万元/次，并责令按规定投入足额安全资金。</w:t>
            </w:r>
          </w:p>
        </w:tc>
      </w:tr>
      <w:tr w14:paraId="30919A04">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2604AA10">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29</w:t>
            </w:r>
          </w:p>
        </w:tc>
        <w:tc>
          <w:tcPr>
            <w:tcW w:w="5030" w:type="dxa"/>
            <w:tcBorders>
              <w:top w:val="nil"/>
              <w:left w:val="nil"/>
              <w:bottom w:val="single" w:color="auto" w:sz="4" w:space="0"/>
              <w:right w:val="single" w:color="auto" w:sz="4" w:space="0"/>
            </w:tcBorders>
            <w:shd w:val="clear" w:color="auto" w:fill="auto"/>
            <w:vAlign w:val="center"/>
          </w:tcPr>
          <w:p w14:paraId="364B33B6">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乙方不服从甲方对口管理部门、管理人员指挥，且态度恶劣、拒不整改的。</w:t>
            </w:r>
          </w:p>
        </w:tc>
        <w:tc>
          <w:tcPr>
            <w:tcW w:w="3720" w:type="dxa"/>
            <w:tcBorders>
              <w:top w:val="nil"/>
              <w:left w:val="nil"/>
              <w:bottom w:val="single" w:color="auto" w:sz="4" w:space="0"/>
              <w:right w:val="single" w:color="auto" w:sz="4" w:space="0"/>
            </w:tcBorders>
            <w:shd w:val="clear" w:color="auto" w:fill="auto"/>
            <w:vAlign w:val="center"/>
          </w:tcPr>
          <w:p w14:paraId="013D854A">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考核0</w:t>
            </w:r>
            <w:r>
              <w:rPr>
                <w:rFonts w:ascii="宋体" w:hAnsi="宋体" w:eastAsia="宋体" w:cs="宋体"/>
                <w:color w:val="000000"/>
                <w:kern w:val="0"/>
                <w:sz w:val="24"/>
                <w:szCs w:val="24"/>
              </w:rPr>
              <w:t>.</w:t>
            </w:r>
            <w:r>
              <w:rPr>
                <w:rFonts w:hint="eastAsia" w:ascii="宋体" w:hAnsi="宋体" w:eastAsia="宋体" w:cs="宋体"/>
                <w:color w:val="000000"/>
                <w:kern w:val="0"/>
                <w:sz w:val="24"/>
                <w:szCs w:val="24"/>
              </w:rPr>
              <w:t>1万－0.3万元/次，情节严重者驱逐出厂。</w:t>
            </w:r>
          </w:p>
        </w:tc>
      </w:tr>
      <w:tr w14:paraId="5856CA31">
        <w:tblPrEx>
          <w:tblCellMar>
            <w:top w:w="0" w:type="dxa"/>
            <w:left w:w="108" w:type="dxa"/>
            <w:bottom w:w="0" w:type="dxa"/>
            <w:right w:w="108" w:type="dxa"/>
          </w:tblCellMar>
        </w:tblPrEx>
        <w:trPr>
          <w:trHeight w:val="457"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3796745F">
            <w:pPr>
              <w:widowControl/>
              <w:spacing w:line="360" w:lineRule="exact"/>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三</w:t>
            </w:r>
          </w:p>
        </w:tc>
        <w:tc>
          <w:tcPr>
            <w:tcW w:w="5030" w:type="dxa"/>
            <w:tcBorders>
              <w:top w:val="nil"/>
              <w:left w:val="nil"/>
              <w:bottom w:val="single" w:color="auto" w:sz="4" w:space="0"/>
              <w:right w:val="single" w:color="auto" w:sz="4" w:space="0"/>
            </w:tcBorders>
            <w:shd w:val="clear" w:color="auto" w:fill="auto"/>
            <w:vAlign w:val="center"/>
          </w:tcPr>
          <w:p w14:paraId="6AF711C6">
            <w:pPr>
              <w:widowControl/>
              <w:spacing w:line="360" w:lineRule="exact"/>
              <w:jc w:val="left"/>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违章考核</w:t>
            </w:r>
          </w:p>
        </w:tc>
        <w:tc>
          <w:tcPr>
            <w:tcW w:w="3720" w:type="dxa"/>
            <w:tcBorders>
              <w:top w:val="nil"/>
              <w:left w:val="nil"/>
              <w:bottom w:val="single" w:color="auto" w:sz="4" w:space="0"/>
              <w:right w:val="single" w:color="auto" w:sz="4" w:space="0"/>
            </w:tcBorders>
            <w:shd w:val="clear" w:color="auto" w:fill="auto"/>
            <w:vAlign w:val="center"/>
          </w:tcPr>
          <w:p w14:paraId="019E2F1F">
            <w:pPr>
              <w:widowControl/>
              <w:spacing w:line="360" w:lineRule="exact"/>
              <w:jc w:val="left"/>
              <w:rPr>
                <w:rFonts w:ascii="宋体" w:hAnsi="宋体" w:eastAsia="宋体" w:cs="宋体"/>
                <w:color w:val="000000"/>
                <w:kern w:val="0"/>
                <w:sz w:val="24"/>
                <w:szCs w:val="24"/>
              </w:rPr>
            </w:pPr>
          </w:p>
        </w:tc>
      </w:tr>
      <w:tr w14:paraId="51533DC9">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540D5AB5">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30</w:t>
            </w:r>
          </w:p>
        </w:tc>
        <w:tc>
          <w:tcPr>
            <w:tcW w:w="5030" w:type="dxa"/>
            <w:tcBorders>
              <w:top w:val="nil"/>
              <w:left w:val="nil"/>
              <w:bottom w:val="single" w:color="auto" w:sz="4" w:space="0"/>
              <w:right w:val="single" w:color="auto" w:sz="4" w:space="0"/>
            </w:tcBorders>
            <w:shd w:val="clear" w:color="auto" w:fill="auto"/>
            <w:vAlign w:val="center"/>
          </w:tcPr>
          <w:p w14:paraId="549932C7">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乙方违反甲方两票管理制度</w:t>
            </w:r>
          </w:p>
        </w:tc>
        <w:tc>
          <w:tcPr>
            <w:tcW w:w="3720" w:type="dxa"/>
            <w:tcBorders>
              <w:top w:val="nil"/>
              <w:left w:val="nil"/>
              <w:bottom w:val="single" w:color="auto" w:sz="4" w:space="0"/>
              <w:right w:val="single" w:color="auto" w:sz="4" w:space="0"/>
            </w:tcBorders>
            <w:shd w:val="clear" w:color="auto" w:fill="auto"/>
            <w:vAlign w:val="center"/>
          </w:tcPr>
          <w:p w14:paraId="32FC089D">
            <w:pPr>
              <w:widowControl/>
              <w:spacing w:line="30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无票作业考核0</w:t>
            </w:r>
            <w:r>
              <w:rPr>
                <w:rFonts w:ascii="宋体" w:hAnsi="宋体" w:eastAsia="宋体" w:cs="宋体"/>
                <w:color w:val="000000"/>
                <w:kern w:val="0"/>
                <w:sz w:val="24"/>
                <w:szCs w:val="24"/>
              </w:rPr>
              <w:t>.</w:t>
            </w:r>
            <w:r>
              <w:rPr>
                <w:rFonts w:hint="eastAsia" w:ascii="宋体" w:hAnsi="宋体" w:eastAsia="宋体" w:cs="宋体"/>
                <w:color w:val="000000"/>
                <w:kern w:val="0"/>
                <w:sz w:val="24"/>
                <w:szCs w:val="24"/>
              </w:rPr>
              <w:t>3万－1万元/次，工作票不合格或未按安措执行的每次考核500元－0.2万元</w:t>
            </w:r>
          </w:p>
        </w:tc>
      </w:tr>
      <w:tr w14:paraId="072A11F9">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16C44704">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31</w:t>
            </w:r>
          </w:p>
        </w:tc>
        <w:tc>
          <w:tcPr>
            <w:tcW w:w="5030" w:type="dxa"/>
            <w:tcBorders>
              <w:top w:val="nil"/>
              <w:left w:val="nil"/>
              <w:bottom w:val="single" w:color="auto" w:sz="4" w:space="0"/>
              <w:right w:val="single" w:color="auto" w:sz="4" w:space="0"/>
            </w:tcBorders>
            <w:shd w:val="clear" w:color="auto" w:fill="auto"/>
            <w:vAlign w:val="center"/>
          </w:tcPr>
          <w:p w14:paraId="01E0A15E">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乙方人员未经许可擅动甲方的生产设备、设施</w:t>
            </w:r>
          </w:p>
        </w:tc>
        <w:tc>
          <w:tcPr>
            <w:tcW w:w="3720" w:type="dxa"/>
            <w:tcBorders>
              <w:top w:val="nil"/>
              <w:left w:val="nil"/>
              <w:bottom w:val="single" w:color="auto" w:sz="4" w:space="0"/>
              <w:right w:val="single" w:color="auto" w:sz="4" w:space="0"/>
            </w:tcBorders>
            <w:shd w:val="clear" w:color="auto" w:fill="auto"/>
            <w:vAlign w:val="center"/>
          </w:tcPr>
          <w:p w14:paraId="604A457E">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考核0.2万元-0.5万元/次，造成后果的视损失另行考核。</w:t>
            </w:r>
          </w:p>
        </w:tc>
      </w:tr>
      <w:tr w14:paraId="18472CEC">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6C34DE12">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32</w:t>
            </w:r>
          </w:p>
        </w:tc>
        <w:tc>
          <w:tcPr>
            <w:tcW w:w="5030" w:type="dxa"/>
            <w:tcBorders>
              <w:top w:val="nil"/>
              <w:left w:val="nil"/>
              <w:bottom w:val="single" w:color="auto" w:sz="4" w:space="0"/>
              <w:right w:val="single" w:color="auto" w:sz="4" w:space="0"/>
            </w:tcBorders>
            <w:shd w:val="clear" w:color="auto" w:fill="auto"/>
            <w:vAlign w:val="center"/>
          </w:tcPr>
          <w:p w14:paraId="3DBE5FEE">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乙方不经批准在甲方设备、结构、建筑物上开孔或焊接临时构件，变更设备设施用途。</w:t>
            </w:r>
          </w:p>
        </w:tc>
        <w:tc>
          <w:tcPr>
            <w:tcW w:w="3720" w:type="dxa"/>
            <w:tcBorders>
              <w:top w:val="nil"/>
              <w:left w:val="nil"/>
              <w:bottom w:val="single" w:color="auto" w:sz="4" w:space="0"/>
              <w:right w:val="single" w:color="auto" w:sz="4" w:space="0"/>
            </w:tcBorders>
            <w:shd w:val="clear" w:color="auto" w:fill="auto"/>
            <w:vAlign w:val="center"/>
          </w:tcPr>
          <w:p w14:paraId="4B4B4177">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考核0.2万元-0.5万元/次，造成后果的视损失另行考核。</w:t>
            </w:r>
          </w:p>
        </w:tc>
      </w:tr>
      <w:tr w14:paraId="1532AE60">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120C5F98">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33</w:t>
            </w:r>
          </w:p>
        </w:tc>
        <w:tc>
          <w:tcPr>
            <w:tcW w:w="5030" w:type="dxa"/>
            <w:tcBorders>
              <w:top w:val="nil"/>
              <w:left w:val="nil"/>
              <w:bottom w:val="single" w:color="auto" w:sz="4" w:space="0"/>
              <w:right w:val="single" w:color="auto" w:sz="4" w:space="0"/>
            </w:tcBorders>
            <w:shd w:val="clear" w:color="auto" w:fill="auto"/>
            <w:vAlign w:val="center"/>
          </w:tcPr>
          <w:p w14:paraId="54A804CD">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乙方违规搭设脚手架或无票随意搭设脚手架，脚手架未验收或无验收合格证投入使用。</w:t>
            </w:r>
          </w:p>
        </w:tc>
        <w:tc>
          <w:tcPr>
            <w:tcW w:w="3720" w:type="dxa"/>
            <w:tcBorders>
              <w:top w:val="nil"/>
              <w:left w:val="nil"/>
              <w:bottom w:val="single" w:color="auto" w:sz="4" w:space="0"/>
              <w:right w:val="single" w:color="auto" w:sz="4" w:space="0"/>
            </w:tcBorders>
            <w:shd w:val="clear" w:color="auto" w:fill="auto"/>
            <w:vAlign w:val="center"/>
          </w:tcPr>
          <w:p w14:paraId="125719CD">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脚手架存在较大安全隐患考核0</w:t>
            </w:r>
            <w:r>
              <w:rPr>
                <w:rFonts w:ascii="宋体" w:hAnsi="宋体" w:eastAsia="宋体" w:cs="宋体"/>
                <w:color w:val="000000"/>
                <w:kern w:val="0"/>
                <w:sz w:val="24"/>
                <w:szCs w:val="24"/>
              </w:rPr>
              <w:t>.</w:t>
            </w:r>
            <w:r>
              <w:rPr>
                <w:rFonts w:hint="eastAsia" w:ascii="宋体" w:hAnsi="宋体" w:eastAsia="宋体" w:cs="宋体"/>
                <w:color w:val="000000"/>
                <w:kern w:val="0"/>
                <w:sz w:val="24"/>
                <w:szCs w:val="24"/>
              </w:rPr>
              <w:t>1万－0.5万元/项，未经验收投入使用考核0.5万元-1万元/处。</w:t>
            </w:r>
          </w:p>
        </w:tc>
      </w:tr>
      <w:tr w14:paraId="620BEEE7">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17ABAA88">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33</w:t>
            </w:r>
          </w:p>
        </w:tc>
        <w:tc>
          <w:tcPr>
            <w:tcW w:w="5030" w:type="dxa"/>
            <w:tcBorders>
              <w:top w:val="nil"/>
              <w:left w:val="nil"/>
              <w:bottom w:val="single" w:color="auto" w:sz="4" w:space="0"/>
              <w:right w:val="single" w:color="auto" w:sz="4" w:space="0"/>
            </w:tcBorders>
            <w:shd w:val="clear" w:color="auto" w:fill="auto"/>
            <w:vAlign w:val="center"/>
          </w:tcPr>
          <w:p w14:paraId="547ACE1D">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乙方违反《电力安全工作规程》高处、临边、起重等作业有关规定，隔离、防护设施不到位。</w:t>
            </w:r>
          </w:p>
        </w:tc>
        <w:tc>
          <w:tcPr>
            <w:tcW w:w="3720" w:type="dxa"/>
            <w:tcBorders>
              <w:top w:val="nil"/>
              <w:left w:val="nil"/>
              <w:bottom w:val="single" w:color="auto" w:sz="4" w:space="0"/>
              <w:right w:val="single" w:color="auto" w:sz="4" w:space="0"/>
            </w:tcBorders>
            <w:shd w:val="clear" w:color="auto" w:fill="auto"/>
            <w:vAlign w:val="center"/>
          </w:tcPr>
          <w:p w14:paraId="5B0FA535">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考核0</w:t>
            </w:r>
            <w:r>
              <w:rPr>
                <w:rFonts w:ascii="宋体" w:hAnsi="宋体" w:eastAsia="宋体" w:cs="宋体"/>
                <w:color w:val="000000"/>
                <w:kern w:val="0"/>
                <w:sz w:val="24"/>
                <w:szCs w:val="24"/>
              </w:rPr>
              <w:t>.</w:t>
            </w:r>
            <w:r>
              <w:rPr>
                <w:rFonts w:hint="eastAsia" w:ascii="宋体" w:hAnsi="宋体" w:eastAsia="宋体" w:cs="宋体"/>
                <w:color w:val="000000"/>
                <w:kern w:val="0"/>
                <w:sz w:val="24"/>
                <w:szCs w:val="24"/>
              </w:rPr>
              <w:t>1万－</w:t>
            </w:r>
            <w:r>
              <w:rPr>
                <w:rFonts w:ascii="宋体" w:hAnsi="宋体" w:eastAsia="宋体" w:cs="宋体"/>
                <w:color w:val="000000"/>
                <w:kern w:val="0"/>
                <w:sz w:val="24"/>
                <w:szCs w:val="24"/>
              </w:rPr>
              <w:t>0.5</w:t>
            </w:r>
            <w:r>
              <w:rPr>
                <w:rFonts w:hint="eastAsia" w:ascii="宋体" w:hAnsi="宋体" w:eastAsia="宋体" w:cs="宋体"/>
                <w:color w:val="000000"/>
                <w:kern w:val="0"/>
                <w:sz w:val="24"/>
                <w:szCs w:val="24"/>
              </w:rPr>
              <w:t>万元/处</w:t>
            </w:r>
          </w:p>
        </w:tc>
      </w:tr>
      <w:tr w14:paraId="33945262">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5627ED91">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34</w:t>
            </w:r>
          </w:p>
        </w:tc>
        <w:tc>
          <w:tcPr>
            <w:tcW w:w="5030" w:type="dxa"/>
            <w:tcBorders>
              <w:top w:val="nil"/>
              <w:left w:val="nil"/>
              <w:bottom w:val="single" w:color="auto" w:sz="4" w:space="0"/>
              <w:right w:val="single" w:color="auto" w:sz="4" w:space="0"/>
            </w:tcBorders>
            <w:shd w:val="clear" w:color="auto" w:fill="auto"/>
            <w:vAlign w:val="center"/>
          </w:tcPr>
          <w:p w14:paraId="08B2F2D0">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乙方在受限空间作业时，未办理许可票，未遵守通风、检测、监护、电动工具的使用、电源管理等有关规定的行为。</w:t>
            </w:r>
          </w:p>
        </w:tc>
        <w:tc>
          <w:tcPr>
            <w:tcW w:w="3720" w:type="dxa"/>
            <w:tcBorders>
              <w:top w:val="nil"/>
              <w:left w:val="nil"/>
              <w:bottom w:val="single" w:color="auto" w:sz="4" w:space="0"/>
              <w:right w:val="single" w:color="auto" w:sz="4" w:space="0"/>
            </w:tcBorders>
            <w:shd w:val="clear" w:color="auto" w:fill="auto"/>
            <w:vAlign w:val="center"/>
          </w:tcPr>
          <w:p w14:paraId="3C45B343">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考核0</w:t>
            </w:r>
            <w:r>
              <w:rPr>
                <w:rFonts w:ascii="宋体" w:hAnsi="宋体" w:eastAsia="宋体" w:cs="宋体"/>
                <w:color w:val="000000"/>
                <w:kern w:val="0"/>
                <w:sz w:val="24"/>
                <w:szCs w:val="24"/>
              </w:rPr>
              <w:t>.</w:t>
            </w:r>
            <w:r>
              <w:rPr>
                <w:rFonts w:hint="eastAsia" w:ascii="宋体" w:hAnsi="宋体" w:eastAsia="宋体" w:cs="宋体"/>
                <w:color w:val="000000"/>
                <w:kern w:val="0"/>
                <w:sz w:val="24"/>
                <w:szCs w:val="24"/>
              </w:rPr>
              <w:t>1万－</w:t>
            </w:r>
            <w:r>
              <w:rPr>
                <w:rFonts w:ascii="宋体" w:hAnsi="宋体" w:eastAsia="宋体" w:cs="宋体"/>
                <w:color w:val="000000"/>
                <w:kern w:val="0"/>
                <w:sz w:val="24"/>
                <w:szCs w:val="24"/>
              </w:rPr>
              <w:t>0.5</w:t>
            </w:r>
            <w:r>
              <w:rPr>
                <w:rFonts w:hint="eastAsia" w:ascii="宋体" w:hAnsi="宋体" w:eastAsia="宋体" w:cs="宋体"/>
                <w:color w:val="000000"/>
                <w:kern w:val="0"/>
                <w:sz w:val="24"/>
                <w:szCs w:val="24"/>
              </w:rPr>
              <w:t>万元/处</w:t>
            </w:r>
          </w:p>
        </w:tc>
      </w:tr>
      <w:tr w14:paraId="08DE9DCB">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03D6D43F">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35</w:t>
            </w:r>
          </w:p>
        </w:tc>
        <w:tc>
          <w:tcPr>
            <w:tcW w:w="5030" w:type="dxa"/>
            <w:tcBorders>
              <w:top w:val="nil"/>
              <w:left w:val="nil"/>
              <w:bottom w:val="single" w:color="auto" w:sz="4" w:space="0"/>
              <w:right w:val="single" w:color="auto" w:sz="4" w:space="0"/>
            </w:tcBorders>
            <w:shd w:val="clear" w:color="auto" w:fill="auto"/>
            <w:vAlign w:val="center"/>
          </w:tcPr>
          <w:p w14:paraId="7807B119">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乙方违反起重设备使用规定或由于使用不当造成起重设备的损坏。</w:t>
            </w:r>
          </w:p>
        </w:tc>
        <w:tc>
          <w:tcPr>
            <w:tcW w:w="3720" w:type="dxa"/>
            <w:tcBorders>
              <w:top w:val="nil"/>
              <w:left w:val="nil"/>
              <w:bottom w:val="single" w:color="auto" w:sz="4" w:space="0"/>
              <w:right w:val="single" w:color="auto" w:sz="4" w:space="0"/>
            </w:tcBorders>
            <w:shd w:val="clear" w:color="auto" w:fill="auto"/>
            <w:vAlign w:val="center"/>
          </w:tcPr>
          <w:p w14:paraId="62A4B0CD">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考核0</w:t>
            </w:r>
            <w:r>
              <w:rPr>
                <w:rFonts w:ascii="宋体" w:hAnsi="宋体" w:eastAsia="宋体" w:cs="宋体"/>
                <w:color w:val="000000"/>
                <w:kern w:val="0"/>
                <w:sz w:val="24"/>
                <w:szCs w:val="24"/>
              </w:rPr>
              <w:t>.</w:t>
            </w:r>
            <w:r>
              <w:rPr>
                <w:rFonts w:hint="eastAsia" w:ascii="宋体" w:hAnsi="宋体" w:eastAsia="宋体" w:cs="宋体"/>
                <w:color w:val="000000"/>
                <w:kern w:val="0"/>
                <w:sz w:val="24"/>
                <w:szCs w:val="24"/>
              </w:rPr>
              <w:t>1万－</w:t>
            </w:r>
            <w:r>
              <w:rPr>
                <w:rFonts w:ascii="宋体" w:hAnsi="宋体" w:eastAsia="宋体" w:cs="宋体"/>
                <w:color w:val="000000"/>
                <w:kern w:val="0"/>
                <w:sz w:val="24"/>
                <w:szCs w:val="24"/>
              </w:rPr>
              <w:t>0.3</w:t>
            </w:r>
            <w:r>
              <w:rPr>
                <w:rFonts w:hint="eastAsia" w:ascii="宋体" w:hAnsi="宋体" w:eastAsia="宋体" w:cs="宋体"/>
                <w:color w:val="000000"/>
                <w:kern w:val="0"/>
                <w:sz w:val="24"/>
                <w:szCs w:val="24"/>
              </w:rPr>
              <w:t>万元/次，并负责修复。</w:t>
            </w:r>
          </w:p>
        </w:tc>
      </w:tr>
      <w:tr w14:paraId="1FA29B99">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3EB61650">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36</w:t>
            </w:r>
          </w:p>
        </w:tc>
        <w:tc>
          <w:tcPr>
            <w:tcW w:w="5030" w:type="dxa"/>
            <w:tcBorders>
              <w:top w:val="nil"/>
              <w:left w:val="nil"/>
              <w:bottom w:val="single" w:color="auto" w:sz="4" w:space="0"/>
              <w:right w:val="single" w:color="auto" w:sz="4" w:space="0"/>
            </w:tcBorders>
            <w:shd w:val="clear" w:color="auto" w:fill="auto"/>
            <w:vAlign w:val="center"/>
          </w:tcPr>
          <w:p w14:paraId="514C267D">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乙方员工工作现场不穿戴或不正确穿戴劳动防护用品，使用不合格工器具。</w:t>
            </w:r>
          </w:p>
        </w:tc>
        <w:tc>
          <w:tcPr>
            <w:tcW w:w="3720" w:type="dxa"/>
            <w:tcBorders>
              <w:top w:val="nil"/>
              <w:left w:val="nil"/>
              <w:bottom w:val="single" w:color="auto" w:sz="4" w:space="0"/>
              <w:right w:val="single" w:color="auto" w:sz="4" w:space="0"/>
            </w:tcBorders>
            <w:shd w:val="clear" w:color="auto" w:fill="auto"/>
            <w:vAlign w:val="center"/>
          </w:tcPr>
          <w:p w14:paraId="3C7E6B1F">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考核500元－0</w:t>
            </w:r>
            <w:r>
              <w:rPr>
                <w:rFonts w:ascii="宋体" w:hAnsi="宋体" w:eastAsia="宋体" w:cs="宋体"/>
                <w:color w:val="000000"/>
                <w:kern w:val="0"/>
                <w:sz w:val="24"/>
                <w:szCs w:val="24"/>
              </w:rPr>
              <w:t>.1</w:t>
            </w:r>
            <w:r>
              <w:rPr>
                <w:rFonts w:hint="eastAsia" w:ascii="宋体" w:hAnsi="宋体" w:eastAsia="宋体" w:cs="宋体"/>
                <w:color w:val="000000"/>
                <w:kern w:val="0"/>
                <w:sz w:val="24"/>
                <w:szCs w:val="24"/>
              </w:rPr>
              <w:t>万元/人·次</w:t>
            </w:r>
          </w:p>
        </w:tc>
      </w:tr>
      <w:tr w14:paraId="4B1E5EF8">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64D5E096">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37</w:t>
            </w:r>
          </w:p>
        </w:tc>
        <w:tc>
          <w:tcPr>
            <w:tcW w:w="5030" w:type="dxa"/>
            <w:tcBorders>
              <w:top w:val="nil"/>
              <w:left w:val="nil"/>
              <w:bottom w:val="single" w:color="auto" w:sz="4" w:space="0"/>
              <w:right w:val="single" w:color="auto" w:sz="4" w:space="0"/>
            </w:tcBorders>
            <w:shd w:val="clear" w:color="auto" w:fill="auto"/>
            <w:vAlign w:val="center"/>
          </w:tcPr>
          <w:p w14:paraId="08BA416C">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乙方工作人员在甲方厂区内吸烟（规定的吸烟点除外）。</w:t>
            </w:r>
          </w:p>
        </w:tc>
        <w:tc>
          <w:tcPr>
            <w:tcW w:w="3720" w:type="dxa"/>
            <w:tcBorders>
              <w:top w:val="nil"/>
              <w:left w:val="nil"/>
              <w:bottom w:val="single" w:color="auto" w:sz="4" w:space="0"/>
              <w:right w:val="single" w:color="auto" w:sz="4" w:space="0"/>
            </w:tcBorders>
            <w:shd w:val="clear" w:color="auto" w:fill="auto"/>
            <w:vAlign w:val="center"/>
          </w:tcPr>
          <w:p w14:paraId="28258AD6">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厂（场）区吸烟考核</w:t>
            </w:r>
            <w:r>
              <w:rPr>
                <w:rFonts w:ascii="宋体" w:hAnsi="宋体" w:eastAsia="宋体" w:cs="宋体"/>
                <w:color w:val="000000"/>
                <w:kern w:val="0"/>
                <w:sz w:val="24"/>
                <w:szCs w:val="24"/>
              </w:rPr>
              <w:t>500</w:t>
            </w:r>
            <w:r>
              <w:rPr>
                <w:rFonts w:hint="eastAsia" w:ascii="宋体" w:hAnsi="宋体" w:eastAsia="宋体" w:cs="宋体"/>
                <w:color w:val="000000"/>
                <w:kern w:val="0"/>
                <w:sz w:val="24"/>
                <w:szCs w:val="24"/>
              </w:rPr>
              <w:t>元</w:t>
            </w:r>
            <w:r>
              <w:rPr>
                <w:rFonts w:ascii="宋体" w:hAnsi="宋体" w:eastAsia="宋体" w:cs="宋体"/>
                <w:color w:val="000000"/>
                <w:kern w:val="0"/>
                <w:sz w:val="24"/>
                <w:szCs w:val="24"/>
              </w:rPr>
              <w:t>/</w:t>
            </w:r>
            <w:r>
              <w:rPr>
                <w:rFonts w:hint="eastAsia" w:ascii="宋体" w:hAnsi="宋体" w:eastAsia="宋体" w:cs="宋体"/>
                <w:color w:val="000000"/>
                <w:kern w:val="0"/>
                <w:sz w:val="24"/>
                <w:szCs w:val="24"/>
              </w:rPr>
              <w:t>人次，重点防火区域吸烟考核</w:t>
            </w:r>
            <w:r>
              <w:rPr>
                <w:rFonts w:ascii="宋体" w:hAnsi="宋体" w:eastAsia="宋体" w:cs="宋体"/>
                <w:color w:val="000000"/>
                <w:kern w:val="0"/>
                <w:sz w:val="24"/>
                <w:szCs w:val="24"/>
              </w:rPr>
              <w:t>0.1</w:t>
            </w:r>
            <w:r>
              <w:rPr>
                <w:rFonts w:hint="eastAsia" w:ascii="宋体" w:hAnsi="宋体" w:eastAsia="宋体" w:cs="宋体"/>
                <w:color w:val="000000"/>
                <w:kern w:val="0"/>
                <w:sz w:val="24"/>
                <w:szCs w:val="24"/>
              </w:rPr>
              <w:t>万－0</w:t>
            </w:r>
            <w:r>
              <w:rPr>
                <w:rFonts w:ascii="宋体" w:hAnsi="宋体" w:eastAsia="宋体" w:cs="宋体"/>
                <w:color w:val="000000"/>
                <w:kern w:val="0"/>
                <w:sz w:val="24"/>
                <w:szCs w:val="24"/>
              </w:rPr>
              <w:t>.2</w:t>
            </w:r>
            <w:r>
              <w:rPr>
                <w:rFonts w:hint="eastAsia" w:ascii="宋体" w:hAnsi="宋体" w:eastAsia="宋体" w:cs="宋体"/>
                <w:color w:val="000000"/>
                <w:kern w:val="0"/>
                <w:sz w:val="24"/>
                <w:szCs w:val="24"/>
              </w:rPr>
              <w:t>万元</w:t>
            </w:r>
            <w:r>
              <w:rPr>
                <w:rFonts w:ascii="宋体" w:hAnsi="宋体" w:eastAsia="宋体" w:cs="宋体"/>
                <w:color w:val="000000"/>
                <w:kern w:val="0"/>
                <w:sz w:val="24"/>
                <w:szCs w:val="24"/>
              </w:rPr>
              <w:t>/</w:t>
            </w:r>
            <w:r>
              <w:rPr>
                <w:rFonts w:hint="eastAsia" w:ascii="宋体" w:hAnsi="宋体" w:eastAsia="宋体" w:cs="宋体"/>
                <w:color w:val="000000"/>
                <w:kern w:val="0"/>
                <w:sz w:val="24"/>
                <w:szCs w:val="24"/>
              </w:rPr>
              <w:t>人</w:t>
            </w:r>
            <w:r>
              <w:rPr>
                <w:rFonts w:ascii="宋体" w:hAnsi="宋体" w:eastAsia="宋体" w:cs="宋体"/>
                <w:color w:val="000000"/>
                <w:kern w:val="0"/>
                <w:sz w:val="24"/>
                <w:szCs w:val="24"/>
              </w:rPr>
              <w:t>·</w:t>
            </w:r>
            <w:r>
              <w:rPr>
                <w:rFonts w:hint="eastAsia" w:ascii="宋体" w:hAnsi="宋体" w:eastAsia="宋体" w:cs="宋体"/>
                <w:color w:val="000000"/>
                <w:kern w:val="0"/>
                <w:sz w:val="24"/>
                <w:szCs w:val="24"/>
              </w:rPr>
              <w:t>次。</w:t>
            </w:r>
          </w:p>
        </w:tc>
      </w:tr>
      <w:tr w14:paraId="72FF9518">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6015CFBB">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38</w:t>
            </w:r>
          </w:p>
        </w:tc>
        <w:tc>
          <w:tcPr>
            <w:tcW w:w="5030" w:type="dxa"/>
            <w:tcBorders>
              <w:top w:val="nil"/>
              <w:left w:val="nil"/>
              <w:bottom w:val="single" w:color="auto" w:sz="4" w:space="0"/>
              <w:right w:val="single" w:color="auto" w:sz="4" w:space="0"/>
            </w:tcBorders>
            <w:shd w:val="clear" w:color="auto" w:fill="auto"/>
            <w:vAlign w:val="center"/>
          </w:tcPr>
          <w:p w14:paraId="601B5215">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乙方在重点防火部位违规动火</w:t>
            </w:r>
          </w:p>
        </w:tc>
        <w:tc>
          <w:tcPr>
            <w:tcW w:w="3720" w:type="dxa"/>
            <w:tcBorders>
              <w:top w:val="nil"/>
              <w:left w:val="nil"/>
              <w:bottom w:val="single" w:color="auto" w:sz="4" w:space="0"/>
              <w:right w:val="single" w:color="auto" w:sz="4" w:space="0"/>
            </w:tcBorders>
            <w:shd w:val="clear" w:color="auto" w:fill="auto"/>
            <w:vAlign w:val="center"/>
          </w:tcPr>
          <w:p w14:paraId="4B9029A2">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考核0</w:t>
            </w:r>
            <w:r>
              <w:rPr>
                <w:rFonts w:ascii="宋体" w:hAnsi="宋体" w:eastAsia="宋体" w:cs="宋体"/>
                <w:color w:val="000000"/>
                <w:kern w:val="0"/>
                <w:sz w:val="24"/>
                <w:szCs w:val="24"/>
              </w:rPr>
              <w:t>.</w:t>
            </w:r>
            <w:r>
              <w:rPr>
                <w:rFonts w:hint="eastAsia" w:ascii="宋体" w:hAnsi="宋体" w:eastAsia="宋体" w:cs="宋体"/>
                <w:color w:val="000000"/>
                <w:kern w:val="0"/>
                <w:sz w:val="24"/>
                <w:szCs w:val="24"/>
              </w:rPr>
              <w:t>2万－0</w:t>
            </w:r>
            <w:r>
              <w:rPr>
                <w:rFonts w:ascii="宋体" w:hAnsi="宋体" w:eastAsia="宋体" w:cs="宋体"/>
                <w:color w:val="000000"/>
                <w:kern w:val="0"/>
                <w:sz w:val="24"/>
                <w:szCs w:val="24"/>
              </w:rPr>
              <w:t>.</w:t>
            </w:r>
            <w:r>
              <w:rPr>
                <w:rFonts w:hint="eastAsia" w:ascii="宋体" w:hAnsi="宋体" w:eastAsia="宋体" w:cs="宋体"/>
                <w:color w:val="000000"/>
                <w:kern w:val="0"/>
                <w:sz w:val="24"/>
                <w:szCs w:val="24"/>
              </w:rPr>
              <w:t>5万元/项</w:t>
            </w:r>
          </w:p>
        </w:tc>
      </w:tr>
      <w:tr w14:paraId="68FF6F62">
        <w:tblPrEx>
          <w:tblCellMar>
            <w:top w:w="0" w:type="dxa"/>
            <w:left w:w="108" w:type="dxa"/>
            <w:bottom w:w="0" w:type="dxa"/>
            <w:right w:w="108" w:type="dxa"/>
          </w:tblCellMar>
        </w:tblPrEx>
        <w:trPr>
          <w:trHeight w:val="937"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36F9DC5B">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39</w:t>
            </w:r>
          </w:p>
        </w:tc>
        <w:tc>
          <w:tcPr>
            <w:tcW w:w="5030" w:type="dxa"/>
            <w:tcBorders>
              <w:top w:val="nil"/>
              <w:left w:val="nil"/>
              <w:bottom w:val="single" w:color="auto" w:sz="4" w:space="0"/>
              <w:right w:val="single" w:color="auto" w:sz="4" w:space="0"/>
            </w:tcBorders>
            <w:shd w:val="clear" w:color="auto" w:fill="auto"/>
            <w:vAlign w:val="center"/>
          </w:tcPr>
          <w:p w14:paraId="0D7A3175">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乙方高处动火作业，对下方的设备不采取防火隔离措施，或在地板砖、网格栅等处施工未采取保护措施。</w:t>
            </w:r>
          </w:p>
        </w:tc>
        <w:tc>
          <w:tcPr>
            <w:tcW w:w="3720" w:type="dxa"/>
            <w:tcBorders>
              <w:top w:val="nil"/>
              <w:left w:val="nil"/>
              <w:bottom w:val="single" w:color="auto" w:sz="4" w:space="0"/>
              <w:right w:val="single" w:color="auto" w:sz="4" w:space="0"/>
            </w:tcBorders>
            <w:shd w:val="clear" w:color="auto" w:fill="auto"/>
            <w:vAlign w:val="center"/>
          </w:tcPr>
          <w:p w14:paraId="12F4664F">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考核500元－0</w:t>
            </w:r>
            <w:r>
              <w:rPr>
                <w:rFonts w:ascii="宋体" w:hAnsi="宋体" w:eastAsia="宋体" w:cs="宋体"/>
                <w:color w:val="000000"/>
                <w:kern w:val="0"/>
                <w:sz w:val="24"/>
                <w:szCs w:val="24"/>
              </w:rPr>
              <w:t>.</w:t>
            </w:r>
            <w:r>
              <w:rPr>
                <w:rFonts w:hint="eastAsia" w:ascii="宋体" w:hAnsi="宋体" w:eastAsia="宋体" w:cs="宋体"/>
                <w:color w:val="000000"/>
                <w:kern w:val="0"/>
                <w:sz w:val="24"/>
                <w:szCs w:val="24"/>
              </w:rPr>
              <w:t>1万元/次</w:t>
            </w:r>
          </w:p>
        </w:tc>
      </w:tr>
      <w:tr w14:paraId="6838B588">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6B4EC7D9">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40</w:t>
            </w:r>
          </w:p>
        </w:tc>
        <w:tc>
          <w:tcPr>
            <w:tcW w:w="5030" w:type="dxa"/>
            <w:tcBorders>
              <w:top w:val="nil"/>
              <w:left w:val="nil"/>
              <w:bottom w:val="single" w:color="auto" w:sz="4" w:space="0"/>
              <w:right w:val="single" w:color="auto" w:sz="4" w:space="0"/>
            </w:tcBorders>
            <w:shd w:val="clear" w:color="auto" w:fill="auto"/>
            <w:vAlign w:val="center"/>
          </w:tcPr>
          <w:p w14:paraId="1DD5F830">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乙方擅自使用甲方消防水源，挪用、摆压、封堵、圈围、拆除、停用甲方消防设施。</w:t>
            </w:r>
          </w:p>
        </w:tc>
        <w:tc>
          <w:tcPr>
            <w:tcW w:w="3720" w:type="dxa"/>
            <w:tcBorders>
              <w:top w:val="nil"/>
              <w:left w:val="nil"/>
              <w:bottom w:val="single" w:color="auto" w:sz="4" w:space="0"/>
              <w:right w:val="single" w:color="auto" w:sz="4" w:space="0"/>
            </w:tcBorders>
            <w:shd w:val="clear" w:color="auto" w:fill="auto"/>
            <w:vAlign w:val="center"/>
          </w:tcPr>
          <w:p w14:paraId="52C86392">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考核500元－</w:t>
            </w:r>
            <w:r>
              <w:rPr>
                <w:rFonts w:ascii="宋体" w:hAnsi="宋体" w:eastAsia="宋体" w:cs="宋体"/>
                <w:color w:val="000000"/>
                <w:kern w:val="0"/>
                <w:sz w:val="24"/>
                <w:szCs w:val="24"/>
              </w:rPr>
              <w:t>0.</w:t>
            </w:r>
            <w:r>
              <w:rPr>
                <w:rFonts w:hint="eastAsia" w:ascii="宋体" w:hAnsi="宋体" w:eastAsia="宋体" w:cs="宋体"/>
                <w:color w:val="000000"/>
                <w:kern w:val="0"/>
                <w:sz w:val="24"/>
                <w:szCs w:val="24"/>
              </w:rPr>
              <w:t>1万元/项，并负责修复或恢复。</w:t>
            </w:r>
          </w:p>
        </w:tc>
      </w:tr>
      <w:tr w14:paraId="08A3013A">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6ED56728">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41</w:t>
            </w:r>
          </w:p>
        </w:tc>
        <w:tc>
          <w:tcPr>
            <w:tcW w:w="5030" w:type="dxa"/>
            <w:tcBorders>
              <w:top w:val="nil"/>
              <w:left w:val="nil"/>
              <w:bottom w:val="single" w:color="auto" w:sz="4" w:space="0"/>
              <w:right w:val="single" w:color="auto" w:sz="4" w:space="0"/>
            </w:tcBorders>
            <w:shd w:val="clear" w:color="auto" w:fill="auto"/>
            <w:vAlign w:val="center"/>
          </w:tcPr>
          <w:p w14:paraId="030C19B7">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乙方未经批准堵塞安全出口、疏散通道、消防通道或者占用防火间距。</w:t>
            </w:r>
          </w:p>
        </w:tc>
        <w:tc>
          <w:tcPr>
            <w:tcW w:w="3720" w:type="dxa"/>
            <w:tcBorders>
              <w:top w:val="nil"/>
              <w:left w:val="nil"/>
              <w:bottom w:val="single" w:color="auto" w:sz="4" w:space="0"/>
              <w:right w:val="single" w:color="auto" w:sz="4" w:space="0"/>
            </w:tcBorders>
            <w:shd w:val="clear" w:color="auto" w:fill="auto"/>
            <w:vAlign w:val="center"/>
          </w:tcPr>
          <w:p w14:paraId="673C3A05">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考核500元－</w:t>
            </w:r>
            <w:r>
              <w:rPr>
                <w:rFonts w:ascii="宋体" w:hAnsi="宋体" w:eastAsia="宋体" w:cs="宋体"/>
                <w:color w:val="000000"/>
                <w:kern w:val="0"/>
                <w:sz w:val="24"/>
                <w:szCs w:val="24"/>
              </w:rPr>
              <w:t>0.</w:t>
            </w:r>
            <w:r>
              <w:rPr>
                <w:rFonts w:hint="eastAsia" w:ascii="宋体" w:hAnsi="宋体" w:eastAsia="宋体" w:cs="宋体"/>
                <w:color w:val="000000"/>
                <w:kern w:val="0"/>
                <w:sz w:val="24"/>
                <w:szCs w:val="24"/>
              </w:rPr>
              <w:t>1万元/项</w:t>
            </w:r>
          </w:p>
        </w:tc>
      </w:tr>
      <w:tr w14:paraId="555A18DC">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7B5AD485">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42</w:t>
            </w:r>
          </w:p>
        </w:tc>
        <w:tc>
          <w:tcPr>
            <w:tcW w:w="5030" w:type="dxa"/>
            <w:tcBorders>
              <w:top w:val="nil"/>
              <w:left w:val="nil"/>
              <w:bottom w:val="single" w:color="auto" w:sz="4" w:space="0"/>
              <w:right w:val="single" w:color="auto" w:sz="4" w:space="0"/>
            </w:tcBorders>
            <w:shd w:val="clear" w:color="auto" w:fill="auto"/>
            <w:vAlign w:val="center"/>
          </w:tcPr>
          <w:p w14:paraId="5DE9DC6B">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乙方不执行甲方临时电源管理规定，私拉乱接电线，或不正确使用现场检修电源箱。</w:t>
            </w:r>
          </w:p>
        </w:tc>
        <w:tc>
          <w:tcPr>
            <w:tcW w:w="3720" w:type="dxa"/>
            <w:tcBorders>
              <w:top w:val="nil"/>
              <w:left w:val="nil"/>
              <w:bottom w:val="single" w:color="auto" w:sz="4" w:space="0"/>
              <w:right w:val="single" w:color="auto" w:sz="4" w:space="0"/>
            </w:tcBorders>
            <w:shd w:val="clear" w:color="auto" w:fill="auto"/>
            <w:vAlign w:val="center"/>
          </w:tcPr>
          <w:p w14:paraId="39B34D5F">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考核500元－0</w:t>
            </w:r>
            <w:r>
              <w:rPr>
                <w:rFonts w:ascii="宋体" w:hAnsi="宋体" w:eastAsia="宋体" w:cs="宋体"/>
                <w:color w:val="000000"/>
                <w:kern w:val="0"/>
                <w:sz w:val="24"/>
                <w:szCs w:val="24"/>
              </w:rPr>
              <w:t>.</w:t>
            </w:r>
            <w:r>
              <w:rPr>
                <w:rFonts w:hint="eastAsia" w:ascii="宋体" w:hAnsi="宋体" w:eastAsia="宋体" w:cs="宋体"/>
                <w:color w:val="000000"/>
                <w:kern w:val="0"/>
                <w:sz w:val="24"/>
                <w:szCs w:val="24"/>
              </w:rPr>
              <w:t>1万元/项</w:t>
            </w:r>
          </w:p>
        </w:tc>
      </w:tr>
      <w:tr w14:paraId="21982EE1">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23451030">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43</w:t>
            </w:r>
          </w:p>
        </w:tc>
        <w:tc>
          <w:tcPr>
            <w:tcW w:w="5030" w:type="dxa"/>
            <w:tcBorders>
              <w:top w:val="nil"/>
              <w:left w:val="nil"/>
              <w:bottom w:val="single" w:color="auto" w:sz="4" w:space="0"/>
              <w:right w:val="single" w:color="auto" w:sz="4" w:space="0"/>
            </w:tcBorders>
            <w:shd w:val="clear" w:color="auto" w:fill="auto"/>
            <w:vAlign w:val="center"/>
          </w:tcPr>
          <w:p w14:paraId="584A8194">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乙方违反规程中有关电焊、气焊管理规定，气瓶储存、定置不附合规定，作业工具及施工工艺不附合要求。</w:t>
            </w:r>
          </w:p>
        </w:tc>
        <w:tc>
          <w:tcPr>
            <w:tcW w:w="3720" w:type="dxa"/>
            <w:tcBorders>
              <w:top w:val="nil"/>
              <w:left w:val="nil"/>
              <w:bottom w:val="single" w:color="auto" w:sz="4" w:space="0"/>
              <w:right w:val="single" w:color="auto" w:sz="4" w:space="0"/>
            </w:tcBorders>
            <w:shd w:val="clear" w:color="auto" w:fill="auto"/>
            <w:vAlign w:val="center"/>
          </w:tcPr>
          <w:p w14:paraId="2CACA070">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考核500元-</w:t>
            </w:r>
            <w:r>
              <w:rPr>
                <w:rFonts w:ascii="宋体" w:hAnsi="宋体" w:eastAsia="宋体" w:cs="宋体"/>
                <w:color w:val="000000"/>
                <w:kern w:val="0"/>
                <w:sz w:val="24"/>
                <w:szCs w:val="24"/>
              </w:rPr>
              <w:t>0.</w:t>
            </w:r>
            <w:r>
              <w:rPr>
                <w:rFonts w:hint="eastAsia" w:ascii="宋体" w:hAnsi="宋体" w:eastAsia="宋体" w:cs="宋体"/>
                <w:color w:val="000000"/>
                <w:kern w:val="0"/>
                <w:sz w:val="24"/>
                <w:szCs w:val="24"/>
              </w:rPr>
              <w:t>1万元/项</w:t>
            </w:r>
          </w:p>
        </w:tc>
      </w:tr>
      <w:tr w14:paraId="3C77782A">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04E2CD2D">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44</w:t>
            </w:r>
          </w:p>
        </w:tc>
        <w:tc>
          <w:tcPr>
            <w:tcW w:w="5030" w:type="dxa"/>
            <w:tcBorders>
              <w:top w:val="nil"/>
              <w:left w:val="nil"/>
              <w:bottom w:val="single" w:color="auto" w:sz="4" w:space="0"/>
              <w:right w:val="single" w:color="auto" w:sz="4" w:space="0"/>
            </w:tcBorders>
            <w:shd w:val="clear" w:color="auto" w:fill="auto"/>
            <w:vAlign w:val="center"/>
          </w:tcPr>
          <w:p w14:paraId="1C29E931">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乙方车辆超速行驶或不按规定线路行驶、停放，违反甲方厂（场）区交通规定。</w:t>
            </w:r>
          </w:p>
        </w:tc>
        <w:tc>
          <w:tcPr>
            <w:tcW w:w="3720" w:type="dxa"/>
            <w:tcBorders>
              <w:top w:val="nil"/>
              <w:left w:val="nil"/>
              <w:bottom w:val="single" w:color="auto" w:sz="4" w:space="0"/>
              <w:right w:val="single" w:color="auto" w:sz="4" w:space="0"/>
            </w:tcBorders>
            <w:shd w:val="clear" w:color="auto" w:fill="auto"/>
            <w:vAlign w:val="center"/>
          </w:tcPr>
          <w:p w14:paraId="744B6545">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考核200元－500元/次，造成经济损失的照价赔偿。</w:t>
            </w:r>
          </w:p>
        </w:tc>
      </w:tr>
      <w:tr w14:paraId="0B9CB69B">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39869CEB">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45</w:t>
            </w:r>
          </w:p>
        </w:tc>
        <w:tc>
          <w:tcPr>
            <w:tcW w:w="5030" w:type="dxa"/>
            <w:tcBorders>
              <w:top w:val="nil"/>
              <w:left w:val="nil"/>
              <w:bottom w:val="single" w:color="auto" w:sz="4" w:space="0"/>
              <w:right w:val="single" w:color="auto" w:sz="4" w:space="0"/>
            </w:tcBorders>
            <w:shd w:val="clear" w:color="auto" w:fill="auto"/>
            <w:vAlign w:val="center"/>
          </w:tcPr>
          <w:p w14:paraId="250B63C7">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乙方在甲方范围违反规定使用叉车、推扒机、电瓶车等厂内专用车辆，或车辆维护、保养不到位，安全可靠性不达标。</w:t>
            </w:r>
          </w:p>
        </w:tc>
        <w:tc>
          <w:tcPr>
            <w:tcW w:w="3720" w:type="dxa"/>
            <w:tcBorders>
              <w:top w:val="nil"/>
              <w:left w:val="nil"/>
              <w:bottom w:val="single" w:color="auto" w:sz="4" w:space="0"/>
              <w:right w:val="single" w:color="auto" w:sz="4" w:space="0"/>
            </w:tcBorders>
            <w:shd w:val="clear" w:color="auto" w:fill="auto"/>
            <w:vAlign w:val="center"/>
          </w:tcPr>
          <w:p w14:paraId="39083DDE">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考核500元－0</w:t>
            </w:r>
            <w:r>
              <w:rPr>
                <w:rFonts w:ascii="宋体" w:hAnsi="宋体" w:eastAsia="宋体" w:cs="宋体"/>
                <w:color w:val="000000"/>
                <w:kern w:val="0"/>
                <w:sz w:val="24"/>
                <w:szCs w:val="24"/>
              </w:rPr>
              <w:t>.</w:t>
            </w:r>
            <w:r>
              <w:rPr>
                <w:rFonts w:hint="eastAsia" w:ascii="宋体" w:hAnsi="宋体" w:eastAsia="宋体" w:cs="宋体"/>
                <w:color w:val="000000"/>
                <w:kern w:val="0"/>
                <w:sz w:val="24"/>
                <w:szCs w:val="24"/>
              </w:rPr>
              <w:t>2万元/次</w:t>
            </w:r>
          </w:p>
        </w:tc>
      </w:tr>
      <w:tr w14:paraId="2F92F12B">
        <w:tblPrEx>
          <w:tblCellMar>
            <w:top w:w="0" w:type="dxa"/>
            <w:left w:w="108" w:type="dxa"/>
            <w:bottom w:w="0" w:type="dxa"/>
            <w:right w:w="108" w:type="dxa"/>
          </w:tblCellMar>
        </w:tblPrEx>
        <w:trPr>
          <w:trHeight w:val="415"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6506B5E4">
            <w:pPr>
              <w:widowControl/>
              <w:spacing w:line="360" w:lineRule="exact"/>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四</w:t>
            </w:r>
          </w:p>
        </w:tc>
        <w:tc>
          <w:tcPr>
            <w:tcW w:w="5030" w:type="dxa"/>
            <w:tcBorders>
              <w:top w:val="nil"/>
              <w:left w:val="nil"/>
              <w:bottom w:val="single" w:color="auto" w:sz="4" w:space="0"/>
              <w:right w:val="single" w:color="auto" w:sz="4" w:space="0"/>
            </w:tcBorders>
            <w:shd w:val="clear" w:color="auto" w:fill="auto"/>
            <w:vAlign w:val="center"/>
          </w:tcPr>
          <w:p w14:paraId="6736F616">
            <w:pPr>
              <w:widowControl/>
              <w:spacing w:line="360" w:lineRule="exact"/>
              <w:jc w:val="left"/>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其它类考核</w:t>
            </w:r>
          </w:p>
        </w:tc>
        <w:tc>
          <w:tcPr>
            <w:tcW w:w="3720" w:type="dxa"/>
            <w:tcBorders>
              <w:top w:val="nil"/>
              <w:left w:val="nil"/>
              <w:bottom w:val="single" w:color="auto" w:sz="4" w:space="0"/>
              <w:right w:val="single" w:color="auto" w:sz="4" w:space="0"/>
            </w:tcBorders>
            <w:shd w:val="clear" w:color="auto" w:fill="auto"/>
            <w:vAlign w:val="center"/>
          </w:tcPr>
          <w:p w14:paraId="46E046D6">
            <w:pPr>
              <w:widowControl/>
              <w:spacing w:line="360" w:lineRule="exact"/>
              <w:jc w:val="left"/>
              <w:rPr>
                <w:rFonts w:ascii="宋体" w:hAnsi="宋体" w:eastAsia="宋体" w:cs="宋体"/>
                <w:color w:val="000000"/>
                <w:kern w:val="0"/>
                <w:sz w:val="24"/>
                <w:szCs w:val="24"/>
              </w:rPr>
            </w:pPr>
          </w:p>
        </w:tc>
      </w:tr>
      <w:tr w14:paraId="2F3F3399">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399465B2">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46</w:t>
            </w:r>
          </w:p>
        </w:tc>
        <w:tc>
          <w:tcPr>
            <w:tcW w:w="5030" w:type="dxa"/>
            <w:tcBorders>
              <w:top w:val="nil"/>
              <w:left w:val="nil"/>
              <w:bottom w:val="single" w:color="auto" w:sz="4" w:space="0"/>
              <w:right w:val="single" w:color="auto" w:sz="4" w:space="0"/>
            </w:tcBorders>
            <w:shd w:val="clear" w:color="auto" w:fill="auto"/>
            <w:vAlign w:val="center"/>
          </w:tcPr>
          <w:p w14:paraId="439AAEA3">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乙方无故缺席甲方项目安全会议，或未及时传达、下发甲方专项要求、事故通报等。</w:t>
            </w:r>
          </w:p>
        </w:tc>
        <w:tc>
          <w:tcPr>
            <w:tcW w:w="3720" w:type="dxa"/>
            <w:tcBorders>
              <w:top w:val="nil"/>
              <w:left w:val="nil"/>
              <w:bottom w:val="single" w:color="auto" w:sz="4" w:space="0"/>
              <w:right w:val="single" w:color="auto" w:sz="4" w:space="0"/>
            </w:tcBorders>
            <w:shd w:val="clear" w:color="auto" w:fill="auto"/>
            <w:vAlign w:val="center"/>
          </w:tcPr>
          <w:p w14:paraId="3F39AE3E">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考核200-500元/次</w:t>
            </w:r>
          </w:p>
        </w:tc>
      </w:tr>
      <w:tr w14:paraId="626D3E85">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0D146994">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47</w:t>
            </w:r>
          </w:p>
        </w:tc>
        <w:tc>
          <w:tcPr>
            <w:tcW w:w="5030" w:type="dxa"/>
            <w:tcBorders>
              <w:top w:val="nil"/>
              <w:left w:val="nil"/>
              <w:bottom w:val="single" w:color="auto" w:sz="4" w:space="0"/>
              <w:right w:val="single" w:color="auto" w:sz="4" w:space="0"/>
            </w:tcBorders>
            <w:shd w:val="clear" w:color="auto" w:fill="auto"/>
            <w:vAlign w:val="center"/>
          </w:tcPr>
          <w:p w14:paraId="308BE1BE">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乙方违反《电力安全工作规程》中搬运规定，造成厂区道路污染、草木或设备损坏等。</w:t>
            </w:r>
          </w:p>
        </w:tc>
        <w:tc>
          <w:tcPr>
            <w:tcW w:w="3720" w:type="dxa"/>
            <w:tcBorders>
              <w:top w:val="nil"/>
              <w:left w:val="nil"/>
              <w:bottom w:val="single" w:color="auto" w:sz="4" w:space="0"/>
              <w:right w:val="single" w:color="auto" w:sz="4" w:space="0"/>
            </w:tcBorders>
            <w:shd w:val="clear" w:color="auto" w:fill="auto"/>
            <w:vAlign w:val="center"/>
          </w:tcPr>
          <w:p w14:paraId="409C26B1">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考核500元－0</w:t>
            </w:r>
            <w:r>
              <w:rPr>
                <w:rFonts w:ascii="宋体" w:hAnsi="宋体" w:eastAsia="宋体" w:cs="宋体"/>
                <w:color w:val="000000"/>
                <w:kern w:val="0"/>
                <w:sz w:val="24"/>
                <w:szCs w:val="24"/>
              </w:rPr>
              <w:t>.</w:t>
            </w:r>
            <w:r>
              <w:rPr>
                <w:rFonts w:hint="eastAsia" w:ascii="宋体" w:hAnsi="宋体" w:eastAsia="宋体" w:cs="宋体"/>
                <w:color w:val="000000"/>
                <w:kern w:val="0"/>
                <w:sz w:val="24"/>
                <w:szCs w:val="24"/>
              </w:rPr>
              <w:t>2万元/次，并负责修复。</w:t>
            </w:r>
          </w:p>
        </w:tc>
      </w:tr>
      <w:tr w14:paraId="4C017C3A">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497198DA">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48</w:t>
            </w:r>
          </w:p>
        </w:tc>
        <w:tc>
          <w:tcPr>
            <w:tcW w:w="5030" w:type="dxa"/>
            <w:tcBorders>
              <w:top w:val="nil"/>
              <w:left w:val="nil"/>
              <w:bottom w:val="single" w:color="auto" w:sz="4" w:space="0"/>
              <w:right w:val="single" w:color="auto" w:sz="4" w:space="0"/>
            </w:tcBorders>
            <w:shd w:val="clear" w:color="auto" w:fill="auto"/>
            <w:vAlign w:val="center"/>
          </w:tcPr>
          <w:p w14:paraId="1C20C204">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乙方作业区域脏、乱、差现象严重，工作结束未做到“工完、料尽、场地清”。</w:t>
            </w:r>
          </w:p>
        </w:tc>
        <w:tc>
          <w:tcPr>
            <w:tcW w:w="3720" w:type="dxa"/>
            <w:tcBorders>
              <w:top w:val="nil"/>
              <w:left w:val="nil"/>
              <w:bottom w:val="single" w:color="auto" w:sz="4" w:space="0"/>
              <w:right w:val="single" w:color="auto" w:sz="4" w:space="0"/>
            </w:tcBorders>
            <w:shd w:val="clear" w:color="auto" w:fill="auto"/>
            <w:vAlign w:val="center"/>
          </w:tcPr>
          <w:p w14:paraId="531DEBBD">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考核500元－0</w:t>
            </w:r>
            <w:r>
              <w:rPr>
                <w:rFonts w:ascii="宋体" w:hAnsi="宋体" w:eastAsia="宋体" w:cs="宋体"/>
                <w:color w:val="000000"/>
                <w:kern w:val="0"/>
                <w:sz w:val="24"/>
                <w:szCs w:val="24"/>
              </w:rPr>
              <w:t>.</w:t>
            </w:r>
            <w:r>
              <w:rPr>
                <w:rFonts w:hint="eastAsia" w:ascii="宋体" w:hAnsi="宋体" w:eastAsia="宋体" w:cs="宋体"/>
                <w:color w:val="000000"/>
                <w:kern w:val="0"/>
                <w:sz w:val="24"/>
                <w:szCs w:val="24"/>
              </w:rPr>
              <w:t>2万元/次</w:t>
            </w:r>
          </w:p>
        </w:tc>
      </w:tr>
      <w:tr w14:paraId="69A7A1D2">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50F0F706">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49</w:t>
            </w:r>
          </w:p>
        </w:tc>
        <w:tc>
          <w:tcPr>
            <w:tcW w:w="5030" w:type="dxa"/>
            <w:tcBorders>
              <w:top w:val="nil"/>
              <w:left w:val="nil"/>
              <w:bottom w:val="single" w:color="auto" w:sz="4" w:space="0"/>
              <w:right w:val="single" w:color="auto" w:sz="4" w:space="0"/>
            </w:tcBorders>
            <w:shd w:val="clear" w:color="auto" w:fill="auto"/>
            <w:vAlign w:val="center"/>
          </w:tcPr>
          <w:p w14:paraId="5FAC66F6">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乙方现场材料、工具、部件、棚架、油漆、废料等不符合定置管理要求，经提出后仍不整改</w:t>
            </w:r>
          </w:p>
        </w:tc>
        <w:tc>
          <w:tcPr>
            <w:tcW w:w="3720" w:type="dxa"/>
            <w:tcBorders>
              <w:top w:val="nil"/>
              <w:left w:val="nil"/>
              <w:bottom w:val="single" w:color="auto" w:sz="4" w:space="0"/>
              <w:right w:val="single" w:color="auto" w:sz="4" w:space="0"/>
            </w:tcBorders>
            <w:shd w:val="clear" w:color="auto" w:fill="auto"/>
            <w:vAlign w:val="center"/>
          </w:tcPr>
          <w:p w14:paraId="4ABFA716">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考核500元－0</w:t>
            </w:r>
            <w:r>
              <w:rPr>
                <w:rFonts w:ascii="宋体" w:hAnsi="宋体" w:eastAsia="宋体" w:cs="宋体"/>
                <w:color w:val="000000"/>
                <w:kern w:val="0"/>
                <w:sz w:val="24"/>
                <w:szCs w:val="24"/>
              </w:rPr>
              <w:t>.</w:t>
            </w:r>
            <w:r>
              <w:rPr>
                <w:rFonts w:hint="eastAsia" w:ascii="宋体" w:hAnsi="宋体" w:eastAsia="宋体" w:cs="宋体"/>
                <w:color w:val="000000"/>
                <w:kern w:val="0"/>
                <w:sz w:val="24"/>
                <w:szCs w:val="24"/>
              </w:rPr>
              <w:t>2万元/项</w:t>
            </w:r>
          </w:p>
        </w:tc>
      </w:tr>
      <w:tr w14:paraId="5DDCAE70">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53C778C1">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50</w:t>
            </w:r>
          </w:p>
        </w:tc>
        <w:tc>
          <w:tcPr>
            <w:tcW w:w="5030" w:type="dxa"/>
            <w:tcBorders>
              <w:top w:val="nil"/>
              <w:left w:val="nil"/>
              <w:bottom w:val="single" w:color="auto" w:sz="4" w:space="0"/>
              <w:right w:val="single" w:color="auto" w:sz="4" w:space="0"/>
            </w:tcBorders>
            <w:shd w:val="clear" w:color="auto" w:fill="auto"/>
            <w:vAlign w:val="center"/>
          </w:tcPr>
          <w:p w14:paraId="0ECF3311">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乙方设备作业区域不采取完善的隔离保护措施，或由此造成设备、备品备件、零配件丢失或损坏，杂物掉入、设施损坏、环境污染等。</w:t>
            </w:r>
          </w:p>
        </w:tc>
        <w:tc>
          <w:tcPr>
            <w:tcW w:w="3720" w:type="dxa"/>
            <w:tcBorders>
              <w:top w:val="nil"/>
              <w:left w:val="nil"/>
              <w:bottom w:val="single" w:color="auto" w:sz="4" w:space="0"/>
              <w:right w:val="single" w:color="auto" w:sz="4" w:space="0"/>
            </w:tcBorders>
            <w:shd w:val="clear" w:color="auto" w:fill="auto"/>
            <w:vAlign w:val="center"/>
          </w:tcPr>
          <w:p w14:paraId="574EBF61">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考核500元－0</w:t>
            </w:r>
            <w:r>
              <w:rPr>
                <w:rFonts w:ascii="宋体" w:hAnsi="宋体" w:eastAsia="宋体" w:cs="宋体"/>
                <w:color w:val="000000"/>
                <w:kern w:val="0"/>
                <w:sz w:val="24"/>
                <w:szCs w:val="24"/>
              </w:rPr>
              <w:t>.1</w:t>
            </w:r>
            <w:r>
              <w:rPr>
                <w:rFonts w:hint="eastAsia" w:ascii="宋体" w:hAnsi="宋体" w:eastAsia="宋体" w:cs="宋体"/>
                <w:color w:val="000000"/>
                <w:kern w:val="0"/>
                <w:sz w:val="24"/>
                <w:szCs w:val="24"/>
              </w:rPr>
              <w:t>万元/次，设备和备件丢失、损坏按原价赔偿。</w:t>
            </w:r>
          </w:p>
        </w:tc>
      </w:tr>
      <w:tr w14:paraId="7F1CFA08">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72A1C2C3">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51</w:t>
            </w:r>
          </w:p>
        </w:tc>
        <w:tc>
          <w:tcPr>
            <w:tcW w:w="5030" w:type="dxa"/>
            <w:tcBorders>
              <w:top w:val="nil"/>
              <w:left w:val="nil"/>
              <w:bottom w:val="single" w:color="auto" w:sz="4" w:space="0"/>
              <w:right w:val="single" w:color="auto" w:sz="4" w:space="0"/>
            </w:tcBorders>
            <w:shd w:val="clear" w:color="auto" w:fill="auto"/>
            <w:vAlign w:val="center"/>
          </w:tcPr>
          <w:p w14:paraId="3E7260BD">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乙方损坏或丢弃甲方设备标示牌及安措警示牌，未及时恢复。</w:t>
            </w:r>
          </w:p>
        </w:tc>
        <w:tc>
          <w:tcPr>
            <w:tcW w:w="3720" w:type="dxa"/>
            <w:tcBorders>
              <w:top w:val="nil"/>
              <w:left w:val="nil"/>
              <w:bottom w:val="single" w:color="auto" w:sz="4" w:space="0"/>
              <w:right w:val="single" w:color="auto" w:sz="4" w:space="0"/>
            </w:tcBorders>
            <w:shd w:val="clear" w:color="auto" w:fill="auto"/>
            <w:vAlign w:val="center"/>
          </w:tcPr>
          <w:p w14:paraId="30014C05">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考核100元－200元/个，并负责恢复。</w:t>
            </w:r>
          </w:p>
        </w:tc>
      </w:tr>
      <w:tr w14:paraId="4F7178E8">
        <w:tblPrEx>
          <w:tblCellMar>
            <w:top w:w="0" w:type="dxa"/>
            <w:left w:w="108" w:type="dxa"/>
            <w:bottom w:w="0" w:type="dxa"/>
            <w:right w:w="108" w:type="dxa"/>
          </w:tblCellMar>
        </w:tblPrEx>
        <w:trPr>
          <w:trHeight w:val="510" w:hRule="atLeast"/>
          <w:jc w:val="center"/>
        </w:trPr>
        <w:tc>
          <w:tcPr>
            <w:tcW w:w="716" w:type="dxa"/>
            <w:tcBorders>
              <w:top w:val="nil"/>
              <w:left w:val="single" w:color="auto" w:sz="4" w:space="0"/>
              <w:bottom w:val="single" w:color="auto" w:sz="4" w:space="0"/>
              <w:right w:val="single" w:color="auto" w:sz="4" w:space="0"/>
            </w:tcBorders>
            <w:shd w:val="clear" w:color="auto" w:fill="auto"/>
            <w:vAlign w:val="center"/>
          </w:tcPr>
          <w:p w14:paraId="20FB5117">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52</w:t>
            </w:r>
          </w:p>
        </w:tc>
        <w:tc>
          <w:tcPr>
            <w:tcW w:w="5030" w:type="dxa"/>
            <w:tcBorders>
              <w:top w:val="nil"/>
              <w:left w:val="nil"/>
              <w:bottom w:val="single" w:color="auto" w:sz="4" w:space="0"/>
              <w:right w:val="single" w:color="auto" w:sz="4" w:space="0"/>
            </w:tcBorders>
            <w:shd w:val="clear" w:color="auto" w:fill="auto"/>
            <w:vAlign w:val="center"/>
          </w:tcPr>
          <w:p w14:paraId="7ABE5E63">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乙方违反甲方安全管理制度等的其它未列事项。</w:t>
            </w:r>
          </w:p>
        </w:tc>
        <w:tc>
          <w:tcPr>
            <w:tcW w:w="3720" w:type="dxa"/>
            <w:tcBorders>
              <w:top w:val="nil"/>
              <w:left w:val="nil"/>
              <w:bottom w:val="single" w:color="auto" w:sz="4" w:space="0"/>
              <w:right w:val="single" w:color="auto" w:sz="4" w:space="0"/>
            </w:tcBorders>
            <w:shd w:val="clear" w:color="auto" w:fill="auto"/>
            <w:vAlign w:val="center"/>
          </w:tcPr>
          <w:p w14:paraId="39A56058">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考核200元－0</w:t>
            </w:r>
            <w:r>
              <w:rPr>
                <w:rFonts w:ascii="宋体" w:hAnsi="宋体" w:eastAsia="宋体" w:cs="宋体"/>
                <w:color w:val="000000"/>
                <w:kern w:val="0"/>
                <w:sz w:val="24"/>
                <w:szCs w:val="24"/>
              </w:rPr>
              <w:t>.</w:t>
            </w:r>
            <w:r>
              <w:rPr>
                <w:rFonts w:hint="eastAsia" w:ascii="宋体" w:hAnsi="宋体" w:eastAsia="宋体" w:cs="宋体"/>
                <w:color w:val="000000"/>
                <w:kern w:val="0"/>
                <w:sz w:val="24"/>
                <w:szCs w:val="24"/>
              </w:rPr>
              <w:t>1万元/次，或按甲方相关管理制度执行。</w:t>
            </w:r>
          </w:p>
        </w:tc>
      </w:tr>
    </w:tbl>
    <w:p w14:paraId="66424A85">
      <w:pPr>
        <w:spacing w:beforeLines="0" w:line="240" w:lineRule="auto"/>
        <w:rPr>
          <w:rFonts w:ascii="方正小标宋简体" w:hAnsi="黑体" w:eastAsia="方正小标宋简体"/>
          <w:b/>
          <w:sz w:val="44"/>
          <w:szCs w:val="44"/>
        </w:rPr>
      </w:pPr>
      <w:r>
        <w:rPr>
          <w:rFonts w:ascii="方正小标宋简体" w:hAnsi="黑体" w:eastAsia="方正小标宋简体"/>
          <w:b/>
          <w:sz w:val="44"/>
          <w:szCs w:val="44"/>
        </w:rPr>
        <w:br w:type="page"/>
      </w:r>
    </w:p>
    <w:p w14:paraId="4692B836">
      <w:pPr>
        <w:pStyle w:val="26"/>
      </w:pPr>
    </w:p>
    <w:p w14:paraId="2BA71916">
      <w:pPr>
        <w:spacing w:before="120"/>
        <w:rPr>
          <w:rFonts w:ascii="宋体" w:hAnsi="宋体"/>
        </w:rPr>
      </w:pPr>
      <w:r>
        <w:rPr>
          <w:rFonts w:hint="eastAsia" w:ascii="宋体" w:hAnsi="宋体"/>
        </w:rPr>
        <w:t>附件</w:t>
      </w:r>
      <w:r>
        <w:rPr>
          <w:rFonts w:hint="eastAsia" w:ascii="宋体" w:hAnsi="宋体"/>
          <w:lang w:val="en-US" w:eastAsia="zh-CN"/>
        </w:rPr>
        <w:t>3</w:t>
      </w:r>
      <w:r>
        <w:rPr>
          <w:rFonts w:ascii="宋体" w:hAnsi="宋体"/>
        </w:rPr>
        <w:t xml:space="preserve"> </w:t>
      </w:r>
      <w:r>
        <w:rPr>
          <w:rFonts w:hint="eastAsia" w:ascii="宋体" w:hAnsi="宋体"/>
        </w:rPr>
        <w:t>阳光合作协议</w:t>
      </w:r>
    </w:p>
    <w:p w14:paraId="0D3C74D3">
      <w:pPr>
        <w:spacing w:line="360" w:lineRule="auto"/>
        <w:jc w:val="center"/>
        <w:rPr>
          <w:b/>
          <w:color w:val="000000"/>
          <w:sz w:val="28"/>
          <w:szCs w:val="28"/>
        </w:rPr>
      </w:pPr>
      <w:bookmarkStart w:id="16" w:name="_Toc23645_WPSOffice_Level1"/>
      <w:r>
        <w:rPr>
          <w:rFonts w:hint="eastAsia" w:eastAsia="方正小标宋简体"/>
          <w:b/>
          <w:color w:val="000000"/>
          <w:sz w:val="44"/>
          <w:szCs w:val="44"/>
        </w:rPr>
        <w:t>阳光合作协议</w:t>
      </w:r>
      <w:bookmarkEnd w:id="16"/>
    </w:p>
    <w:p w14:paraId="145ECD42">
      <w:pPr>
        <w:spacing w:before="159" w:beforeLines="50" w:after="159" w:afterLines="50" w:line="360" w:lineRule="auto"/>
        <w:contextualSpacing/>
        <w:rPr>
          <w:color w:val="000000"/>
          <w:sz w:val="24"/>
          <w:szCs w:val="24"/>
        </w:rPr>
      </w:pPr>
      <w:r>
        <w:rPr>
          <w:rFonts w:hint="eastAsia"/>
          <w:color w:val="000000"/>
          <w:sz w:val="24"/>
          <w:szCs w:val="24"/>
        </w:rPr>
        <w:t>甲方（采购方全称）：</w:t>
      </w:r>
      <w:r>
        <w:rPr>
          <w:color w:val="000000"/>
          <w:sz w:val="24"/>
          <w:szCs w:val="24"/>
        </w:rPr>
        <w:t xml:space="preserve"> </w:t>
      </w:r>
      <w:r>
        <w:rPr>
          <w:rFonts w:hint="eastAsia"/>
          <w:color w:val="000000"/>
          <w:sz w:val="24"/>
          <w:szCs w:val="24"/>
        </w:rPr>
        <w:t>东莞市新东元环保投资有限公司</w:t>
      </w:r>
    </w:p>
    <w:p w14:paraId="4E612A2E">
      <w:pPr>
        <w:spacing w:line="360" w:lineRule="auto"/>
        <w:jc w:val="left"/>
      </w:pPr>
      <w:r>
        <w:rPr>
          <w:rFonts w:hint="eastAsia"/>
          <w:color w:val="000000"/>
          <w:sz w:val="24"/>
          <w:szCs w:val="24"/>
        </w:rPr>
        <w:t>乙方（供应方全称）：</w:t>
      </w:r>
      <w:r>
        <w:rPr>
          <w:color w:val="000000"/>
          <w:sz w:val="24"/>
          <w:szCs w:val="24"/>
        </w:rPr>
        <w:t xml:space="preserve">        </w:t>
      </w:r>
      <w:r>
        <w:rPr>
          <w:rFonts w:hint="eastAsia"/>
        </w:rPr>
        <w:t xml:space="preserve">    </w:t>
      </w:r>
    </w:p>
    <w:p w14:paraId="5015F6BB">
      <w:pPr>
        <w:kinsoku/>
        <w:autoSpaceDE/>
        <w:autoSpaceDN/>
        <w:adjustRightInd/>
        <w:snapToGrid/>
        <w:spacing w:before="120" w:beforeLines="50" w:after="120" w:afterLines="50" w:line="360" w:lineRule="auto"/>
        <w:ind w:firstLine="480" w:firstLineChars="200"/>
        <w:contextualSpacing/>
        <w:textAlignment w:val="auto"/>
        <w:rPr>
          <w:rFonts w:ascii="宋体"/>
          <w:color w:val="auto"/>
        </w:rPr>
      </w:pPr>
      <w:r>
        <w:rPr>
          <w:rFonts w:hint="eastAsia"/>
        </w:rPr>
        <w:t>甲乙双方于</w:t>
      </w:r>
      <w:r>
        <w:t>202</w:t>
      </w:r>
      <w:r>
        <w:rPr>
          <w:rFonts w:hint="eastAsia"/>
          <w:lang w:val="en-US" w:eastAsia="zh-CN"/>
        </w:rPr>
        <w:t>6</w:t>
      </w:r>
      <w:r>
        <w:rPr>
          <w:rFonts w:hint="eastAsia"/>
        </w:rPr>
        <w:t>年</w:t>
      </w:r>
      <w:r>
        <w:t xml:space="preserve">  </w:t>
      </w:r>
      <w:r>
        <w:rPr>
          <w:rFonts w:hint="eastAsia"/>
        </w:rPr>
        <w:t>月</w:t>
      </w:r>
      <w:r>
        <w:t xml:space="preserve">  </w:t>
      </w:r>
      <w:r>
        <w:rPr>
          <w:rFonts w:hint="eastAsia"/>
        </w:rPr>
        <w:t>日签署了</w:t>
      </w:r>
      <w:r>
        <w:rPr>
          <w:rFonts w:hint="eastAsia"/>
          <w:lang w:eastAsia="zh-CN"/>
        </w:rPr>
        <w:t>《</w:t>
      </w:r>
      <w:r>
        <w:rPr>
          <w:rFonts w:hint="eastAsia" w:cs="宋体" w:asciiTheme="minorEastAsia" w:hAnsiTheme="minorEastAsia" w:eastAsiaTheme="minorEastAsia"/>
          <w:sz w:val="24"/>
          <w:szCs w:val="24"/>
        </w:rPr>
        <w:t>东莞市海心沙资源综合利用中心环保热电厂垃圾储坑渗滤液格栅维修采购项目</w:t>
      </w:r>
      <w:r>
        <w:rPr>
          <w:rFonts w:hint="eastAsia"/>
        </w:rPr>
        <w:t>合同</w:t>
      </w:r>
      <w:r>
        <w:rPr>
          <w:rFonts w:hint="eastAsia"/>
          <w:lang w:eastAsia="zh-CN"/>
        </w:rPr>
        <w:t>》</w:t>
      </w:r>
      <w:r>
        <w:rPr>
          <w:rFonts w:hint="eastAsia" w:ascii="宋体" w:hAnsi="宋体"/>
          <w:color w:val="auto"/>
        </w:rPr>
        <w:t>，为加强双方阳光合作，保证职员职业安全，甲乙双方经协商签订本协议并作为双方共同遵守的阳光合作行为准则。</w:t>
      </w:r>
    </w:p>
    <w:p w14:paraId="3AEDD949">
      <w:pPr>
        <w:keepNext w:val="0"/>
        <w:keepLines w:val="0"/>
        <w:pageBreakBefore w:val="0"/>
        <w:widowControl/>
        <w:numPr>
          <w:ilvl w:val="0"/>
          <w:numId w:val="0"/>
        </w:numPr>
        <w:kinsoku/>
        <w:wordWrap/>
        <w:overflowPunct/>
        <w:topLinePunct w:val="0"/>
        <w:autoSpaceDE/>
        <w:autoSpaceDN/>
        <w:bidi w:val="0"/>
        <w:adjustRightInd/>
        <w:snapToGrid/>
        <w:spacing w:before="156" w:beforeLines="50" w:after="156" w:afterLines="50" w:line="360" w:lineRule="auto"/>
        <w:ind w:leftChars="200"/>
        <w:contextualSpacing/>
        <w:jc w:val="left"/>
        <w:textAlignment w:val="auto"/>
        <w:rPr>
          <w:rFonts w:ascii="宋体" w:hAnsi="宋体"/>
          <w:b/>
        </w:rPr>
      </w:pPr>
      <w:r>
        <w:rPr>
          <w:rFonts w:hint="eastAsia" w:ascii="宋体" w:hAnsi="宋体"/>
          <w:b/>
          <w:lang w:val="en-US" w:eastAsia="zh-CN"/>
        </w:rPr>
        <w:t>一、</w:t>
      </w:r>
      <w:r>
        <w:rPr>
          <w:rFonts w:hint="eastAsia" w:ascii="宋体" w:hAnsi="宋体"/>
          <w:b/>
        </w:rPr>
        <w:t>甲方责任</w:t>
      </w:r>
    </w:p>
    <w:p w14:paraId="6CA05562">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80" w:firstLineChars="200"/>
        <w:contextualSpacing/>
        <w:textAlignment w:val="auto"/>
        <w:rPr>
          <w:rFonts w:ascii="宋体" w:hAnsi="宋体"/>
        </w:rPr>
      </w:pPr>
      <w:r>
        <w:rPr>
          <w:rFonts w:hint="eastAsia" w:ascii="宋体" w:hAnsi="宋体"/>
        </w:rPr>
        <w:t>1.甲方有责任向乙方介绍本单位有关采购管理通用原则和本协议的规定。</w:t>
      </w:r>
    </w:p>
    <w:p w14:paraId="19119E89">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80" w:firstLineChars="200"/>
        <w:contextualSpacing/>
        <w:textAlignment w:val="auto"/>
        <w:rPr>
          <w:rFonts w:ascii="宋体" w:hAnsi="宋体"/>
        </w:rPr>
      </w:pPr>
      <w:r>
        <w:rPr>
          <w:rFonts w:hint="eastAsia" w:ascii="宋体" w:hAnsi="宋体"/>
        </w:rPr>
        <w:t>2.甲方有责任对本单位相关人员进行阳光合作教育。</w:t>
      </w:r>
    </w:p>
    <w:p w14:paraId="67064392">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80" w:firstLineChars="200"/>
        <w:contextualSpacing/>
        <w:textAlignment w:val="auto"/>
        <w:rPr>
          <w:rFonts w:ascii="宋体" w:hAnsi="宋体"/>
        </w:rPr>
      </w:pPr>
      <w:r>
        <w:rPr>
          <w:rFonts w:hint="eastAsia" w:ascii="宋体" w:hAnsi="宋体"/>
        </w:rPr>
        <w:t xml:space="preserve">3.甲方人员应严格遵守本单位有关阳光合作管理的规定，不得接受乙方任何形式的回扣、实物、现金、有价证券、礼券等有价物品，不得参加乙方提供的旅游或其他可能影响职务行为公正履行的活动。 </w:t>
      </w:r>
    </w:p>
    <w:p w14:paraId="797471A7">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80" w:firstLineChars="200"/>
        <w:contextualSpacing/>
        <w:textAlignment w:val="auto"/>
        <w:rPr>
          <w:rFonts w:ascii="宋体" w:hAnsi="宋体"/>
        </w:rPr>
      </w:pPr>
      <w:r>
        <w:rPr>
          <w:rFonts w:hint="eastAsia" w:ascii="宋体" w:hAnsi="宋体"/>
        </w:rPr>
        <w:t>4.甲方人员如违反阳光合作管理制度及本协议规定，甲方视情节轻重、影响大小给予行政及经济处罚。</w:t>
      </w:r>
    </w:p>
    <w:p w14:paraId="6BEB8C75">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80" w:firstLineChars="200"/>
        <w:contextualSpacing/>
        <w:textAlignment w:val="auto"/>
        <w:rPr>
          <w:rFonts w:ascii="宋体" w:hAnsi="宋体"/>
        </w:rPr>
      </w:pPr>
      <w:r>
        <w:rPr>
          <w:rFonts w:hint="eastAsia" w:ascii="宋体" w:hAnsi="宋体"/>
        </w:rPr>
        <w:t>5．对于乙方举报甲方人员违反阳光合作规定的情况，甲方应及时进行调查，根据调查情况进行处理，并将调查结果向乙方反馈。</w:t>
      </w:r>
    </w:p>
    <w:p w14:paraId="4B3F9B29">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80" w:firstLineChars="200"/>
        <w:contextualSpacing/>
        <w:textAlignment w:val="auto"/>
        <w:rPr>
          <w:rFonts w:ascii="宋体" w:hAnsi="宋体"/>
        </w:rPr>
      </w:pPr>
      <w:r>
        <w:rPr>
          <w:rFonts w:hint="eastAsia" w:ascii="宋体" w:hAnsi="宋体"/>
        </w:rPr>
        <w:t>6.接受举报的一方应为举报方保密，不得对举报方进行报复，对举报属实和严格遵守《阳光合作协议》的合作方，在同等条件下给予后续合作的优先权。</w:t>
      </w:r>
    </w:p>
    <w:p w14:paraId="5E8D3B50">
      <w:pPr>
        <w:keepNext w:val="0"/>
        <w:keepLines w:val="0"/>
        <w:pageBreakBefore w:val="0"/>
        <w:widowControl/>
        <w:numPr>
          <w:ilvl w:val="0"/>
          <w:numId w:val="0"/>
        </w:numPr>
        <w:kinsoku/>
        <w:wordWrap/>
        <w:overflowPunct/>
        <w:topLinePunct w:val="0"/>
        <w:autoSpaceDE/>
        <w:autoSpaceDN/>
        <w:bidi w:val="0"/>
        <w:adjustRightInd/>
        <w:snapToGrid/>
        <w:spacing w:before="156" w:beforeLines="50" w:after="156" w:afterLines="50" w:line="360" w:lineRule="auto"/>
        <w:ind w:leftChars="200"/>
        <w:contextualSpacing/>
        <w:jc w:val="left"/>
        <w:textAlignment w:val="auto"/>
        <w:rPr>
          <w:rFonts w:ascii="宋体" w:hAnsi="宋体"/>
          <w:b/>
        </w:rPr>
      </w:pPr>
      <w:r>
        <w:rPr>
          <w:rFonts w:hint="eastAsia" w:ascii="宋体" w:hAnsi="宋体"/>
          <w:b/>
          <w:lang w:val="en-US" w:eastAsia="zh-CN"/>
        </w:rPr>
        <w:t>二、</w:t>
      </w:r>
      <w:r>
        <w:rPr>
          <w:rFonts w:hint="eastAsia" w:ascii="宋体" w:hAnsi="宋体"/>
          <w:b/>
        </w:rPr>
        <w:t>乙方责任</w:t>
      </w:r>
    </w:p>
    <w:p w14:paraId="092D8944">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80" w:firstLineChars="200"/>
        <w:contextualSpacing/>
        <w:textAlignment w:val="auto"/>
        <w:rPr>
          <w:rFonts w:ascii="宋体" w:hAnsi="宋体"/>
        </w:rPr>
      </w:pPr>
      <w:r>
        <w:rPr>
          <w:rFonts w:hint="eastAsia" w:ascii="宋体" w:hAnsi="宋体"/>
        </w:rPr>
        <w:t>1.乙方应保证乙方人员了解甲方有关采购管理通用原则和及本协议的规定，并遵照执行。</w:t>
      </w:r>
    </w:p>
    <w:p w14:paraId="22762802">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80" w:firstLineChars="200"/>
        <w:contextualSpacing/>
        <w:textAlignment w:val="auto"/>
        <w:rPr>
          <w:rFonts w:ascii="宋体" w:hAnsi="宋体"/>
        </w:rPr>
      </w:pPr>
      <w:r>
        <w:rPr>
          <w:rFonts w:hint="eastAsia" w:ascii="宋体" w:hAnsi="宋体"/>
        </w:rPr>
        <w:t>2.乙方不得以任何形式给予甲方人员回扣、赠送实物、现金、有价证券、礼券等有价物品或提供旅游等其他可能影响职务行为公正履行的活动（以下统称“财物”）。</w:t>
      </w:r>
    </w:p>
    <w:p w14:paraId="241C94CC">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80" w:firstLineChars="200"/>
        <w:contextualSpacing/>
        <w:textAlignment w:val="auto"/>
        <w:rPr>
          <w:rFonts w:ascii="宋体" w:hAnsi="宋体"/>
          <w:color w:val="auto"/>
        </w:rPr>
      </w:pPr>
      <w:r>
        <w:rPr>
          <w:rFonts w:hint="eastAsia" w:ascii="宋体" w:hAnsi="宋体"/>
          <w:color w:val="auto"/>
        </w:rPr>
        <w:t>3.乙方有责任接受甲方对乙方在合作期间阳光合作管理执行情况的监督，并对甲方相关调查工作主动配合。</w:t>
      </w:r>
    </w:p>
    <w:p w14:paraId="523808ED">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80" w:firstLineChars="200"/>
        <w:contextualSpacing/>
        <w:textAlignment w:val="auto"/>
        <w:rPr>
          <w:rFonts w:ascii="宋体" w:hAnsi="宋体"/>
          <w:color w:val="auto"/>
        </w:rPr>
      </w:pPr>
      <w:r>
        <w:rPr>
          <w:rFonts w:hint="eastAsia" w:ascii="宋体" w:hAnsi="宋体"/>
          <w:color w:val="auto"/>
        </w:rPr>
        <w:t>4.乙方有义务就甲方人员任何形式的索取或收受财物行为及时向甲方（直接联系人为东莞实业投资控股集团有限公司</w:t>
      </w:r>
      <w:r>
        <w:rPr>
          <w:rFonts w:hint="eastAsia" w:ascii="宋体" w:hAnsi="宋体"/>
          <w:color w:val="auto"/>
          <w:lang w:val="en-US" w:eastAsia="zh-CN"/>
        </w:rPr>
        <w:t>风控法务部</w:t>
      </w:r>
      <w:r>
        <w:rPr>
          <w:rFonts w:hint="eastAsia" w:ascii="宋体" w:hAnsi="宋体"/>
          <w:color w:val="auto"/>
        </w:rPr>
        <w:t>）举报。如乙方或其人员向甲方人员给予财物，或甲方人员向乙方索取财物，乙方满足其要求并且未向甲方举报的，一经查实（包括但不限于被甲方核实属实，或者被司法机关或第三方核实属实的），甲方将在内部通报；乙方除应向甲方赔偿由此给甲方造成的损失外，乙方还应向甲方支付相当于原合同总价的10%的违约金，并对乙方知情不报人员进行相应处罚；连续出现2次及以上类似情况或者如因乙方在合作期间贿赂甲方人员，被司法机关立案查处核实属实的，甲方有权解除原合同，如甲方解除原合同的，则乙方应退还甲方所支付的所有款项并按原合同与本合同约定承担违约责任，且五年之内不得作为东实集团（东莞实业投资控股集团有限公司及下属子公司）合格供应商。</w:t>
      </w:r>
    </w:p>
    <w:p w14:paraId="1AC1DBAB">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80" w:firstLineChars="200"/>
        <w:contextualSpacing/>
        <w:textAlignment w:val="auto"/>
        <w:rPr>
          <w:rFonts w:ascii="宋体" w:hAnsi="宋体"/>
          <w:color w:val="auto"/>
        </w:rPr>
      </w:pPr>
      <w:r>
        <w:rPr>
          <w:rFonts w:hint="eastAsia" w:ascii="宋体" w:hAnsi="宋体"/>
          <w:color w:val="auto"/>
        </w:rPr>
        <w:t>5．甲方接受乙方实名或匿名举报，保证为举报者的信息保密，常设举报部门及电</w:t>
      </w:r>
      <w:r>
        <w:rPr>
          <w:rFonts w:hint="eastAsia" w:ascii="宋体" w:hAnsi="宋体" w:eastAsia="宋体"/>
          <w:color w:val="auto"/>
          <w:lang w:val="en-US" w:eastAsia="zh-CN"/>
        </w:rPr>
        <w:t>话</w:t>
      </w:r>
      <w:r>
        <w:rPr>
          <w:rFonts w:hint="eastAsia" w:ascii="宋体" w:hAnsi="宋体"/>
          <w:color w:val="auto"/>
        </w:rPr>
        <w:t xml:space="preserve">： </w:t>
      </w:r>
    </w:p>
    <w:p w14:paraId="53A829F5">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80" w:firstLineChars="200"/>
        <w:contextualSpacing/>
        <w:textAlignment w:val="auto"/>
        <w:rPr>
          <w:rFonts w:ascii="宋体" w:hAnsi="宋体"/>
          <w:color w:val="auto"/>
        </w:rPr>
      </w:pPr>
      <w:r>
        <w:rPr>
          <w:rFonts w:hint="eastAsia" w:ascii="宋体" w:hAnsi="宋体"/>
          <w:color w:val="auto"/>
        </w:rPr>
        <w:t>举报受理部门：东莞实业投资控股集团有限公司</w:t>
      </w:r>
      <w:r>
        <w:rPr>
          <w:rFonts w:hint="eastAsia" w:ascii="宋体" w:hAnsi="宋体"/>
          <w:color w:val="auto"/>
          <w:lang w:val="en-US" w:eastAsia="zh-CN"/>
        </w:rPr>
        <w:t>风控法务部</w:t>
      </w:r>
    </w:p>
    <w:p w14:paraId="2B522DC0">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80" w:firstLineChars="200"/>
        <w:contextualSpacing/>
        <w:textAlignment w:val="auto"/>
        <w:rPr>
          <w:rFonts w:ascii="宋体" w:hAnsi="宋体"/>
          <w:color w:val="auto"/>
        </w:rPr>
      </w:pPr>
      <w:r>
        <w:rPr>
          <w:rFonts w:hint="eastAsia" w:ascii="宋体" w:hAnsi="宋体"/>
          <w:color w:val="auto"/>
        </w:rPr>
        <w:t>东实集团举报邮箱：dgsyxf@163.com</w:t>
      </w:r>
    </w:p>
    <w:p w14:paraId="5419E621">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80" w:firstLineChars="200"/>
        <w:contextualSpacing/>
        <w:textAlignment w:val="auto"/>
        <w:rPr>
          <w:rFonts w:ascii="宋体" w:hAnsi="宋体"/>
          <w:color w:val="auto"/>
        </w:rPr>
      </w:pPr>
      <w:r>
        <w:rPr>
          <w:rFonts w:hint="eastAsia" w:ascii="宋体" w:hAnsi="宋体"/>
          <w:color w:val="auto"/>
        </w:rPr>
        <w:t>东实集团举报电话：0769-28820703（周一至周五9:00-12:00和14:00-18:00）</w:t>
      </w:r>
    </w:p>
    <w:p w14:paraId="7500775C">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80" w:firstLineChars="200"/>
        <w:contextualSpacing/>
        <w:textAlignment w:val="auto"/>
        <w:rPr>
          <w:rFonts w:ascii="宋体" w:hAnsi="宋体"/>
          <w:color w:val="auto"/>
        </w:rPr>
      </w:pPr>
      <w:r>
        <w:rPr>
          <w:rFonts w:hint="eastAsia" w:ascii="宋体" w:hAnsi="宋体"/>
          <w:color w:val="auto"/>
        </w:rPr>
        <w:t>邮寄地址：东莞市东城区八一路1号机关二号大院9号楼，东莞实业投资控股集团有限公司</w:t>
      </w:r>
      <w:r>
        <w:rPr>
          <w:rFonts w:hint="eastAsia" w:ascii="宋体" w:hAnsi="宋体"/>
          <w:color w:val="auto"/>
          <w:lang w:val="en-US" w:eastAsia="zh-CN"/>
        </w:rPr>
        <w:t>风控法务部</w:t>
      </w:r>
      <w:r>
        <w:rPr>
          <w:rFonts w:hint="eastAsia" w:ascii="宋体" w:hAnsi="宋体"/>
          <w:color w:val="auto"/>
        </w:rPr>
        <w:t>收，邮编523000。</w:t>
      </w:r>
    </w:p>
    <w:p w14:paraId="097B308E">
      <w:pPr>
        <w:keepNext w:val="0"/>
        <w:keepLines w:val="0"/>
        <w:pageBreakBefore w:val="0"/>
        <w:widowControl/>
        <w:numPr>
          <w:ilvl w:val="0"/>
          <w:numId w:val="0"/>
        </w:numPr>
        <w:kinsoku/>
        <w:wordWrap/>
        <w:overflowPunct/>
        <w:topLinePunct w:val="0"/>
        <w:autoSpaceDE/>
        <w:autoSpaceDN/>
        <w:bidi w:val="0"/>
        <w:adjustRightInd/>
        <w:snapToGrid/>
        <w:spacing w:before="156" w:beforeLines="50" w:after="156" w:afterLines="50" w:line="360" w:lineRule="auto"/>
        <w:ind w:leftChars="200"/>
        <w:contextualSpacing/>
        <w:jc w:val="left"/>
        <w:textAlignment w:val="auto"/>
        <w:rPr>
          <w:rFonts w:ascii="宋体" w:hAnsi="宋体"/>
          <w:b/>
          <w:color w:val="auto"/>
        </w:rPr>
      </w:pPr>
      <w:r>
        <w:rPr>
          <w:rFonts w:hint="eastAsia" w:ascii="宋体" w:hAnsi="宋体"/>
          <w:b/>
          <w:color w:val="auto"/>
          <w:lang w:val="en-US" w:eastAsia="zh-CN"/>
        </w:rPr>
        <w:t>三、</w:t>
      </w:r>
      <w:r>
        <w:rPr>
          <w:rFonts w:hint="eastAsia" w:ascii="宋体" w:hAnsi="宋体"/>
          <w:b/>
          <w:color w:val="auto"/>
        </w:rPr>
        <w:t>其他</w:t>
      </w:r>
    </w:p>
    <w:p w14:paraId="171E87C2">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80" w:firstLineChars="200"/>
        <w:contextualSpacing/>
        <w:textAlignment w:val="auto"/>
        <w:rPr>
          <w:rFonts w:ascii="宋体" w:hAnsi="宋体"/>
          <w:color w:val="auto"/>
        </w:rPr>
      </w:pPr>
      <w:r>
        <w:rPr>
          <w:rFonts w:hint="eastAsia" w:ascii="宋体" w:hAnsi="宋体"/>
          <w:color w:val="auto"/>
        </w:rPr>
        <w:t>1.本协议是原合同的补充协议，与原合同有同等法律效力。</w:t>
      </w:r>
    </w:p>
    <w:p w14:paraId="70C6C206">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80" w:firstLineChars="200"/>
        <w:contextualSpacing/>
        <w:textAlignment w:val="auto"/>
        <w:rPr>
          <w:rFonts w:ascii="宋体" w:hAnsi="宋体"/>
          <w:color w:val="auto"/>
        </w:rPr>
      </w:pPr>
      <w:r>
        <w:rPr>
          <w:rFonts w:hint="eastAsia" w:ascii="宋体" w:hAnsi="宋体"/>
          <w:color w:val="auto"/>
        </w:rPr>
        <w:t>2.</w:t>
      </w:r>
      <w:r>
        <w:rPr>
          <w:rFonts w:ascii="宋体" w:hAnsi="宋体"/>
          <w:color w:val="auto"/>
        </w:rPr>
        <w:t>本</w:t>
      </w:r>
      <w:r>
        <w:rPr>
          <w:rFonts w:hint="eastAsia" w:ascii="宋体" w:hAnsi="宋体"/>
          <w:color w:val="auto"/>
        </w:rPr>
        <w:t>协议</w:t>
      </w:r>
      <w:r>
        <w:rPr>
          <w:rFonts w:ascii="宋体" w:hAnsi="宋体"/>
          <w:color w:val="auto"/>
        </w:rPr>
        <w:t>一式</w:t>
      </w:r>
      <w:r>
        <w:rPr>
          <w:rFonts w:hint="eastAsia" w:ascii="宋体" w:hAnsi="宋体"/>
          <w:color w:val="auto"/>
          <w:lang w:val="en-US" w:eastAsia="zh-CN"/>
        </w:rPr>
        <w:t>伍</w:t>
      </w:r>
      <w:r>
        <w:rPr>
          <w:rFonts w:ascii="宋体" w:hAnsi="宋体"/>
          <w:color w:val="auto"/>
        </w:rPr>
        <w:t>份，甲方执</w:t>
      </w:r>
      <w:r>
        <w:rPr>
          <w:rFonts w:hint="eastAsia" w:ascii="宋体" w:hAnsi="宋体"/>
          <w:color w:val="auto"/>
          <w:lang w:val="en-US" w:eastAsia="zh-CN"/>
        </w:rPr>
        <w:t>叁</w:t>
      </w:r>
      <w:r>
        <w:rPr>
          <w:rFonts w:ascii="宋体" w:hAnsi="宋体"/>
          <w:color w:val="auto"/>
        </w:rPr>
        <w:t>份，乙方执</w:t>
      </w:r>
      <w:r>
        <w:rPr>
          <w:rFonts w:hint="eastAsia" w:ascii="宋体" w:hAnsi="宋体"/>
          <w:color w:val="auto"/>
        </w:rPr>
        <w:t>贰</w:t>
      </w:r>
      <w:r>
        <w:rPr>
          <w:rFonts w:ascii="宋体" w:hAnsi="宋体"/>
          <w:color w:val="auto"/>
        </w:rPr>
        <w:t>份</w:t>
      </w:r>
      <w:r>
        <w:rPr>
          <w:rFonts w:hint="eastAsia" w:ascii="宋体" w:hAnsi="宋体"/>
          <w:color w:val="auto"/>
        </w:rPr>
        <w:t>,具有同等法律效力。</w:t>
      </w:r>
    </w:p>
    <w:p w14:paraId="1BC11F9A">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80" w:firstLineChars="200"/>
        <w:contextualSpacing/>
        <w:textAlignment w:val="auto"/>
        <w:rPr>
          <w:rFonts w:ascii="宋体" w:hAnsi="宋体"/>
          <w:color w:val="auto"/>
        </w:rPr>
      </w:pPr>
      <w:r>
        <w:rPr>
          <w:rFonts w:hint="eastAsia" w:ascii="宋体" w:hAnsi="宋体"/>
          <w:color w:val="auto"/>
        </w:rPr>
        <w:t>3.本协议经双方签署后生效。</w:t>
      </w:r>
    </w:p>
    <w:p w14:paraId="241FDB3B">
      <w:pPr>
        <w:keepNext w:val="0"/>
        <w:keepLines w:val="0"/>
        <w:pageBreakBefore w:val="0"/>
        <w:kinsoku/>
        <w:wordWrap/>
        <w:overflowPunct/>
        <w:topLinePunct w:val="0"/>
        <w:autoSpaceDE/>
        <w:autoSpaceDN/>
        <w:bidi w:val="0"/>
        <w:adjustRightInd/>
        <w:snapToGrid/>
        <w:spacing w:before="156" w:beforeLines="50" w:after="156" w:afterLines="50" w:line="360" w:lineRule="auto"/>
        <w:ind w:firstLine="480" w:firstLineChars="200"/>
        <w:contextualSpacing/>
        <w:textAlignment w:val="auto"/>
        <w:rPr>
          <w:rFonts w:ascii="宋体" w:hAnsi="宋体"/>
        </w:rPr>
      </w:pPr>
    </w:p>
    <w:p w14:paraId="7891EC37">
      <w:pPr>
        <w:keepNext w:val="0"/>
        <w:keepLines w:val="0"/>
        <w:pageBreakBefore w:val="0"/>
        <w:kinsoku/>
        <w:wordWrap/>
        <w:overflowPunct/>
        <w:topLinePunct w:val="0"/>
        <w:autoSpaceDE/>
        <w:autoSpaceDN/>
        <w:bidi w:val="0"/>
        <w:adjustRightInd/>
        <w:snapToGrid/>
        <w:spacing w:before="156" w:beforeLines="50" w:after="156" w:afterLines="50" w:line="360" w:lineRule="auto"/>
        <w:ind w:firstLine="480" w:firstLineChars="200"/>
        <w:contextualSpacing/>
        <w:textAlignment w:val="auto"/>
        <w:rPr>
          <w:rFonts w:ascii="宋体"/>
        </w:rPr>
      </w:pPr>
      <w:r>
        <w:rPr>
          <w:rFonts w:hint="eastAsia" w:ascii="宋体" w:hAnsi="宋体"/>
        </w:rPr>
        <w:t xml:space="preserve">甲方（盖章）：                   </w:t>
      </w:r>
      <w:r>
        <w:rPr>
          <w:rFonts w:hint="eastAsia" w:ascii="宋体" w:hAnsi="宋体"/>
          <w:lang w:val="en-US" w:eastAsia="zh-CN"/>
        </w:rPr>
        <w:t xml:space="preserve">  </w:t>
      </w:r>
      <w:r>
        <w:rPr>
          <w:rFonts w:hint="eastAsia" w:ascii="宋体" w:hAnsi="宋体"/>
        </w:rPr>
        <w:t>乙方（盖章）：</w:t>
      </w:r>
      <w:r>
        <w:rPr>
          <w:rFonts w:ascii="宋体"/>
        </w:rPr>
        <w:t xml:space="preserve"> </w:t>
      </w:r>
    </w:p>
    <w:p w14:paraId="13438AE8">
      <w:pPr>
        <w:keepNext w:val="0"/>
        <w:keepLines w:val="0"/>
        <w:pageBreakBefore w:val="0"/>
        <w:kinsoku/>
        <w:wordWrap/>
        <w:overflowPunct/>
        <w:topLinePunct w:val="0"/>
        <w:autoSpaceDE/>
        <w:autoSpaceDN/>
        <w:bidi w:val="0"/>
        <w:adjustRightInd/>
        <w:snapToGrid/>
        <w:spacing w:before="156" w:beforeLines="50" w:after="156" w:afterLines="50" w:line="360" w:lineRule="auto"/>
        <w:ind w:firstLine="480" w:firstLineChars="200"/>
        <w:contextualSpacing/>
        <w:textAlignment w:val="auto"/>
        <w:rPr>
          <w:rFonts w:ascii="宋体" w:hAnsi="宋体"/>
        </w:rPr>
      </w:pPr>
    </w:p>
    <w:p w14:paraId="60C79642">
      <w:pPr>
        <w:keepNext w:val="0"/>
        <w:keepLines w:val="0"/>
        <w:pageBreakBefore w:val="0"/>
        <w:kinsoku/>
        <w:wordWrap/>
        <w:overflowPunct/>
        <w:topLinePunct w:val="0"/>
        <w:autoSpaceDE/>
        <w:autoSpaceDN/>
        <w:bidi w:val="0"/>
        <w:adjustRightInd/>
        <w:snapToGrid/>
        <w:spacing w:before="156" w:beforeLines="50" w:after="156" w:afterLines="50" w:line="360" w:lineRule="auto"/>
        <w:ind w:firstLine="480" w:firstLineChars="200"/>
        <w:contextualSpacing/>
        <w:textAlignment w:val="auto"/>
        <w:rPr>
          <w:rFonts w:ascii="宋体"/>
        </w:rPr>
      </w:pPr>
      <w:r>
        <w:rPr>
          <w:rFonts w:hint="eastAsia" w:ascii="宋体" w:hAnsi="宋体"/>
        </w:rPr>
        <w:t>法定代表人（授权代表）：</w:t>
      </w:r>
      <w:r>
        <w:rPr>
          <w:rFonts w:hint="eastAsia" w:ascii="宋体"/>
        </w:rPr>
        <w:tab/>
      </w:r>
      <w:r>
        <w:rPr>
          <w:rFonts w:hint="eastAsia" w:ascii="宋体"/>
        </w:rPr>
        <w:tab/>
      </w:r>
      <w:r>
        <w:rPr>
          <w:rFonts w:hint="eastAsia" w:ascii="宋体"/>
        </w:rPr>
        <w:t xml:space="preserve">  </w:t>
      </w:r>
      <w:r>
        <w:rPr>
          <w:rFonts w:hint="eastAsia" w:ascii="宋体"/>
        </w:rPr>
        <w:tab/>
      </w:r>
      <w:r>
        <w:rPr>
          <w:rFonts w:hint="eastAsia" w:ascii="宋体"/>
        </w:rPr>
        <w:t xml:space="preserve">   </w:t>
      </w:r>
      <w:r>
        <w:rPr>
          <w:rFonts w:hint="eastAsia" w:ascii="宋体"/>
          <w:lang w:val="en-US" w:eastAsia="zh-CN"/>
        </w:rPr>
        <w:t xml:space="preserve">  </w:t>
      </w:r>
      <w:r>
        <w:rPr>
          <w:rFonts w:hint="eastAsia" w:ascii="宋体" w:hAnsi="宋体"/>
        </w:rPr>
        <w:t>法定代表人（授权代表）：</w:t>
      </w:r>
    </w:p>
    <w:p w14:paraId="1ED6D7AF">
      <w:pPr>
        <w:keepNext w:val="0"/>
        <w:keepLines w:val="0"/>
        <w:pageBreakBefore w:val="0"/>
        <w:kinsoku/>
        <w:wordWrap/>
        <w:overflowPunct/>
        <w:topLinePunct w:val="0"/>
        <w:autoSpaceDE/>
        <w:autoSpaceDN/>
        <w:bidi w:val="0"/>
        <w:adjustRightInd/>
        <w:snapToGrid/>
        <w:spacing w:before="156" w:beforeLines="50" w:after="156" w:afterLines="50" w:line="360" w:lineRule="auto"/>
        <w:ind w:firstLine="480" w:firstLineChars="200"/>
        <w:contextualSpacing/>
        <w:textAlignment w:val="auto"/>
        <w:rPr>
          <w:rFonts w:ascii="宋体" w:hAnsi="宋体"/>
        </w:rPr>
      </w:pPr>
    </w:p>
    <w:p w14:paraId="44365FBB">
      <w:pPr>
        <w:keepNext w:val="0"/>
        <w:keepLines w:val="0"/>
        <w:pageBreakBefore w:val="0"/>
        <w:kinsoku/>
        <w:wordWrap/>
        <w:overflowPunct/>
        <w:topLinePunct w:val="0"/>
        <w:autoSpaceDE/>
        <w:autoSpaceDN/>
        <w:bidi w:val="0"/>
        <w:adjustRightInd/>
        <w:snapToGrid/>
        <w:spacing w:before="156" w:beforeLines="50" w:after="156" w:afterLines="50" w:line="360" w:lineRule="auto"/>
        <w:ind w:firstLine="480" w:firstLineChars="200"/>
        <w:contextualSpacing/>
        <w:textAlignment w:val="auto"/>
      </w:pPr>
      <w:r>
        <w:rPr>
          <w:rFonts w:hint="eastAsia" w:ascii="宋体" w:hAnsi="宋体"/>
        </w:rPr>
        <w:t>签约日期：</w:t>
      </w:r>
      <w:r>
        <w:rPr>
          <w:rFonts w:hint="eastAsia" w:ascii="宋体" w:hAnsi="宋体"/>
          <w:lang w:val="en-US" w:eastAsia="zh-CN"/>
        </w:rPr>
        <w:t>2026</w:t>
      </w:r>
      <w:r>
        <w:rPr>
          <w:rFonts w:hint="eastAsia" w:ascii="宋体" w:hAnsi="宋体"/>
        </w:rPr>
        <w:t xml:space="preserve"> 年   月   日</w:t>
      </w:r>
      <w:bookmarkStart w:id="17" w:name="设计变更通知单"/>
      <w:bookmarkEnd w:id="17"/>
      <w:bookmarkStart w:id="18" w:name="现场签证通知单"/>
      <w:bookmarkEnd w:id="18"/>
      <w:r>
        <w:tab/>
      </w:r>
      <w:r>
        <w:t xml:space="preserve">    </w:t>
      </w:r>
      <w:r>
        <w:rPr>
          <w:rFonts w:hint="eastAsia"/>
        </w:rPr>
        <w:t xml:space="preserve"> </w:t>
      </w:r>
      <w:r>
        <w:rPr>
          <w:rFonts w:hint="eastAsia" w:ascii="宋体" w:hAnsi="宋体"/>
        </w:rPr>
        <w:t>签约日期：</w:t>
      </w:r>
      <w:r>
        <w:rPr>
          <w:rFonts w:hint="eastAsia" w:ascii="宋体" w:hAnsi="宋体"/>
          <w:lang w:val="en-US" w:eastAsia="zh-CN"/>
        </w:rPr>
        <w:t>2026</w:t>
      </w:r>
      <w:r>
        <w:rPr>
          <w:rFonts w:hint="eastAsia" w:ascii="宋体" w:hAnsi="宋体"/>
        </w:rPr>
        <w:t xml:space="preserve"> 年   月   日</w:t>
      </w:r>
    </w:p>
    <w:p w14:paraId="0EFCDEE6">
      <w:pPr>
        <w:spacing w:before="120"/>
      </w:pPr>
    </w:p>
    <w:sectPr>
      <w:headerReference r:id="rId14" w:type="first"/>
      <w:footerReference r:id="rId17" w:type="first"/>
      <w:headerReference r:id="rId12" w:type="default"/>
      <w:footerReference r:id="rId15" w:type="default"/>
      <w:headerReference r:id="rId13" w:type="even"/>
      <w:footerReference r:id="rId16" w:type="even"/>
      <w:pgSz w:w="11906" w:h="16838"/>
      <w:pgMar w:top="1247" w:right="1361" w:bottom="935" w:left="1474" w:header="680" w:footer="316" w:gutter="0"/>
      <w:pgNumType w:start="1"/>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Plotter">
    <w:altName w:val="Lucida Console"/>
    <w:panose1 w:val="00000000000000000000"/>
    <w:charset w:val="00"/>
    <w:family w:val="modern"/>
    <w:pitch w:val="default"/>
    <w:sig w:usb0="00000000" w:usb1="00000000" w:usb2="00000000" w:usb3="00000000" w:csb0="00000001" w:csb1="00000000"/>
  </w:font>
  <w:font w:name="Lucida Console">
    <w:panose1 w:val="020B0609040504020204"/>
    <w:charset w:val="00"/>
    <w:family w:val="auto"/>
    <w:pitch w:val="default"/>
    <w:sig w:usb0="8000028F" w:usb1="00001800" w:usb2="00000000" w:usb3="00000000" w:csb0="0000001F" w:csb1="D7D70000"/>
  </w:font>
  <w:font w:name="MS Gothic">
    <w:panose1 w:val="020B0609070205080204"/>
    <w:charset w:val="80"/>
    <w:family w:val="modern"/>
    <w:pitch w:val="default"/>
    <w:sig w:usb0="E00002FF" w:usb1="6AC7FDFB" w:usb2="08000012" w:usb3="00000000" w:csb0="4002009F" w:csb1="DFD70000"/>
  </w:font>
  <w:font w:name="Century">
    <w:panose1 w:val="02040604050505020304"/>
    <w:charset w:val="00"/>
    <w:family w:val="roman"/>
    <w:pitch w:val="default"/>
    <w:sig w:usb0="00000287" w:usb1="00000000" w:usb2="00000000" w:usb3="00000000" w:csb0="2000009F" w:csb1="DFD70000"/>
  </w:font>
  <w:font w:name="MS Mincho">
    <w:panose1 w:val="02020609040205080304"/>
    <w:charset w:val="80"/>
    <w:family w:val="modern"/>
    <w:pitch w:val="default"/>
    <w:sig w:usb0="A00002BF" w:usb1="68C7FCFB" w:usb2="00000010" w:usb3="00000000" w:csb0="4002009F" w:csb1="DFD7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Vivaldi">
    <w:panose1 w:val="03020602050506090804"/>
    <w:charset w:val="00"/>
    <w:family w:val="script"/>
    <w:pitch w:val="default"/>
    <w:sig w:usb0="00000003" w:usb1="00000000" w:usb2="00000000" w:usb3="00000000" w:csb0="20000001" w:csb1="00000000"/>
  </w:font>
  <w:font w:name="方正小标宋简体">
    <w:panose1 w:val="03000509000000000000"/>
    <w:charset w:val="86"/>
    <w:family w:val="script"/>
    <w:pitch w:val="default"/>
    <w:sig w:usb0="00000001" w:usb1="080E0000" w:usb2="00000000" w:usb3="00000000" w:csb0="00040000"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4E55A5">
    <w:pPr>
      <w:pStyle w:val="32"/>
      <w:spacing w:before="1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BAB388">
    <w:pPr>
      <w:pStyle w:val="32"/>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ADC625">
    <w:pPr>
      <w:pStyle w:val="32"/>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278559">
    <w:pPr>
      <w:pStyle w:val="32"/>
      <w:spacing w:before="12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7305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14935" cy="273050"/>
                      </a:xfrm>
                      <a:prstGeom prst="rect">
                        <a:avLst/>
                      </a:prstGeom>
                      <a:noFill/>
                      <a:ln w="6350">
                        <a:noFill/>
                      </a:ln>
                      <a:effectLst/>
                    </wps:spPr>
                    <wps:txbx>
                      <w:txbxContent>
                        <w:p w14:paraId="07C832F8">
                          <w:pPr>
                            <w:pStyle w:val="32"/>
                            <w:spacing w:before="120"/>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21.5pt;width:9.05pt;mso-position-horizontal:center;mso-position-horizontal-relative:margin;mso-wrap-style:none;z-index:251659264;mso-width-relative:page;mso-height-relative:page;" filled="f" stroked="f" coordsize="21600,21600" o:gfxdata="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OIfy2bSAAAAAwEAAA8AAAAAAAAAAQAgAAAAIgAAAGRycy9kb3ducmV2LnhtbFBL&#10;AQIUABQAAAAIAIdO4kDRtPfpNQIAAGEEAAAOAAAAAAAAAAEAIAAAACEBAABkcnMvZTJvRG9jLnht&#10;bFBLBQYAAAAABgAGAFkBAADIBQAAAAA=&#10;">
              <v:fill on="f" focussize="0,0"/>
              <v:stroke on="f" weight="0.5pt"/>
              <v:imagedata o:title=""/>
              <o:lock v:ext="edit" aspectratio="f"/>
              <v:textbox inset="0mm,0mm,0mm,0mm" style="mso-fit-shape-to-text:t;">
                <w:txbxContent>
                  <w:p w14:paraId="07C832F8">
                    <w:pPr>
                      <w:pStyle w:val="32"/>
                      <w:spacing w:before="120"/>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862412">
    <w:pPr>
      <w:pStyle w:val="32"/>
      <w:spacing w:beforeLines="0"/>
      <w:jc w:val="center"/>
      <w:rPr>
        <w:sz w:val="21"/>
        <w:szCs w:val="21"/>
      </w:rPr>
    </w:pPr>
    <w:r>
      <w:rPr>
        <w:sz w:val="21"/>
        <w:szCs w:val="21"/>
      </w:rPr>
      <w:fldChar w:fldCharType="begin"/>
    </w:r>
    <w:r>
      <w:rPr>
        <w:rStyle w:val="56"/>
        <w:sz w:val="21"/>
        <w:szCs w:val="21"/>
      </w:rPr>
      <w:instrText xml:space="preserve"> PAGE </w:instrText>
    </w:r>
    <w:r>
      <w:rPr>
        <w:sz w:val="21"/>
        <w:szCs w:val="21"/>
      </w:rPr>
      <w:fldChar w:fldCharType="separate"/>
    </w:r>
    <w:r>
      <w:rPr>
        <w:rStyle w:val="56"/>
        <w:sz w:val="21"/>
        <w:szCs w:val="21"/>
      </w:rPr>
      <w:t>34</w:t>
    </w:r>
    <w:r>
      <w:rPr>
        <w:sz w:val="21"/>
        <w:szCs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A8521F">
    <w:pPr>
      <w:pStyle w:val="32"/>
      <w:spacing w:before="12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6478D5">
    <w:pPr>
      <w:pStyle w:val="32"/>
      <w:spacing w:before="1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pPr>
      <w:r>
        <w:separator/>
      </w:r>
    </w:p>
  </w:footnote>
  <w:footnote w:type="continuationSeparator" w:id="1">
    <w:p>
      <w:pPr>
        <w:spacing w:before="0" w:after="0"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E3D5E0">
    <w:pPr>
      <w:pStyle w:val="33"/>
      <w:pBdr>
        <w:bottom w:val="none" w:color="auto" w:sz="0" w:space="0"/>
      </w:pBdr>
      <w:spacing w:before="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BD89CA">
    <w:pPr>
      <w:pStyle w:val="33"/>
      <w:spacing w:before="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31978">
    <w:pPr>
      <w:pStyle w:val="33"/>
      <w:spacing w:before="12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2F6F69">
    <w:pPr>
      <w:pStyle w:val="33"/>
      <w:spacing w:before="12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EC32C">
    <w:pPr>
      <w:pStyle w:val="33"/>
      <w:spacing w:before="12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569953">
    <w:pPr>
      <w:pStyle w:val="33"/>
      <w:spacing w:before="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AE7680"/>
    <w:multiLevelType w:val="singleLevel"/>
    <w:tmpl w:val="8AAE7680"/>
    <w:lvl w:ilvl="0" w:tentative="0">
      <w:start w:val="1"/>
      <w:numFmt w:val="decimal"/>
      <w:lvlText w:val="%1)"/>
      <w:lvlJc w:val="left"/>
      <w:pPr>
        <w:ind w:left="425" w:hanging="425"/>
      </w:pPr>
      <w:rPr>
        <w:rFonts w:hint="default"/>
      </w:rPr>
    </w:lvl>
  </w:abstractNum>
  <w:abstractNum w:abstractNumId="1">
    <w:nsid w:val="AD2819AC"/>
    <w:multiLevelType w:val="singleLevel"/>
    <w:tmpl w:val="AD2819AC"/>
    <w:lvl w:ilvl="0" w:tentative="0">
      <w:start w:val="1"/>
      <w:numFmt w:val="decimal"/>
      <w:lvlText w:val="%1."/>
      <w:lvlJc w:val="left"/>
      <w:pPr>
        <w:ind w:left="425" w:hanging="425"/>
      </w:pPr>
      <w:rPr>
        <w:rFonts w:hint="default"/>
      </w:rPr>
    </w:lvl>
  </w:abstractNum>
  <w:abstractNum w:abstractNumId="2">
    <w:nsid w:val="C27DD8A2"/>
    <w:multiLevelType w:val="singleLevel"/>
    <w:tmpl w:val="C27DD8A2"/>
    <w:lvl w:ilvl="0" w:tentative="0">
      <w:start w:val="1"/>
      <w:numFmt w:val="none"/>
      <w:lvlText w:val="9."/>
      <w:lvlJc w:val="left"/>
      <w:pPr>
        <w:tabs>
          <w:tab w:val="left" w:pos="420"/>
        </w:tabs>
        <w:ind w:left="425" w:hanging="425"/>
      </w:pPr>
      <w:rPr>
        <w:rFonts w:hint="default"/>
      </w:rPr>
    </w:lvl>
  </w:abstractNum>
  <w:abstractNum w:abstractNumId="3">
    <w:nsid w:val="D2923793"/>
    <w:multiLevelType w:val="singleLevel"/>
    <w:tmpl w:val="D2923793"/>
    <w:lvl w:ilvl="0" w:tentative="0">
      <w:start w:val="1"/>
      <w:numFmt w:val="none"/>
      <w:lvlText w:val="11."/>
      <w:lvlJc w:val="left"/>
      <w:pPr>
        <w:tabs>
          <w:tab w:val="left" w:pos="420"/>
        </w:tabs>
        <w:ind w:left="425" w:hanging="425"/>
      </w:pPr>
      <w:rPr>
        <w:rFonts w:hint="default"/>
      </w:rPr>
    </w:lvl>
  </w:abstractNum>
  <w:abstractNum w:abstractNumId="4">
    <w:nsid w:val="00000001"/>
    <w:multiLevelType w:val="multilevel"/>
    <w:tmpl w:val="00000001"/>
    <w:lvl w:ilvl="0" w:tentative="0">
      <w:start w:val="1"/>
      <w:numFmt w:val="chineseCountingThousand"/>
      <w:lvlText w:val="附件%1"/>
      <w:lvlJc w:val="left"/>
      <w:pPr>
        <w:ind w:left="1272" w:hanging="420"/>
      </w:pPr>
      <w:rPr>
        <w:rFonts w:hint="eastAsia"/>
      </w:rPr>
    </w:lvl>
    <w:lvl w:ilvl="1" w:tentative="0">
      <w:start w:val="1"/>
      <w:numFmt w:val="lowerLetter"/>
      <w:lvlText w:val="%2)"/>
      <w:lvlJc w:val="left"/>
      <w:pPr>
        <w:ind w:left="1692" w:hanging="420"/>
      </w:pPr>
    </w:lvl>
    <w:lvl w:ilvl="2" w:tentative="0">
      <w:start w:val="1"/>
      <w:numFmt w:val="lowerRoman"/>
      <w:lvlText w:val="%3."/>
      <w:lvlJc w:val="right"/>
      <w:pPr>
        <w:ind w:left="2112" w:hanging="420"/>
      </w:pPr>
    </w:lvl>
    <w:lvl w:ilvl="3" w:tentative="0">
      <w:start w:val="1"/>
      <w:numFmt w:val="decimal"/>
      <w:lvlText w:val="%4."/>
      <w:lvlJc w:val="left"/>
      <w:pPr>
        <w:ind w:left="2532" w:hanging="420"/>
      </w:pPr>
    </w:lvl>
    <w:lvl w:ilvl="4" w:tentative="0">
      <w:start w:val="1"/>
      <w:numFmt w:val="lowerLetter"/>
      <w:lvlText w:val="%5)"/>
      <w:lvlJc w:val="left"/>
      <w:pPr>
        <w:ind w:left="2952" w:hanging="420"/>
      </w:pPr>
    </w:lvl>
    <w:lvl w:ilvl="5" w:tentative="0">
      <w:start w:val="1"/>
      <w:numFmt w:val="lowerRoman"/>
      <w:lvlText w:val="%6."/>
      <w:lvlJc w:val="right"/>
      <w:pPr>
        <w:ind w:left="3372" w:hanging="420"/>
      </w:pPr>
    </w:lvl>
    <w:lvl w:ilvl="6" w:tentative="0">
      <w:start w:val="1"/>
      <w:numFmt w:val="decimal"/>
      <w:lvlText w:val="%7."/>
      <w:lvlJc w:val="left"/>
      <w:pPr>
        <w:ind w:left="3792" w:hanging="420"/>
      </w:pPr>
    </w:lvl>
    <w:lvl w:ilvl="7" w:tentative="0">
      <w:start w:val="1"/>
      <w:numFmt w:val="lowerLetter"/>
      <w:lvlText w:val="%8)"/>
      <w:lvlJc w:val="left"/>
      <w:pPr>
        <w:ind w:left="4212" w:hanging="420"/>
      </w:pPr>
    </w:lvl>
    <w:lvl w:ilvl="8" w:tentative="0">
      <w:start w:val="1"/>
      <w:numFmt w:val="lowerRoman"/>
      <w:lvlText w:val="%9."/>
      <w:lvlJc w:val="right"/>
      <w:pPr>
        <w:ind w:left="4632" w:hanging="420"/>
      </w:pPr>
    </w:lvl>
  </w:abstractNum>
  <w:abstractNum w:abstractNumId="5">
    <w:nsid w:val="063373CA"/>
    <w:multiLevelType w:val="multilevel"/>
    <w:tmpl w:val="063373CA"/>
    <w:lvl w:ilvl="0" w:tentative="0">
      <w:start w:val="1"/>
      <w:numFmt w:val="decimal"/>
      <w:lvlText w:val="%1)"/>
      <w:lvlJc w:val="left"/>
      <w:pPr>
        <w:tabs>
          <w:tab w:val="left" w:pos="1848"/>
        </w:tabs>
        <w:ind w:left="1848"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8B957E8"/>
    <w:multiLevelType w:val="multilevel"/>
    <w:tmpl w:val="08B957E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145249B9"/>
    <w:multiLevelType w:val="multilevel"/>
    <w:tmpl w:val="145249B9"/>
    <w:lvl w:ilvl="0" w:tentative="0">
      <w:start w:val="1"/>
      <w:numFmt w:val="decimal"/>
      <w:lvlText w:val="%1."/>
      <w:lvlJc w:val="left"/>
      <w:pPr>
        <w:ind w:left="420" w:hanging="420"/>
      </w:p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15966065"/>
    <w:multiLevelType w:val="multilevel"/>
    <w:tmpl w:val="15966065"/>
    <w:lvl w:ilvl="0" w:tentative="0">
      <w:start w:val="1"/>
      <w:numFmt w:val="bullet"/>
      <w:pStyle w:val="231"/>
      <w:lvlText w:val=""/>
      <w:lvlJc w:val="left"/>
      <w:pPr>
        <w:tabs>
          <w:tab w:val="left" w:pos="420"/>
        </w:tabs>
        <w:ind w:left="420" w:hanging="136"/>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
    <w:nsid w:val="27AA7115"/>
    <w:multiLevelType w:val="multilevel"/>
    <w:tmpl w:val="27AA711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284A5AE6"/>
    <w:multiLevelType w:val="multilevel"/>
    <w:tmpl w:val="284A5AE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2E2F0E49"/>
    <w:multiLevelType w:val="multilevel"/>
    <w:tmpl w:val="2E2F0E4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3048E292"/>
    <w:multiLevelType w:val="singleLevel"/>
    <w:tmpl w:val="3048E292"/>
    <w:lvl w:ilvl="0" w:tentative="0">
      <w:start w:val="1"/>
      <w:numFmt w:val="none"/>
      <w:lvlText w:val="10."/>
      <w:lvlJc w:val="left"/>
      <w:pPr>
        <w:tabs>
          <w:tab w:val="left" w:pos="420"/>
        </w:tabs>
        <w:ind w:left="425" w:hanging="425"/>
      </w:pPr>
      <w:rPr>
        <w:rFonts w:hint="default"/>
      </w:rPr>
    </w:lvl>
  </w:abstractNum>
  <w:abstractNum w:abstractNumId="13">
    <w:nsid w:val="3E9C347D"/>
    <w:multiLevelType w:val="multilevel"/>
    <w:tmpl w:val="3E9C347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40F54389"/>
    <w:multiLevelType w:val="multilevel"/>
    <w:tmpl w:val="40F5438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4AE62E51"/>
    <w:multiLevelType w:val="multilevel"/>
    <w:tmpl w:val="4AE62E51"/>
    <w:lvl w:ilvl="0" w:tentative="0">
      <w:start w:val="1"/>
      <w:numFmt w:val="decimal"/>
      <w:lvlText w:val="%1."/>
      <w:lvlJc w:val="left"/>
      <w:pPr>
        <w:ind w:left="1129" w:hanging="420"/>
      </w:pPr>
    </w:lvl>
    <w:lvl w:ilvl="1" w:tentative="0">
      <w:start w:val="1"/>
      <w:numFmt w:val="decimal"/>
      <w:lvlText w:val="%2."/>
      <w:lvlJc w:val="left"/>
      <w:pPr>
        <w:tabs>
          <w:tab w:val="left" w:pos="1368"/>
        </w:tabs>
        <w:ind w:left="1368" w:hanging="360"/>
      </w:pPr>
      <w:rPr>
        <w:rFonts w:hint="default"/>
      </w:rPr>
    </w:lvl>
    <w:lvl w:ilvl="2" w:tentative="0">
      <w:start w:val="1"/>
      <w:numFmt w:val="bullet"/>
      <w:lvlText w:val=""/>
      <w:lvlJc w:val="left"/>
      <w:pPr>
        <w:tabs>
          <w:tab w:val="left" w:pos="1848"/>
        </w:tabs>
        <w:ind w:left="1848" w:hanging="420"/>
      </w:pPr>
      <w:rPr>
        <w:rFonts w:hint="default" w:ascii="Wingdings" w:hAnsi="Wingdings"/>
      </w:rPr>
    </w:lvl>
    <w:lvl w:ilvl="3" w:tentative="0">
      <w:start w:val="1"/>
      <w:numFmt w:val="bullet"/>
      <w:lvlText w:val="—"/>
      <w:lvlJc w:val="left"/>
      <w:pPr>
        <w:tabs>
          <w:tab w:val="left" w:pos="2268"/>
        </w:tabs>
        <w:ind w:left="2268" w:hanging="420"/>
      </w:pPr>
      <w:rPr>
        <w:rFonts w:hint="default" w:ascii="Vivaldi" w:hAnsi="Vivaldi"/>
      </w:rPr>
    </w:lvl>
    <w:lvl w:ilvl="4" w:tentative="0">
      <w:start w:val="6"/>
      <w:numFmt w:val="decimal"/>
      <w:lvlText w:val="%5)"/>
      <w:lvlJc w:val="left"/>
      <w:pPr>
        <w:tabs>
          <w:tab w:val="left" w:pos="2688"/>
        </w:tabs>
        <w:ind w:left="2688" w:hanging="420"/>
      </w:pPr>
      <w:rPr>
        <w:rFonts w:hint="eastAsia"/>
      </w:rPr>
    </w:lvl>
    <w:lvl w:ilvl="5" w:tentative="0">
      <w:start w:val="1"/>
      <w:numFmt w:val="lowerRoman"/>
      <w:lvlText w:val="%6."/>
      <w:lvlJc w:val="right"/>
      <w:pPr>
        <w:ind w:left="3108" w:hanging="420"/>
      </w:pPr>
    </w:lvl>
    <w:lvl w:ilvl="6" w:tentative="0">
      <w:start w:val="1"/>
      <w:numFmt w:val="decimal"/>
      <w:lvlText w:val="%7."/>
      <w:lvlJc w:val="left"/>
      <w:pPr>
        <w:ind w:left="3528" w:hanging="420"/>
      </w:pPr>
    </w:lvl>
    <w:lvl w:ilvl="7" w:tentative="0">
      <w:start w:val="1"/>
      <w:numFmt w:val="lowerLetter"/>
      <w:lvlText w:val="%8)"/>
      <w:lvlJc w:val="left"/>
      <w:pPr>
        <w:ind w:left="3948" w:hanging="420"/>
      </w:pPr>
    </w:lvl>
    <w:lvl w:ilvl="8" w:tentative="0">
      <w:start w:val="1"/>
      <w:numFmt w:val="lowerRoman"/>
      <w:lvlText w:val="%9."/>
      <w:lvlJc w:val="right"/>
      <w:pPr>
        <w:ind w:left="4368" w:hanging="420"/>
      </w:pPr>
    </w:lvl>
  </w:abstractNum>
  <w:abstractNum w:abstractNumId="16">
    <w:nsid w:val="50A51977"/>
    <w:multiLevelType w:val="singleLevel"/>
    <w:tmpl w:val="50A51977"/>
    <w:lvl w:ilvl="0" w:tentative="0">
      <w:start w:val="1"/>
      <w:numFmt w:val="bullet"/>
      <w:pStyle w:val="254"/>
      <w:lvlText w:val=""/>
      <w:lvlJc w:val="left"/>
      <w:pPr>
        <w:tabs>
          <w:tab w:val="left" w:pos="425"/>
        </w:tabs>
        <w:ind w:left="425" w:hanging="425"/>
      </w:pPr>
      <w:rPr>
        <w:rFonts w:hint="default" w:ascii="Wingdings" w:hAnsi="Wingdings"/>
      </w:rPr>
    </w:lvl>
  </w:abstractNum>
  <w:abstractNum w:abstractNumId="17">
    <w:nsid w:val="5142289F"/>
    <w:multiLevelType w:val="multilevel"/>
    <w:tmpl w:val="5142289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55932DD5"/>
    <w:multiLevelType w:val="multilevel"/>
    <w:tmpl w:val="55932DD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55A72853"/>
    <w:multiLevelType w:val="multilevel"/>
    <w:tmpl w:val="55A72853"/>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567E6C43"/>
    <w:multiLevelType w:val="multilevel"/>
    <w:tmpl w:val="567E6C4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57133F65"/>
    <w:multiLevelType w:val="multilevel"/>
    <w:tmpl w:val="57133F65"/>
    <w:lvl w:ilvl="0" w:tentative="0">
      <w:start w:val="1"/>
      <w:numFmt w:val="decimal"/>
      <w:pStyle w:val="74"/>
      <w:lvlText w:val="第%1章 "/>
      <w:lvlJc w:val="left"/>
      <w:pPr>
        <w:tabs>
          <w:tab w:val="left" w:pos="5671"/>
        </w:tabs>
        <w:ind w:left="5671" w:hanging="425"/>
      </w:pPr>
      <w:rPr>
        <w:rFonts w:hint="eastAsia"/>
      </w:rPr>
    </w:lvl>
    <w:lvl w:ilvl="1" w:tentative="0">
      <w:start w:val="1"/>
      <w:numFmt w:val="decimal"/>
      <w:pStyle w:val="75"/>
      <w:lvlText w:val="%2 "/>
      <w:lvlJc w:val="left"/>
      <w:pPr>
        <w:tabs>
          <w:tab w:val="left" w:pos="284"/>
        </w:tabs>
        <w:ind w:left="747" w:hanging="567"/>
      </w:pPr>
      <w:rPr>
        <w:rFonts w:hint="eastAsia"/>
        <w:b/>
      </w:rPr>
    </w:lvl>
    <w:lvl w:ilvl="2" w:tentative="0">
      <w:start w:val="1"/>
      <w:numFmt w:val="decimal"/>
      <w:pStyle w:val="76"/>
      <w:lvlText w:val="%2.%3 "/>
      <w:lvlJc w:val="left"/>
      <w:pPr>
        <w:tabs>
          <w:tab w:val="left" w:pos="927"/>
        </w:tabs>
        <w:ind w:left="76" w:firstLine="284"/>
      </w:pPr>
      <w:rPr>
        <w:rFonts w:hint="default" w:ascii="Times New Roman" w:hAnsi="Times New Roman" w:eastAsia="宋体"/>
        <w:b w:val="0"/>
        <w:i w:val="0"/>
        <w:sz w:val="24"/>
      </w:rPr>
    </w:lvl>
    <w:lvl w:ilvl="3" w:tentative="0">
      <w:start w:val="1"/>
      <w:numFmt w:val="decimal"/>
      <w:pStyle w:val="77"/>
      <w:lvlText w:val="%2.%3.%4 "/>
      <w:lvlJc w:val="left"/>
      <w:pPr>
        <w:tabs>
          <w:tab w:val="left" w:pos="1524"/>
        </w:tabs>
        <w:ind w:left="390" w:firstLine="510"/>
      </w:pPr>
      <w:rPr>
        <w:rFonts w:hint="default" w:ascii="Times New Roman" w:hAnsi="Times New Roman" w:eastAsia="华文中宋" w:cs="Times New Roman"/>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2">
    <w:nsid w:val="5FB902D1"/>
    <w:multiLevelType w:val="multilevel"/>
    <w:tmpl w:val="5FB902D1"/>
    <w:lvl w:ilvl="0" w:tentative="0">
      <w:start w:val="1"/>
      <w:numFmt w:val="decimal"/>
      <w:lvlText w:val="%1."/>
      <w:lvlJc w:val="left"/>
      <w:pPr>
        <w:ind w:left="420" w:hanging="420"/>
      </w:pPr>
      <w:rPr>
        <w:b w:val="0"/>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682E7D62"/>
    <w:multiLevelType w:val="multilevel"/>
    <w:tmpl w:val="682E7D6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6C816579"/>
    <w:multiLevelType w:val="multilevel"/>
    <w:tmpl w:val="6C81657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6FDE7289"/>
    <w:multiLevelType w:val="singleLevel"/>
    <w:tmpl w:val="6FDE7289"/>
    <w:lvl w:ilvl="0" w:tentative="0">
      <w:start w:val="1"/>
      <w:numFmt w:val="decimal"/>
      <w:pStyle w:val="114"/>
      <w:lvlText w:val="%1."/>
      <w:lvlJc w:val="left"/>
      <w:pPr>
        <w:tabs>
          <w:tab w:val="left" w:pos="360"/>
        </w:tabs>
        <w:ind w:left="0" w:firstLine="0"/>
      </w:pPr>
      <w:rPr>
        <w:rFonts w:hint="eastAsia"/>
      </w:rPr>
    </w:lvl>
  </w:abstractNum>
  <w:abstractNum w:abstractNumId="26">
    <w:nsid w:val="71940EDB"/>
    <w:multiLevelType w:val="multilevel"/>
    <w:tmpl w:val="71940ED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739315A4"/>
    <w:multiLevelType w:val="multilevel"/>
    <w:tmpl w:val="739315A4"/>
    <w:lvl w:ilvl="0" w:tentative="0">
      <w:start w:val="1"/>
      <w:numFmt w:val="decimal"/>
      <w:lvlText w:val="%1."/>
      <w:lvlJc w:val="left"/>
      <w:pPr>
        <w:ind w:left="420" w:hanging="420"/>
      </w:pPr>
      <w:rPr>
        <w:b w:val="0"/>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74EC6053"/>
    <w:multiLevelType w:val="multilevel"/>
    <w:tmpl w:val="74EC6053"/>
    <w:lvl w:ilvl="0" w:tentative="0">
      <w:start w:val="1"/>
      <w:numFmt w:val="decimal"/>
      <w:lvlText w:val="%1."/>
      <w:lvlJc w:val="left"/>
      <w:pPr>
        <w:ind w:left="420" w:hanging="420"/>
      </w:p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7EA970C7"/>
    <w:multiLevelType w:val="multilevel"/>
    <w:tmpl w:val="7EA970C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7F50071B"/>
    <w:multiLevelType w:val="multilevel"/>
    <w:tmpl w:val="7F50071B"/>
    <w:lvl w:ilvl="0" w:tentative="0">
      <w:start w:val="1"/>
      <w:numFmt w:val="decimal"/>
      <w:lvlText w:val="%1."/>
      <w:lvlJc w:val="left"/>
      <w:pPr>
        <w:ind w:left="1129" w:hanging="420"/>
      </w:pPr>
    </w:lvl>
    <w:lvl w:ilvl="1" w:tentative="0">
      <w:start w:val="1"/>
      <w:numFmt w:val="decimal"/>
      <w:lvlText w:val="%2）"/>
      <w:lvlJc w:val="left"/>
      <w:pPr>
        <w:tabs>
          <w:tab w:val="left" w:pos="1368"/>
        </w:tabs>
        <w:ind w:left="1368" w:hanging="360"/>
      </w:pPr>
      <w:rPr>
        <w:rFonts w:hint="default"/>
      </w:rPr>
    </w:lvl>
    <w:lvl w:ilvl="2" w:tentative="0">
      <w:start w:val="1"/>
      <w:numFmt w:val="bullet"/>
      <w:lvlText w:val=""/>
      <w:lvlJc w:val="left"/>
      <w:pPr>
        <w:tabs>
          <w:tab w:val="left" w:pos="1848"/>
        </w:tabs>
        <w:ind w:left="1848" w:hanging="420"/>
      </w:pPr>
      <w:rPr>
        <w:rFonts w:hint="default" w:ascii="Wingdings" w:hAnsi="Wingdings"/>
      </w:rPr>
    </w:lvl>
    <w:lvl w:ilvl="3" w:tentative="0">
      <w:start w:val="1"/>
      <w:numFmt w:val="decimal"/>
      <w:lvlText w:val="（%4）"/>
      <w:lvlJc w:val="left"/>
      <w:pPr>
        <w:tabs>
          <w:tab w:val="left" w:pos="2268"/>
        </w:tabs>
        <w:ind w:left="2268" w:hanging="420"/>
      </w:pPr>
      <w:rPr>
        <w:rFonts w:hint="default"/>
      </w:rPr>
    </w:lvl>
    <w:lvl w:ilvl="4" w:tentative="0">
      <w:start w:val="6"/>
      <w:numFmt w:val="decimal"/>
      <w:lvlText w:val="%5)"/>
      <w:lvlJc w:val="left"/>
      <w:pPr>
        <w:tabs>
          <w:tab w:val="left" w:pos="2688"/>
        </w:tabs>
        <w:ind w:left="2688" w:hanging="420"/>
      </w:pPr>
      <w:rPr>
        <w:rFonts w:hint="eastAsia"/>
      </w:rPr>
    </w:lvl>
    <w:lvl w:ilvl="5" w:tentative="0">
      <w:start w:val="1"/>
      <w:numFmt w:val="lowerRoman"/>
      <w:lvlText w:val="%6."/>
      <w:lvlJc w:val="right"/>
      <w:pPr>
        <w:ind w:left="3108" w:hanging="420"/>
      </w:pPr>
    </w:lvl>
    <w:lvl w:ilvl="6" w:tentative="0">
      <w:start w:val="1"/>
      <w:numFmt w:val="decimal"/>
      <w:lvlText w:val="%7."/>
      <w:lvlJc w:val="left"/>
      <w:pPr>
        <w:ind w:left="3528" w:hanging="420"/>
      </w:pPr>
    </w:lvl>
    <w:lvl w:ilvl="7" w:tentative="0">
      <w:start w:val="1"/>
      <w:numFmt w:val="lowerLetter"/>
      <w:lvlText w:val="%8)"/>
      <w:lvlJc w:val="left"/>
      <w:pPr>
        <w:ind w:left="3948" w:hanging="420"/>
      </w:pPr>
    </w:lvl>
    <w:lvl w:ilvl="8" w:tentative="0">
      <w:start w:val="1"/>
      <w:numFmt w:val="lowerRoman"/>
      <w:lvlText w:val="%9."/>
      <w:lvlJc w:val="right"/>
      <w:pPr>
        <w:ind w:left="4368" w:hanging="420"/>
      </w:pPr>
    </w:lvl>
  </w:abstractNum>
  <w:num w:numId="1">
    <w:abstractNumId w:val="21"/>
  </w:num>
  <w:num w:numId="2">
    <w:abstractNumId w:val="25"/>
  </w:num>
  <w:num w:numId="3">
    <w:abstractNumId w:val="8"/>
  </w:num>
  <w:num w:numId="4">
    <w:abstractNumId w:val="16"/>
  </w:num>
  <w:num w:numId="5">
    <w:abstractNumId w:val="4"/>
  </w:num>
  <w:num w:numId="6">
    <w:abstractNumId w:val="28"/>
  </w:num>
  <w:num w:numId="7">
    <w:abstractNumId w:val="7"/>
  </w:num>
  <w:num w:numId="8">
    <w:abstractNumId w:val="24"/>
  </w:num>
  <w:num w:numId="9">
    <w:abstractNumId w:val="9"/>
  </w:num>
  <w:num w:numId="10">
    <w:abstractNumId w:val="6"/>
  </w:num>
  <w:num w:numId="11">
    <w:abstractNumId w:val="22"/>
  </w:num>
  <w:num w:numId="12">
    <w:abstractNumId w:val="14"/>
  </w:num>
  <w:num w:numId="13">
    <w:abstractNumId w:val="18"/>
  </w:num>
  <w:num w:numId="14">
    <w:abstractNumId w:val="13"/>
  </w:num>
  <w:num w:numId="15">
    <w:abstractNumId w:val="27"/>
  </w:num>
  <w:num w:numId="16">
    <w:abstractNumId w:val="20"/>
  </w:num>
  <w:num w:numId="17">
    <w:abstractNumId w:val="23"/>
  </w:num>
  <w:num w:numId="18">
    <w:abstractNumId w:val="26"/>
  </w:num>
  <w:num w:numId="19">
    <w:abstractNumId w:val="17"/>
  </w:num>
  <w:num w:numId="20">
    <w:abstractNumId w:val="11"/>
  </w:num>
  <w:num w:numId="21">
    <w:abstractNumId w:val="19"/>
  </w:num>
  <w:num w:numId="22">
    <w:abstractNumId w:val="10"/>
  </w:num>
  <w:num w:numId="23">
    <w:abstractNumId w:val="29"/>
  </w:num>
  <w:num w:numId="24">
    <w:abstractNumId w:val="1"/>
  </w:num>
  <w:num w:numId="25">
    <w:abstractNumId w:val="30"/>
  </w:num>
  <w:num w:numId="26">
    <w:abstractNumId w:val="2"/>
  </w:num>
  <w:num w:numId="27">
    <w:abstractNumId w:val="5"/>
  </w:num>
  <w:num w:numId="28">
    <w:abstractNumId w:val="12"/>
  </w:num>
  <w:num w:numId="29">
    <w:abstractNumId w:val="0"/>
  </w:num>
  <w:num w:numId="30">
    <w:abstractNumId w:val="3"/>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120"/>
  <w:drawingGridVerticalSpacing w:val="156"/>
  <w:displayHorizontalDrawingGridEvery w:val="0"/>
  <w:displayVerticalDrawingGridEvery w:val="2"/>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UwMTFkMDI3ZjBmZjczM2Q3M2EwOGI5M2VjYzUzMDkifQ=="/>
  </w:docVars>
  <w:rsids>
    <w:rsidRoot w:val="00172A27"/>
    <w:rsid w:val="000042B9"/>
    <w:rsid w:val="00004C44"/>
    <w:rsid w:val="00010B5A"/>
    <w:rsid w:val="00011939"/>
    <w:rsid w:val="00013809"/>
    <w:rsid w:val="0002203C"/>
    <w:rsid w:val="00022360"/>
    <w:rsid w:val="0002288C"/>
    <w:rsid w:val="00023EF0"/>
    <w:rsid w:val="000306F3"/>
    <w:rsid w:val="000317CD"/>
    <w:rsid w:val="0003334F"/>
    <w:rsid w:val="0003615F"/>
    <w:rsid w:val="00040215"/>
    <w:rsid w:val="000414B1"/>
    <w:rsid w:val="0004354E"/>
    <w:rsid w:val="0004367E"/>
    <w:rsid w:val="000447DE"/>
    <w:rsid w:val="000449DE"/>
    <w:rsid w:val="00052380"/>
    <w:rsid w:val="000527ED"/>
    <w:rsid w:val="00052A89"/>
    <w:rsid w:val="000572DB"/>
    <w:rsid w:val="00057CB5"/>
    <w:rsid w:val="00062C8B"/>
    <w:rsid w:val="00063478"/>
    <w:rsid w:val="00065739"/>
    <w:rsid w:val="00066975"/>
    <w:rsid w:val="00074E4C"/>
    <w:rsid w:val="000837E0"/>
    <w:rsid w:val="000850CE"/>
    <w:rsid w:val="00085FC4"/>
    <w:rsid w:val="000A728F"/>
    <w:rsid w:val="000B469F"/>
    <w:rsid w:val="000C48DF"/>
    <w:rsid w:val="000D52DD"/>
    <w:rsid w:val="000E071A"/>
    <w:rsid w:val="000E2663"/>
    <w:rsid w:val="000E57C6"/>
    <w:rsid w:val="000F3079"/>
    <w:rsid w:val="000F3A83"/>
    <w:rsid w:val="00102509"/>
    <w:rsid w:val="00112A57"/>
    <w:rsid w:val="00115FC1"/>
    <w:rsid w:val="00116B9A"/>
    <w:rsid w:val="001205A7"/>
    <w:rsid w:val="001238B9"/>
    <w:rsid w:val="00125CFC"/>
    <w:rsid w:val="001306D9"/>
    <w:rsid w:val="001411FB"/>
    <w:rsid w:val="00152287"/>
    <w:rsid w:val="0015365E"/>
    <w:rsid w:val="001544B9"/>
    <w:rsid w:val="00154EC5"/>
    <w:rsid w:val="00164F32"/>
    <w:rsid w:val="001704E7"/>
    <w:rsid w:val="0017094D"/>
    <w:rsid w:val="00172A27"/>
    <w:rsid w:val="00173836"/>
    <w:rsid w:val="00177F7D"/>
    <w:rsid w:val="00182B36"/>
    <w:rsid w:val="00182DA8"/>
    <w:rsid w:val="001846FC"/>
    <w:rsid w:val="00185C12"/>
    <w:rsid w:val="0019059C"/>
    <w:rsid w:val="00191300"/>
    <w:rsid w:val="001933EF"/>
    <w:rsid w:val="00195B58"/>
    <w:rsid w:val="001A219E"/>
    <w:rsid w:val="001A72E8"/>
    <w:rsid w:val="001A7D6E"/>
    <w:rsid w:val="001B551B"/>
    <w:rsid w:val="001C22EA"/>
    <w:rsid w:val="001C46C0"/>
    <w:rsid w:val="001C586F"/>
    <w:rsid w:val="001E254A"/>
    <w:rsid w:val="001E6595"/>
    <w:rsid w:val="001F1D21"/>
    <w:rsid w:val="001F369D"/>
    <w:rsid w:val="00207BB7"/>
    <w:rsid w:val="00210514"/>
    <w:rsid w:val="0021104C"/>
    <w:rsid w:val="00216008"/>
    <w:rsid w:val="002174DC"/>
    <w:rsid w:val="0022172B"/>
    <w:rsid w:val="00227BFD"/>
    <w:rsid w:val="002343FC"/>
    <w:rsid w:val="002349EE"/>
    <w:rsid w:val="002524C8"/>
    <w:rsid w:val="002539C7"/>
    <w:rsid w:val="00253CFA"/>
    <w:rsid w:val="00255C64"/>
    <w:rsid w:val="00260CE8"/>
    <w:rsid w:val="0026315C"/>
    <w:rsid w:val="00270282"/>
    <w:rsid w:val="00282839"/>
    <w:rsid w:val="00287324"/>
    <w:rsid w:val="00293890"/>
    <w:rsid w:val="002A342D"/>
    <w:rsid w:val="002A3533"/>
    <w:rsid w:val="002A360A"/>
    <w:rsid w:val="002A3E7B"/>
    <w:rsid w:val="002B157E"/>
    <w:rsid w:val="002B4294"/>
    <w:rsid w:val="002C7F38"/>
    <w:rsid w:val="002D388A"/>
    <w:rsid w:val="002E1FDD"/>
    <w:rsid w:val="002F5145"/>
    <w:rsid w:val="002F702A"/>
    <w:rsid w:val="003010FC"/>
    <w:rsid w:val="00301A6F"/>
    <w:rsid w:val="00312976"/>
    <w:rsid w:val="003165B0"/>
    <w:rsid w:val="0032336B"/>
    <w:rsid w:val="0033190D"/>
    <w:rsid w:val="0033780D"/>
    <w:rsid w:val="00340650"/>
    <w:rsid w:val="003448BA"/>
    <w:rsid w:val="00345B76"/>
    <w:rsid w:val="00347150"/>
    <w:rsid w:val="0035079F"/>
    <w:rsid w:val="00355CA7"/>
    <w:rsid w:val="00357514"/>
    <w:rsid w:val="00360B9E"/>
    <w:rsid w:val="00361962"/>
    <w:rsid w:val="003625FB"/>
    <w:rsid w:val="00363319"/>
    <w:rsid w:val="0036407F"/>
    <w:rsid w:val="00366201"/>
    <w:rsid w:val="0037396C"/>
    <w:rsid w:val="00380BA9"/>
    <w:rsid w:val="00381142"/>
    <w:rsid w:val="0038218A"/>
    <w:rsid w:val="00391E3B"/>
    <w:rsid w:val="0039583D"/>
    <w:rsid w:val="003A1131"/>
    <w:rsid w:val="003A1859"/>
    <w:rsid w:val="003A2955"/>
    <w:rsid w:val="003A7C12"/>
    <w:rsid w:val="003B24DD"/>
    <w:rsid w:val="003B2528"/>
    <w:rsid w:val="003B2622"/>
    <w:rsid w:val="003C6793"/>
    <w:rsid w:val="003D71F8"/>
    <w:rsid w:val="003E7D8D"/>
    <w:rsid w:val="003F31CD"/>
    <w:rsid w:val="003F5784"/>
    <w:rsid w:val="003F7F9A"/>
    <w:rsid w:val="00411C1C"/>
    <w:rsid w:val="00412230"/>
    <w:rsid w:val="00412880"/>
    <w:rsid w:val="00432639"/>
    <w:rsid w:val="00440A73"/>
    <w:rsid w:val="00450762"/>
    <w:rsid w:val="0045638E"/>
    <w:rsid w:val="00456A16"/>
    <w:rsid w:val="004753CA"/>
    <w:rsid w:val="00475B45"/>
    <w:rsid w:val="00477759"/>
    <w:rsid w:val="00481A10"/>
    <w:rsid w:val="00484D8A"/>
    <w:rsid w:val="004864A2"/>
    <w:rsid w:val="00497EB8"/>
    <w:rsid w:val="004A5A37"/>
    <w:rsid w:val="004B7477"/>
    <w:rsid w:val="004C5F2E"/>
    <w:rsid w:val="004C630D"/>
    <w:rsid w:val="004E3B70"/>
    <w:rsid w:val="004E4399"/>
    <w:rsid w:val="004E4D64"/>
    <w:rsid w:val="004E60EA"/>
    <w:rsid w:val="004F0AA8"/>
    <w:rsid w:val="004F3BEB"/>
    <w:rsid w:val="004F6812"/>
    <w:rsid w:val="00500AC0"/>
    <w:rsid w:val="00517503"/>
    <w:rsid w:val="00520EA1"/>
    <w:rsid w:val="005267CE"/>
    <w:rsid w:val="00527DA6"/>
    <w:rsid w:val="005301FD"/>
    <w:rsid w:val="0053178D"/>
    <w:rsid w:val="005369D5"/>
    <w:rsid w:val="005403DE"/>
    <w:rsid w:val="005429BF"/>
    <w:rsid w:val="00543254"/>
    <w:rsid w:val="00543F27"/>
    <w:rsid w:val="005469F8"/>
    <w:rsid w:val="0055249D"/>
    <w:rsid w:val="005564AB"/>
    <w:rsid w:val="00557951"/>
    <w:rsid w:val="0056010E"/>
    <w:rsid w:val="005618A1"/>
    <w:rsid w:val="0056783D"/>
    <w:rsid w:val="00567B26"/>
    <w:rsid w:val="00584861"/>
    <w:rsid w:val="00584C36"/>
    <w:rsid w:val="0059214E"/>
    <w:rsid w:val="005A5697"/>
    <w:rsid w:val="005B38CE"/>
    <w:rsid w:val="005C070E"/>
    <w:rsid w:val="005C1CC0"/>
    <w:rsid w:val="005C3182"/>
    <w:rsid w:val="005C5608"/>
    <w:rsid w:val="005D09BA"/>
    <w:rsid w:val="005E22C3"/>
    <w:rsid w:val="005F2413"/>
    <w:rsid w:val="005F4057"/>
    <w:rsid w:val="00600558"/>
    <w:rsid w:val="00604640"/>
    <w:rsid w:val="006059F0"/>
    <w:rsid w:val="0061386F"/>
    <w:rsid w:val="00614D8D"/>
    <w:rsid w:val="00615B8D"/>
    <w:rsid w:val="006222CB"/>
    <w:rsid w:val="0062733E"/>
    <w:rsid w:val="00627684"/>
    <w:rsid w:val="00632DCF"/>
    <w:rsid w:val="0064287E"/>
    <w:rsid w:val="0064380C"/>
    <w:rsid w:val="006565D5"/>
    <w:rsid w:val="00666614"/>
    <w:rsid w:val="00672209"/>
    <w:rsid w:val="00673688"/>
    <w:rsid w:val="00673DBF"/>
    <w:rsid w:val="0067610B"/>
    <w:rsid w:val="00676E2A"/>
    <w:rsid w:val="00681A17"/>
    <w:rsid w:val="00682FF7"/>
    <w:rsid w:val="00683EA2"/>
    <w:rsid w:val="006856BD"/>
    <w:rsid w:val="00686B14"/>
    <w:rsid w:val="006D0B40"/>
    <w:rsid w:val="006D27D1"/>
    <w:rsid w:val="006D6E2F"/>
    <w:rsid w:val="006E0583"/>
    <w:rsid w:val="006F5233"/>
    <w:rsid w:val="0070463D"/>
    <w:rsid w:val="00710F28"/>
    <w:rsid w:val="0071255D"/>
    <w:rsid w:val="00716B45"/>
    <w:rsid w:val="00717D50"/>
    <w:rsid w:val="007254C7"/>
    <w:rsid w:val="007362C9"/>
    <w:rsid w:val="00745D79"/>
    <w:rsid w:val="007509EA"/>
    <w:rsid w:val="0075129C"/>
    <w:rsid w:val="00754495"/>
    <w:rsid w:val="00762DAA"/>
    <w:rsid w:val="00764314"/>
    <w:rsid w:val="0076595F"/>
    <w:rsid w:val="00766124"/>
    <w:rsid w:val="00767634"/>
    <w:rsid w:val="00767F3D"/>
    <w:rsid w:val="007736AC"/>
    <w:rsid w:val="00781D18"/>
    <w:rsid w:val="00786F0A"/>
    <w:rsid w:val="007913D1"/>
    <w:rsid w:val="00792C84"/>
    <w:rsid w:val="007944CE"/>
    <w:rsid w:val="00794EB8"/>
    <w:rsid w:val="00796C4D"/>
    <w:rsid w:val="007A047C"/>
    <w:rsid w:val="007A0FD5"/>
    <w:rsid w:val="007A4E51"/>
    <w:rsid w:val="007B4C47"/>
    <w:rsid w:val="007B55B1"/>
    <w:rsid w:val="007B63C6"/>
    <w:rsid w:val="007C13E7"/>
    <w:rsid w:val="007C5995"/>
    <w:rsid w:val="007D5162"/>
    <w:rsid w:val="007D746B"/>
    <w:rsid w:val="007F60B9"/>
    <w:rsid w:val="007F6884"/>
    <w:rsid w:val="007F75BB"/>
    <w:rsid w:val="0080518C"/>
    <w:rsid w:val="0081159E"/>
    <w:rsid w:val="0081546C"/>
    <w:rsid w:val="00817FD5"/>
    <w:rsid w:val="008230F0"/>
    <w:rsid w:val="00823AD1"/>
    <w:rsid w:val="008256E2"/>
    <w:rsid w:val="0082678C"/>
    <w:rsid w:val="0083267B"/>
    <w:rsid w:val="008403D3"/>
    <w:rsid w:val="00845482"/>
    <w:rsid w:val="00861E34"/>
    <w:rsid w:val="00864054"/>
    <w:rsid w:val="00867E24"/>
    <w:rsid w:val="008705C5"/>
    <w:rsid w:val="00872251"/>
    <w:rsid w:val="008741F7"/>
    <w:rsid w:val="00874C5A"/>
    <w:rsid w:val="00880ED9"/>
    <w:rsid w:val="00881991"/>
    <w:rsid w:val="00882480"/>
    <w:rsid w:val="0088700F"/>
    <w:rsid w:val="00890A18"/>
    <w:rsid w:val="00890B47"/>
    <w:rsid w:val="00894799"/>
    <w:rsid w:val="0089668B"/>
    <w:rsid w:val="00897E52"/>
    <w:rsid w:val="008A3F2E"/>
    <w:rsid w:val="008A59E8"/>
    <w:rsid w:val="008A5C9A"/>
    <w:rsid w:val="008A6A87"/>
    <w:rsid w:val="008A7F67"/>
    <w:rsid w:val="008B150B"/>
    <w:rsid w:val="008B5D70"/>
    <w:rsid w:val="008B7664"/>
    <w:rsid w:val="008C30D4"/>
    <w:rsid w:val="008C335C"/>
    <w:rsid w:val="008D1E53"/>
    <w:rsid w:val="008D1ECC"/>
    <w:rsid w:val="008E11EB"/>
    <w:rsid w:val="008F18E5"/>
    <w:rsid w:val="008F201A"/>
    <w:rsid w:val="008F47A2"/>
    <w:rsid w:val="00905CDA"/>
    <w:rsid w:val="009062A9"/>
    <w:rsid w:val="00907352"/>
    <w:rsid w:val="00907CFF"/>
    <w:rsid w:val="00907DF1"/>
    <w:rsid w:val="00913E9F"/>
    <w:rsid w:val="009168A1"/>
    <w:rsid w:val="009172F2"/>
    <w:rsid w:val="0092018C"/>
    <w:rsid w:val="00921C22"/>
    <w:rsid w:val="00926961"/>
    <w:rsid w:val="00926AD2"/>
    <w:rsid w:val="009351D8"/>
    <w:rsid w:val="00935D9F"/>
    <w:rsid w:val="00944AFD"/>
    <w:rsid w:val="00952CF3"/>
    <w:rsid w:val="009606DE"/>
    <w:rsid w:val="00982AAC"/>
    <w:rsid w:val="0099044A"/>
    <w:rsid w:val="00994658"/>
    <w:rsid w:val="00995BFE"/>
    <w:rsid w:val="009A1EFA"/>
    <w:rsid w:val="009A20D0"/>
    <w:rsid w:val="009A22E9"/>
    <w:rsid w:val="009A39E9"/>
    <w:rsid w:val="009C18C5"/>
    <w:rsid w:val="009C2874"/>
    <w:rsid w:val="009C4690"/>
    <w:rsid w:val="009C4FD0"/>
    <w:rsid w:val="009C7505"/>
    <w:rsid w:val="009D4966"/>
    <w:rsid w:val="009D56DB"/>
    <w:rsid w:val="009D7C4C"/>
    <w:rsid w:val="009D7FFB"/>
    <w:rsid w:val="009F2155"/>
    <w:rsid w:val="009F70F5"/>
    <w:rsid w:val="00A04F2D"/>
    <w:rsid w:val="00A2528F"/>
    <w:rsid w:val="00A30225"/>
    <w:rsid w:val="00A3091A"/>
    <w:rsid w:val="00A33641"/>
    <w:rsid w:val="00A37B81"/>
    <w:rsid w:val="00A51524"/>
    <w:rsid w:val="00A52881"/>
    <w:rsid w:val="00A54BC8"/>
    <w:rsid w:val="00A72D7F"/>
    <w:rsid w:val="00A731D8"/>
    <w:rsid w:val="00A750A7"/>
    <w:rsid w:val="00A8258C"/>
    <w:rsid w:val="00A87687"/>
    <w:rsid w:val="00AA29FC"/>
    <w:rsid w:val="00AA7C07"/>
    <w:rsid w:val="00AC21A5"/>
    <w:rsid w:val="00AD1DBD"/>
    <w:rsid w:val="00AD2364"/>
    <w:rsid w:val="00AE0CF5"/>
    <w:rsid w:val="00AE41E8"/>
    <w:rsid w:val="00AE780B"/>
    <w:rsid w:val="00AF0688"/>
    <w:rsid w:val="00B04FD5"/>
    <w:rsid w:val="00B11CE4"/>
    <w:rsid w:val="00B2411F"/>
    <w:rsid w:val="00B26166"/>
    <w:rsid w:val="00B26FFF"/>
    <w:rsid w:val="00B33A42"/>
    <w:rsid w:val="00B3617B"/>
    <w:rsid w:val="00B47197"/>
    <w:rsid w:val="00B474A4"/>
    <w:rsid w:val="00B51A0A"/>
    <w:rsid w:val="00B631E4"/>
    <w:rsid w:val="00B705A4"/>
    <w:rsid w:val="00B76251"/>
    <w:rsid w:val="00B76801"/>
    <w:rsid w:val="00B77056"/>
    <w:rsid w:val="00B80525"/>
    <w:rsid w:val="00B853F9"/>
    <w:rsid w:val="00B93982"/>
    <w:rsid w:val="00B94DC7"/>
    <w:rsid w:val="00B97325"/>
    <w:rsid w:val="00BA1187"/>
    <w:rsid w:val="00BA247D"/>
    <w:rsid w:val="00BA3AC1"/>
    <w:rsid w:val="00BA57E8"/>
    <w:rsid w:val="00BB09D1"/>
    <w:rsid w:val="00BB0DC6"/>
    <w:rsid w:val="00BB2194"/>
    <w:rsid w:val="00BB4C17"/>
    <w:rsid w:val="00BB7F52"/>
    <w:rsid w:val="00BC05DC"/>
    <w:rsid w:val="00BC359F"/>
    <w:rsid w:val="00BC7E0D"/>
    <w:rsid w:val="00BD0159"/>
    <w:rsid w:val="00BD294B"/>
    <w:rsid w:val="00BD56AF"/>
    <w:rsid w:val="00BE175F"/>
    <w:rsid w:val="00BE433A"/>
    <w:rsid w:val="00BE5209"/>
    <w:rsid w:val="00BE7610"/>
    <w:rsid w:val="00BF1348"/>
    <w:rsid w:val="00BF389A"/>
    <w:rsid w:val="00C06A1F"/>
    <w:rsid w:val="00C200AB"/>
    <w:rsid w:val="00C20AAF"/>
    <w:rsid w:val="00C35837"/>
    <w:rsid w:val="00C375B7"/>
    <w:rsid w:val="00C40097"/>
    <w:rsid w:val="00C41FCF"/>
    <w:rsid w:val="00C44D52"/>
    <w:rsid w:val="00C46022"/>
    <w:rsid w:val="00C47D4F"/>
    <w:rsid w:val="00C515A5"/>
    <w:rsid w:val="00C55461"/>
    <w:rsid w:val="00C56ACD"/>
    <w:rsid w:val="00C577DD"/>
    <w:rsid w:val="00C57D65"/>
    <w:rsid w:val="00C64505"/>
    <w:rsid w:val="00C73A49"/>
    <w:rsid w:val="00C7471A"/>
    <w:rsid w:val="00C812FA"/>
    <w:rsid w:val="00C85E4E"/>
    <w:rsid w:val="00C9433A"/>
    <w:rsid w:val="00C96659"/>
    <w:rsid w:val="00C972A5"/>
    <w:rsid w:val="00C979BC"/>
    <w:rsid w:val="00C97C72"/>
    <w:rsid w:val="00CA6DA6"/>
    <w:rsid w:val="00CB439F"/>
    <w:rsid w:val="00CB56F9"/>
    <w:rsid w:val="00CB5D51"/>
    <w:rsid w:val="00CB7161"/>
    <w:rsid w:val="00CC53A3"/>
    <w:rsid w:val="00CC5D37"/>
    <w:rsid w:val="00CD103F"/>
    <w:rsid w:val="00CF6058"/>
    <w:rsid w:val="00CF7E33"/>
    <w:rsid w:val="00D0059D"/>
    <w:rsid w:val="00D07ADB"/>
    <w:rsid w:val="00D11242"/>
    <w:rsid w:val="00D153D4"/>
    <w:rsid w:val="00D27667"/>
    <w:rsid w:val="00D31771"/>
    <w:rsid w:val="00D32D9B"/>
    <w:rsid w:val="00D45E2E"/>
    <w:rsid w:val="00D570BE"/>
    <w:rsid w:val="00D62BDD"/>
    <w:rsid w:val="00D6472F"/>
    <w:rsid w:val="00D72EBD"/>
    <w:rsid w:val="00D743E1"/>
    <w:rsid w:val="00D75117"/>
    <w:rsid w:val="00D8195A"/>
    <w:rsid w:val="00D8575A"/>
    <w:rsid w:val="00D93056"/>
    <w:rsid w:val="00D94639"/>
    <w:rsid w:val="00DA0C02"/>
    <w:rsid w:val="00DA1571"/>
    <w:rsid w:val="00DA3FC4"/>
    <w:rsid w:val="00DA4DDA"/>
    <w:rsid w:val="00DA704F"/>
    <w:rsid w:val="00DA7E3F"/>
    <w:rsid w:val="00DB2D26"/>
    <w:rsid w:val="00DC2657"/>
    <w:rsid w:val="00DC35B8"/>
    <w:rsid w:val="00DC4714"/>
    <w:rsid w:val="00DC471D"/>
    <w:rsid w:val="00DC69B0"/>
    <w:rsid w:val="00DD2632"/>
    <w:rsid w:val="00DD4A57"/>
    <w:rsid w:val="00DE6709"/>
    <w:rsid w:val="00DF5220"/>
    <w:rsid w:val="00E0361F"/>
    <w:rsid w:val="00E0759E"/>
    <w:rsid w:val="00E13A1B"/>
    <w:rsid w:val="00E16940"/>
    <w:rsid w:val="00E26F27"/>
    <w:rsid w:val="00E325BC"/>
    <w:rsid w:val="00E419AB"/>
    <w:rsid w:val="00E5496A"/>
    <w:rsid w:val="00E56495"/>
    <w:rsid w:val="00E614AF"/>
    <w:rsid w:val="00E93EF6"/>
    <w:rsid w:val="00EA014C"/>
    <w:rsid w:val="00EA3496"/>
    <w:rsid w:val="00EA4EDC"/>
    <w:rsid w:val="00EA5594"/>
    <w:rsid w:val="00EB4DB1"/>
    <w:rsid w:val="00EC3C91"/>
    <w:rsid w:val="00ED06E1"/>
    <w:rsid w:val="00ED11C0"/>
    <w:rsid w:val="00ED1E2A"/>
    <w:rsid w:val="00ED568A"/>
    <w:rsid w:val="00EE2FD7"/>
    <w:rsid w:val="00EE46A4"/>
    <w:rsid w:val="00EF26A1"/>
    <w:rsid w:val="00F17E20"/>
    <w:rsid w:val="00F216EE"/>
    <w:rsid w:val="00F26F23"/>
    <w:rsid w:val="00F4098B"/>
    <w:rsid w:val="00F50B8C"/>
    <w:rsid w:val="00F51A4E"/>
    <w:rsid w:val="00F543B0"/>
    <w:rsid w:val="00F56545"/>
    <w:rsid w:val="00F6098A"/>
    <w:rsid w:val="00F6670A"/>
    <w:rsid w:val="00F66913"/>
    <w:rsid w:val="00F751EC"/>
    <w:rsid w:val="00F77A49"/>
    <w:rsid w:val="00F81CD8"/>
    <w:rsid w:val="00F94E34"/>
    <w:rsid w:val="00F95337"/>
    <w:rsid w:val="00FA4D60"/>
    <w:rsid w:val="00FA4EF4"/>
    <w:rsid w:val="00FB2BBC"/>
    <w:rsid w:val="00FB777C"/>
    <w:rsid w:val="00FC1C02"/>
    <w:rsid w:val="00FC2BA9"/>
    <w:rsid w:val="00FC7236"/>
    <w:rsid w:val="00FC7865"/>
    <w:rsid w:val="00FD2D5A"/>
    <w:rsid w:val="00FE22BE"/>
    <w:rsid w:val="00FE31C5"/>
    <w:rsid w:val="00FE7D2C"/>
    <w:rsid w:val="00FF06F0"/>
    <w:rsid w:val="00FF6FC6"/>
    <w:rsid w:val="00FF7556"/>
    <w:rsid w:val="01566F4A"/>
    <w:rsid w:val="03D7671D"/>
    <w:rsid w:val="04622147"/>
    <w:rsid w:val="04CB26B7"/>
    <w:rsid w:val="05070D06"/>
    <w:rsid w:val="057B0CF5"/>
    <w:rsid w:val="057C2E83"/>
    <w:rsid w:val="05A30F1F"/>
    <w:rsid w:val="05A35B11"/>
    <w:rsid w:val="05CF0384"/>
    <w:rsid w:val="05E675D9"/>
    <w:rsid w:val="062C04F8"/>
    <w:rsid w:val="066628A8"/>
    <w:rsid w:val="06AD17A9"/>
    <w:rsid w:val="06E34E28"/>
    <w:rsid w:val="06EA49B3"/>
    <w:rsid w:val="07041169"/>
    <w:rsid w:val="079D1137"/>
    <w:rsid w:val="08321448"/>
    <w:rsid w:val="08B7263C"/>
    <w:rsid w:val="091E715D"/>
    <w:rsid w:val="095D44CB"/>
    <w:rsid w:val="099B630D"/>
    <w:rsid w:val="09A14FB0"/>
    <w:rsid w:val="0B406239"/>
    <w:rsid w:val="0B584FD4"/>
    <w:rsid w:val="0BE35B73"/>
    <w:rsid w:val="0C0C714F"/>
    <w:rsid w:val="0C223ED2"/>
    <w:rsid w:val="0C2F40CE"/>
    <w:rsid w:val="0C8B32FF"/>
    <w:rsid w:val="0CB832EC"/>
    <w:rsid w:val="0D277019"/>
    <w:rsid w:val="0D422387"/>
    <w:rsid w:val="0D544C6F"/>
    <w:rsid w:val="0D6B3EB7"/>
    <w:rsid w:val="0D82100B"/>
    <w:rsid w:val="0D8A4B9A"/>
    <w:rsid w:val="0E4B31E8"/>
    <w:rsid w:val="0E7E3DF2"/>
    <w:rsid w:val="0E8404DC"/>
    <w:rsid w:val="0EC57B0A"/>
    <w:rsid w:val="0F3F5F47"/>
    <w:rsid w:val="0F64775C"/>
    <w:rsid w:val="0FF8457D"/>
    <w:rsid w:val="0FFA442E"/>
    <w:rsid w:val="10980124"/>
    <w:rsid w:val="10D975CC"/>
    <w:rsid w:val="10E937C3"/>
    <w:rsid w:val="115C1E88"/>
    <w:rsid w:val="118C2F9A"/>
    <w:rsid w:val="11E838BD"/>
    <w:rsid w:val="129A67CA"/>
    <w:rsid w:val="12B04A66"/>
    <w:rsid w:val="12E531CF"/>
    <w:rsid w:val="12EF215A"/>
    <w:rsid w:val="12F82707"/>
    <w:rsid w:val="13286CF2"/>
    <w:rsid w:val="137837D5"/>
    <w:rsid w:val="138637A8"/>
    <w:rsid w:val="13E966D7"/>
    <w:rsid w:val="14DC718A"/>
    <w:rsid w:val="15C01464"/>
    <w:rsid w:val="15E52C78"/>
    <w:rsid w:val="168466C2"/>
    <w:rsid w:val="16DD069E"/>
    <w:rsid w:val="171E3660"/>
    <w:rsid w:val="17B71145"/>
    <w:rsid w:val="181245F4"/>
    <w:rsid w:val="181910A0"/>
    <w:rsid w:val="185D2F9A"/>
    <w:rsid w:val="18AF0451"/>
    <w:rsid w:val="18F72680"/>
    <w:rsid w:val="190A364B"/>
    <w:rsid w:val="19A86E39"/>
    <w:rsid w:val="19AC242B"/>
    <w:rsid w:val="19D87E0C"/>
    <w:rsid w:val="19E24FD5"/>
    <w:rsid w:val="19FF69FF"/>
    <w:rsid w:val="1A66082C"/>
    <w:rsid w:val="1A702E58"/>
    <w:rsid w:val="1A7647E7"/>
    <w:rsid w:val="1B6373E0"/>
    <w:rsid w:val="1BB17766"/>
    <w:rsid w:val="1BFA5CF3"/>
    <w:rsid w:val="1C0A6F9F"/>
    <w:rsid w:val="1C126A23"/>
    <w:rsid w:val="1C3A0B86"/>
    <w:rsid w:val="1C437D0D"/>
    <w:rsid w:val="1CC57360"/>
    <w:rsid w:val="1CDF4CB8"/>
    <w:rsid w:val="1D046CBC"/>
    <w:rsid w:val="1D130BE5"/>
    <w:rsid w:val="1D896844"/>
    <w:rsid w:val="1DBB35B7"/>
    <w:rsid w:val="1DDF1CD1"/>
    <w:rsid w:val="1E310C13"/>
    <w:rsid w:val="1EE91A2B"/>
    <w:rsid w:val="1EF030AE"/>
    <w:rsid w:val="1FB96192"/>
    <w:rsid w:val="20AC5541"/>
    <w:rsid w:val="2130423F"/>
    <w:rsid w:val="215317CD"/>
    <w:rsid w:val="21BD6CCF"/>
    <w:rsid w:val="21EC29C2"/>
    <w:rsid w:val="23397281"/>
    <w:rsid w:val="23DD4712"/>
    <w:rsid w:val="23E663EC"/>
    <w:rsid w:val="24A361D8"/>
    <w:rsid w:val="24B91EB9"/>
    <w:rsid w:val="24F05FA1"/>
    <w:rsid w:val="24FE2BE4"/>
    <w:rsid w:val="252F5E88"/>
    <w:rsid w:val="253569B8"/>
    <w:rsid w:val="258D3FCB"/>
    <w:rsid w:val="25B85CB3"/>
    <w:rsid w:val="261F65FD"/>
    <w:rsid w:val="26515BC8"/>
    <w:rsid w:val="268B34BD"/>
    <w:rsid w:val="269009DE"/>
    <w:rsid w:val="26F22A50"/>
    <w:rsid w:val="274965CF"/>
    <w:rsid w:val="274F2647"/>
    <w:rsid w:val="2753038A"/>
    <w:rsid w:val="27682AD3"/>
    <w:rsid w:val="277D18E8"/>
    <w:rsid w:val="27DB190D"/>
    <w:rsid w:val="29681D67"/>
    <w:rsid w:val="29BD4C05"/>
    <w:rsid w:val="29CC61D1"/>
    <w:rsid w:val="29F80D74"/>
    <w:rsid w:val="2AFA0B7E"/>
    <w:rsid w:val="2BA50D37"/>
    <w:rsid w:val="2BE36333"/>
    <w:rsid w:val="2C222D0F"/>
    <w:rsid w:val="2C3165EC"/>
    <w:rsid w:val="2C876482"/>
    <w:rsid w:val="2CBA2011"/>
    <w:rsid w:val="2D346A13"/>
    <w:rsid w:val="2D7947A6"/>
    <w:rsid w:val="2DB72CF5"/>
    <w:rsid w:val="2E6171BA"/>
    <w:rsid w:val="2E994511"/>
    <w:rsid w:val="2EF91839"/>
    <w:rsid w:val="2FAB0637"/>
    <w:rsid w:val="2FD50595"/>
    <w:rsid w:val="2FED458C"/>
    <w:rsid w:val="30185CCC"/>
    <w:rsid w:val="30F66BB1"/>
    <w:rsid w:val="310D15A9"/>
    <w:rsid w:val="31682A8E"/>
    <w:rsid w:val="31C93411"/>
    <w:rsid w:val="32504B42"/>
    <w:rsid w:val="32577D64"/>
    <w:rsid w:val="32790371"/>
    <w:rsid w:val="329E0798"/>
    <w:rsid w:val="32AD6CF7"/>
    <w:rsid w:val="32AF5BAB"/>
    <w:rsid w:val="32D9768F"/>
    <w:rsid w:val="330D6A25"/>
    <w:rsid w:val="331C2715"/>
    <w:rsid w:val="33863C3A"/>
    <w:rsid w:val="338D0CCC"/>
    <w:rsid w:val="34015106"/>
    <w:rsid w:val="341B0BBB"/>
    <w:rsid w:val="343063EC"/>
    <w:rsid w:val="34583B6D"/>
    <w:rsid w:val="34600516"/>
    <w:rsid w:val="347D2FEF"/>
    <w:rsid w:val="34A35C8A"/>
    <w:rsid w:val="34E32F57"/>
    <w:rsid w:val="35016FDD"/>
    <w:rsid w:val="3511009F"/>
    <w:rsid w:val="351C625F"/>
    <w:rsid w:val="35F00F36"/>
    <w:rsid w:val="35F44AE6"/>
    <w:rsid w:val="3600556A"/>
    <w:rsid w:val="364518CC"/>
    <w:rsid w:val="365D4FC6"/>
    <w:rsid w:val="36897924"/>
    <w:rsid w:val="368E6999"/>
    <w:rsid w:val="370A44A1"/>
    <w:rsid w:val="37273501"/>
    <w:rsid w:val="37414EE7"/>
    <w:rsid w:val="37733392"/>
    <w:rsid w:val="37763BA2"/>
    <w:rsid w:val="377C2877"/>
    <w:rsid w:val="37F00CC4"/>
    <w:rsid w:val="388F7F03"/>
    <w:rsid w:val="38AF316F"/>
    <w:rsid w:val="38DC1489"/>
    <w:rsid w:val="38F54890"/>
    <w:rsid w:val="39033292"/>
    <w:rsid w:val="39776302"/>
    <w:rsid w:val="39E71D9B"/>
    <w:rsid w:val="3A121204"/>
    <w:rsid w:val="3A440A28"/>
    <w:rsid w:val="3A72581E"/>
    <w:rsid w:val="3AA00696"/>
    <w:rsid w:val="3AD80437"/>
    <w:rsid w:val="3B036BE7"/>
    <w:rsid w:val="3B5F2AD3"/>
    <w:rsid w:val="3BE32897"/>
    <w:rsid w:val="3C1343D8"/>
    <w:rsid w:val="3C6958BE"/>
    <w:rsid w:val="3CC33464"/>
    <w:rsid w:val="3CD77BE0"/>
    <w:rsid w:val="3CE4661E"/>
    <w:rsid w:val="3D41785A"/>
    <w:rsid w:val="3E0C37D6"/>
    <w:rsid w:val="3F3F2027"/>
    <w:rsid w:val="3FA54285"/>
    <w:rsid w:val="3FAE0274"/>
    <w:rsid w:val="404C551E"/>
    <w:rsid w:val="40A1586A"/>
    <w:rsid w:val="40BC4452"/>
    <w:rsid w:val="40D93FC5"/>
    <w:rsid w:val="4148155E"/>
    <w:rsid w:val="41855690"/>
    <w:rsid w:val="419E00B9"/>
    <w:rsid w:val="427F615B"/>
    <w:rsid w:val="428B4A24"/>
    <w:rsid w:val="42AF4664"/>
    <w:rsid w:val="43450AD9"/>
    <w:rsid w:val="43AF2F0D"/>
    <w:rsid w:val="43F357B1"/>
    <w:rsid w:val="43FE5F41"/>
    <w:rsid w:val="44354A9A"/>
    <w:rsid w:val="445C6183"/>
    <w:rsid w:val="449B7D7B"/>
    <w:rsid w:val="44D56D31"/>
    <w:rsid w:val="44D97CC8"/>
    <w:rsid w:val="454E1116"/>
    <w:rsid w:val="46037BE1"/>
    <w:rsid w:val="462C5BD6"/>
    <w:rsid w:val="4671642F"/>
    <w:rsid w:val="471F573B"/>
    <w:rsid w:val="473314F8"/>
    <w:rsid w:val="47377C56"/>
    <w:rsid w:val="47E9474F"/>
    <w:rsid w:val="47FE1C87"/>
    <w:rsid w:val="48562C83"/>
    <w:rsid w:val="4873723A"/>
    <w:rsid w:val="489929C9"/>
    <w:rsid w:val="48B42737"/>
    <w:rsid w:val="48F84EE1"/>
    <w:rsid w:val="4918395F"/>
    <w:rsid w:val="4932421A"/>
    <w:rsid w:val="49325BF9"/>
    <w:rsid w:val="49B93C25"/>
    <w:rsid w:val="49F03DC6"/>
    <w:rsid w:val="4A4E6A63"/>
    <w:rsid w:val="4AA76173"/>
    <w:rsid w:val="4B17451F"/>
    <w:rsid w:val="4B4C237C"/>
    <w:rsid w:val="4BD91028"/>
    <w:rsid w:val="4C3B358E"/>
    <w:rsid w:val="4C5C37E2"/>
    <w:rsid w:val="4C9348B0"/>
    <w:rsid w:val="4C9C56F8"/>
    <w:rsid w:val="4D7B5791"/>
    <w:rsid w:val="4DB57162"/>
    <w:rsid w:val="4DD17574"/>
    <w:rsid w:val="4E7F0FFB"/>
    <w:rsid w:val="4ECF0A8F"/>
    <w:rsid w:val="4EEC17B6"/>
    <w:rsid w:val="4F2A5762"/>
    <w:rsid w:val="4F390BD3"/>
    <w:rsid w:val="4FCC3E9E"/>
    <w:rsid w:val="500137A2"/>
    <w:rsid w:val="50114E25"/>
    <w:rsid w:val="50445C50"/>
    <w:rsid w:val="5051584E"/>
    <w:rsid w:val="507E2523"/>
    <w:rsid w:val="50A519B9"/>
    <w:rsid w:val="50AB7180"/>
    <w:rsid w:val="50FE0AB7"/>
    <w:rsid w:val="51912D1E"/>
    <w:rsid w:val="519E431F"/>
    <w:rsid w:val="52591BFD"/>
    <w:rsid w:val="53104095"/>
    <w:rsid w:val="540E7263"/>
    <w:rsid w:val="54225486"/>
    <w:rsid w:val="54595AAF"/>
    <w:rsid w:val="5468240D"/>
    <w:rsid w:val="554271C4"/>
    <w:rsid w:val="5598564B"/>
    <w:rsid w:val="55A411C8"/>
    <w:rsid w:val="55BA7B6C"/>
    <w:rsid w:val="56262642"/>
    <w:rsid w:val="56282E38"/>
    <w:rsid w:val="56883358"/>
    <w:rsid w:val="56E41CC0"/>
    <w:rsid w:val="577A2A68"/>
    <w:rsid w:val="57882E88"/>
    <w:rsid w:val="57F47BD5"/>
    <w:rsid w:val="585C67EF"/>
    <w:rsid w:val="58661700"/>
    <w:rsid w:val="588A1E31"/>
    <w:rsid w:val="58B21597"/>
    <w:rsid w:val="597E1246"/>
    <w:rsid w:val="59EF267F"/>
    <w:rsid w:val="5A1D2E53"/>
    <w:rsid w:val="5A394D64"/>
    <w:rsid w:val="5A40006A"/>
    <w:rsid w:val="5A541CEC"/>
    <w:rsid w:val="5B7044EE"/>
    <w:rsid w:val="5B7454FD"/>
    <w:rsid w:val="5B752A88"/>
    <w:rsid w:val="5BA24215"/>
    <w:rsid w:val="5BA354B7"/>
    <w:rsid w:val="5BB61A63"/>
    <w:rsid w:val="5C19274C"/>
    <w:rsid w:val="5C1F0115"/>
    <w:rsid w:val="5C3856F6"/>
    <w:rsid w:val="5C474125"/>
    <w:rsid w:val="5C5F7F06"/>
    <w:rsid w:val="5CCE3A33"/>
    <w:rsid w:val="5D0D6F39"/>
    <w:rsid w:val="5D3018A3"/>
    <w:rsid w:val="5D50269A"/>
    <w:rsid w:val="5D716E9C"/>
    <w:rsid w:val="5E4F2952"/>
    <w:rsid w:val="5EA2735E"/>
    <w:rsid w:val="5EE44E48"/>
    <w:rsid w:val="5F0E47E3"/>
    <w:rsid w:val="5F58704D"/>
    <w:rsid w:val="5FF249DB"/>
    <w:rsid w:val="607D292B"/>
    <w:rsid w:val="60914018"/>
    <w:rsid w:val="60B83C9C"/>
    <w:rsid w:val="611D44F1"/>
    <w:rsid w:val="6172022C"/>
    <w:rsid w:val="61ED61E4"/>
    <w:rsid w:val="61EE3664"/>
    <w:rsid w:val="620B3E28"/>
    <w:rsid w:val="621B5F31"/>
    <w:rsid w:val="623D1AB0"/>
    <w:rsid w:val="62432E1B"/>
    <w:rsid w:val="62650996"/>
    <w:rsid w:val="627B5AC3"/>
    <w:rsid w:val="628C29ED"/>
    <w:rsid w:val="62F81BDC"/>
    <w:rsid w:val="6323455F"/>
    <w:rsid w:val="642108EC"/>
    <w:rsid w:val="644F783B"/>
    <w:rsid w:val="64DE2339"/>
    <w:rsid w:val="65BD7342"/>
    <w:rsid w:val="65C61973"/>
    <w:rsid w:val="65DD5B79"/>
    <w:rsid w:val="65EB7404"/>
    <w:rsid w:val="66000AE7"/>
    <w:rsid w:val="66273295"/>
    <w:rsid w:val="663E5786"/>
    <w:rsid w:val="66517838"/>
    <w:rsid w:val="666B22F3"/>
    <w:rsid w:val="66A52013"/>
    <w:rsid w:val="66B13A44"/>
    <w:rsid w:val="67C17DA4"/>
    <w:rsid w:val="67C65D07"/>
    <w:rsid w:val="684A230B"/>
    <w:rsid w:val="68654BB8"/>
    <w:rsid w:val="68862BCF"/>
    <w:rsid w:val="68924B30"/>
    <w:rsid w:val="68AF5720"/>
    <w:rsid w:val="68D06397"/>
    <w:rsid w:val="68DC5410"/>
    <w:rsid w:val="69201173"/>
    <w:rsid w:val="69362449"/>
    <w:rsid w:val="69F61ED3"/>
    <w:rsid w:val="6A1A2066"/>
    <w:rsid w:val="6A602A18"/>
    <w:rsid w:val="6A682D30"/>
    <w:rsid w:val="6ACD6345"/>
    <w:rsid w:val="6B226435"/>
    <w:rsid w:val="6B3A00A0"/>
    <w:rsid w:val="6B8C146E"/>
    <w:rsid w:val="6BBD2E50"/>
    <w:rsid w:val="6BBF3D37"/>
    <w:rsid w:val="6BD41109"/>
    <w:rsid w:val="6C0D38BE"/>
    <w:rsid w:val="6C8B4AD0"/>
    <w:rsid w:val="6CB70114"/>
    <w:rsid w:val="6D604F0B"/>
    <w:rsid w:val="6DF11323"/>
    <w:rsid w:val="6EB44AA1"/>
    <w:rsid w:val="6F18437B"/>
    <w:rsid w:val="6F3C490B"/>
    <w:rsid w:val="6F7307BE"/>
    <w:rsid w:val="6F8F1CC4"/>
    <w:rsid w:val="6FCA62DC"/>
    <w:rsid w:val="6FDF04FD"/>
    <w:rsid w:val="700579DC"/>
    <w:rsid w:val="700E2009"/>
    <w:rsid w:val="701912B1"/>
    <w:rsid w:val="70932B72"/>
    <w:rsid w:val="7133463B"/>
    <w:rsid w:val="717E737E"/>
    <w:rsid w:val="722C440B"/>
    <w:rsid w:val="723D2D95"/>
    <w:rsid w:val="724E3019"/>
    <w:rsid w:val="72FF3FA9"/>
    <w:rsid w:val="730E0F5C"/>
    <w:rsid w:val="73634A7D"/>
    <w:rsid w:val="73970283"/>
    <w:rsid w:val="73E2166B"/>
    <w:rsid w:val="73EA283C"/>
    <w:rsid w:val="754349D5"/>
    <w:rsid w:val="755C229D"/>
    <w:rsid w:val="767862B7"/>
    <w:rsid w:val="767B6C77"/>
    <w:rsid w:val="76865443"/>
    <w:rsid w:val="769C1C9A"/>
    <w:rsid w:val="76B94B84"/>
    <w:rsid w:val="76BD35BC"/>
    <w:rsid w:val="76C23ED2"/>
    <w:rsid w:val="77187BD4"/>
    <w:rsid w:val="772701F6"/>
    <w:rsid w:val="773E351C"/>
    <w:rsid w:val="77441B78"/>
    <w:rsid w:val="77470210"/>
    <w:rsid w:val="7751412C"/>
    <w:rsid w:val="77B40166"/>
    <w:rsid w:val="77C55584"/>
    <w:rsid w:val="77CF7FAB"/>
    <w:rsid w:val="77E8659C"/>
    <w:rsid w:val="782F5B16"/>
    <w:rsid w:val="78723FBF"/>
    <w:rsid w:val="78864A26"/>
    <w:rsid w:val="791A15C8"/>
    <w:rsid w:val="79EF1D8F"/>
    <w:rsid w:val="7A053C05"/>
    <w:rsid w:val="7A86168A"/>
    <w:rsid w:val="7AE047B6"/>
    <w:rsid w:val="7B590514"/>
    <w:rsid w:val="7CDD66FD"/>
    <w:rsid w:val="7D030298"/>
    <w:rsid w:val="7D2F2D5F"/>
    <w:rsid w:val="7D3D06E5"/>
    <w:rsid w:val="7D5F4C6F"/>
    <w:rsid w:val="7D7D2ECF"/>
    <w:rsid w:val="7E3E757F"/>
    <w:rsid w:val="7E8374ED"/>
    <w:rsid w:val="7EB67D60"/>
    <w:rsid w:val="7F1566A4"/>
    <w:rsid w:val="7F1B59CD"/>
    <w:rsid w:val="7F1E7AAB"/>
    <w:rsid w:val="7F5B1D2D"/>
    <w:rsid w:val="7FC1454D"/>
    <w:rsid w:val="7FEF02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qFormat="1" w:uiPriority="39" w:name="toc 4"/>
    <w:lsdException w:qFormat="1" w:uiPriority="39" w:name="toc 5"/>
    <w:lsdException w:qFormat="1" w:uiPriority="39" w:name="toc 6"/>
    <w:lsdException w:qFormat="1" w:uiPriority="39" w:name="toc 7"/>
    <w:lsdException w:qFormat="1" w:uiPriority="39" w:name="toc 8"/>
    <w:lsdException w:qFormat="1" w:uiPriority="39" w:name="toc 9"/>
    <w:lsdException w:qFormat="1" w:uiPriority="99"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qFormat="1" w:uiPriority="99" w:name="List"/>
    <w:lsdException w:qFormat="1" w:uiPriority="99" w:name="List Bullet"/>
    <w:lsdException w:uiPriority="99" w:name="List Number"/>
    <w:lsdException w:qFormat="1" w:uiPriority="99" w:name="List 2"/>
    <w:lsdException w:uiPriority="99"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qFormat="1" w:uiPriority="0" w:semiHidden="0" w:name="Body Text First Indent 2"/>
    <w:lsdException w:uiPriority="99" w:name="Note Heading"/>
    <w:lsdException w:qFormat="1" w:uiPriority="99" w:name="Body Text 2"/>
    <w:lsdException w:qFormat="1" w:uiPriority="99" w:name="Body Text 3"/>
    <w:lsdException w:qFormat="1" w:uiPriority="99" w:name="Body Text Indent 2"/>
    <w:lsdException w:qFormat="1" w:uiPriority="99" w:name="Body Text Indent 3"/>
    <w:lsdException w:qFormat="1"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99"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iPriority="99" w:name="HTML Keyboard"/>
    <w:lsdException w:qFormat="1" w:uiPriority="99" w:name="HTML Preformatted"/>
    <w:lsdException w:uiPriority="99" w:name="HTML Sample"/>
    <w:lsdException w:uiPriority="99" w:name="HTML Typewriter"/>
    <w:lsdException w:qFormat="1" w:unhideWhenUsed="0" w:uiPriority="0" w:semiHidden="0"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beforeLines="50" w:line="360" w:lineRule="auto"/>
    </w:pPr>
    <w:rPr>
      <w:rFonts w:ascii="Times New Roman" w:hAnsi="Times New Roman" w:eastAsia="宋体" w:cs="Times New Roman"/>
      <w:kern w:val="2"/>
      <w:sz w:val="24"/>
      <w:szCs w:val="24"/>
      <w:lang w:val="en-US" w:eastAsia="zh-CN" w:bidi="ar-SA"/>
    </w:rPr>
  </w:style>
  <w:style w:type="paragraph" w:styleId="4">
    <w:name w:val="heading 1"/>
    <w:basedOn w:val="1"/>
    <w:next w:val="1"/>
    <w:link w:val="92"/>
    <w:qFormat/>
    <w:uiPriority w:val="9"/>
    <w:pPr>
      <w:keepNext/>
      <w:keepLines/>
      <w:spacing w:beforeLines="0" w:line="480" w:lineRule="auto"/>
      <w:jc w:val="center"/>
      <w:outlineLvl w:val="0"/>
    </w:pPr>
    <w:rPr>
      <w:rFonts w:ascii="宋体"/>
      <w:bCs/>
      <w:kern w:val="44"/>
      <w:sz w:val="36"/>
      <w:szCs w:val="44"/>
    </w:rPr>
  </w:style>
  <w:style w:type="paragraph" w:styleId="5">
    <w:name w:val="heading 2"/>
    <w:basedOn w:val="1"/>
    <w:next w:val="1"/>
    <w:link w:val="106"/>
    <w:qFormat/>
    <w:uiPriority w:val="0"/>
    <w:pPr>
      <w:keepNext/>
      <w:keepLines/>
      <w:spacing w:beforeLines="0" w:line="416" w:lineRule="auto"/>
      <w:jc w:val="both"/>
      <w:outlineLvl w:val="1"/>
    </w:pPr>
    <w:rPr>
      <w:rFonts w:ascii="Arial" w:hAnsi="Arial" w:eastAsia="黑体"/>
      <w:b/>
      <w:bCs/>
      <w:sz w:val="32"/>
      <w:szCs w:val="32"/>
    </w:rPr>
  </w:style>
  <w:style w:type="paragraph" w:styleId="6">
    <w:name w:val="heading 3"/>
    <w:basedOn w:val="1"/>
    <w:next w:val="1"/>
    <w:link w:val="85"/>
    <w:qFormat/>
    <w:uiPriority w:val="0"/>
    <w:pPr>
      <w:keepNext/>
      <w:keepLines/>
      <w:spacing w:beforeLines="0" w:line="416" w:lineRule="auto"/>
      <w:outlineLvl w:val="2"/>
    </w:pPr>
    <w:rPr>
      <w:b/>
      <w:bCs/>
      <w:sz w:val="32"/>
      <w:szCs w:val="32"/>
    </w:rPr>
  </w:style>
  <w:style w:type="paragraph" w:styleId="7">
    <w:name w:val="heading 4"/>
    <w:basedOn w:val="1"/>
    <w:next w:val="1"/>
    <w:link w:val="103"/>
    <w:semiHidden/>
    <w:unhideWhenUsed/>
    <w:qFormat/>
    <w:uiPriority w:val="9"/>
    <w:pPr>
      <w:keepNext/>
      <w:keepLines/>
      <w:adjustRightInd w:val="0"/>
      <w:spacing w:beforeLines="0" w:after="290" w:line="376" w:lineRule="atLeast"/>
      <w:outlineLvl w:val="3"/>
    </w:pPr>
    <w:rPr>
      <w:rFonts w:ascii="Arial" w:hAnsi="Arial" w:eastAsia="黑体"/>
      <w:b/>
      <w:kern w:val="0"/>
      <w:sz w:val="28"/>
      <w:szCs w:val="20"/>
    </w:rPr>
  </w:style>
  <w:style w:type="paragraph" w:styleId="8">
    <w:name w:val="heading 5"/>
    <w:basedOn w:val="1"/>
    <w:next w:val="1"/>
    <w:semiHidden/>
    <w:unhideWhenUsed/>
    <w:qFormat/>
    <w:uiPriority w:val="9"/>
    <w:pPr>
      <w:keepNext/>
      <w:keepLines/>
      <w:adjustRightInd w:val="0"/>
      <w:spacing w:beforeLines="0" w:line="376" w:lineRule="atLeast"/>
      <w:outlineLvl w:val="4"/>
    </w:pPr>
    <w:rPr>
      <w:b/>
      <w:kern w:val="0"/>
      <w:sz w:val="28"/>
      <w:szCs w:val="20"/>
    </w:rPr>
  </w:style>
  <w:style w:type="paragraph" w:styleId="9">
    <w:name w:val="heading 6"/>
    <w:basedOn w:val="1"/>
    <w:next w:val="1"/>
    <w:link w:val="112"/>
    <w:semiHidden/>
    <w:unhideWhenUsed/>
    <w:qFormat/>
    <w:uiPriority w:val="9"/>
    <w:pPr>
      <w:keepNext/>
      <w:keepLines/>
      <w:adjustRightInd w:val="0"/>
      <w:spacing w:beforeLines="0" w:line="320" w:lineRule="atLeast"/>
      <w:outlineLvl w:val="5"/>
    </w:pPr>
    <w:rPr>
      <w:rFonts w:ascii="Arial" w:hAnsi="Arial" w:eastAsia="黑体"/>
      <w:b/>
      <w:kern w:val="0"/>
      <w:szCs w:val="20"/>
    </w:rPr>
  </w:style>
  <w:style w:type="paragraph" w:styleId="10">
    <w:name w:val="heading 7"/>
    <w:next w:val="1"/>
    <w:link w:val="87"/>
    <w:semiHidden/>
    <w:unhideWhenUsed/>
    <w:qFormat/>
    <w:uiPriority w:val="9"/>
    <w:pPr>
      <w:widowControl w:val="0"/>
      <w:ind w:firstLine="200" w:firstLineChars="200"/>
      <w:outlineLvl w:val="6"/>
    </w:pPr>
    <w:rPr>
      <w:rFonts w:ascii="黑体" w:hAnsi="Times New Roman" w:eastAsia="黑体" w:cs="Times New Roman"/>
      <w:bCs/>
      <w:sz w:val="28"/>
      <w:lang w:val="en-US" w:eastAsia="zh-CN" w:bidi="ar-SA"/>
    </w:rPr>
  </w:style>
  <w:style w:type="paragraph" w:styleId="11">
    <w:name w:val="heading 8"/>
    <w:basedOn w:val="1"/>
    <w:next w:val="1"/>
    <w:semiHidden/>
    <w:unhideWhenUsed/>
    <w:qFormat/>
    <w:uiPriority w:val="9"/>
    <w:pPr>
      <w:keepNext/>
      <w:keepLines/>
      <w:spacing w:beforeLines="0" w:line="320" w:lineRule="auto"/>
      <w:outlineLvl w:val="7"/>
    </w:pPr>
    <w:rPr>
      <w:rFonts w:ascii="Arial" w:hAnsi="Arial" w:eastAsia="黑体"/>
    </w:rPr>
  </w:style>
  <w:style w:type="paragraph" w:styleId="12">
    <w:name w:val="heading 9"/>
    <w:basedOn w:val="1"/>
    <w:next w:val="1"/>
    <w:link w:val="80"/>
    <w:semiHidden/>
    <w:unhideWhenUsed/>
    <w:qFormat/>
    <w:uiPriority w:val="9"/>
    <w:pPr>
      <w:keepNext/>
      <w:keepLines/>
      <w:spacing w:beforeLines="0" w:line="320" w:lineRule="auto"/>
      <w:outlineLvl w:val="8"/>
    </w:pPr>
    <w:rPr>
      <w:rFonts w:ascii="Arial" w:hAnsi="Arial" w:eastAsia="黑体"/>
      <w:sz w:val="21"/>
      <w:szCs w:val="21"/>
    </w:rPr>
  </w:style>
  <w:style w:type="character" w:default="1" w:styleId="53">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0"/>
    <w:pPr>
      <w:spacing w:beforeLines="50" w:after="120" w:line="360" w:lineRule="auto"/>
      <w:ind w:left="420" w:leftChars="200" w:firstLine="420" w:firstLineChars="200"/>
      <w:jc w:val="left"/>
    </w:pPr>
  </w:style>
  <w:style w:type="paragraph" w:styleId="3">
    <w:name w:val="Body Text Indent"/>
    <w:basedOn w:val="1"/>
    <w:link w:val="315"/>
    <w:semiHidden/>
    <w:unhideWhenUsed/>
    <w:qFormat/>
    <w:uiPriority w:val="99"/>
    <w:pPr>
      <w:spacing w:beforeLines="0" w:line="500" w:lineRule="exact"/>
      <w:ind w:firstLine="442"/>
      <w:jc w:val="both"/>
    </w:pPr>
  </w:style>
  <w:style w:type="paragraph" w:styleId="13">
    <w:name w:val="toc 7"/>
    <w:basedOn w:val="1"/>
    <w:next w:val="1"/>
    <w:semiHidden/>
    <w:unhideWhenUsed/>
    <w:qFormat/>
    <w:uiPriority w:val="39"/>
    <w:pPr>
      <w:spacing w:beforeLines="0" w:line="240" w:lineRule="auto"/>
      <w:ind w:left="2520" w:leftChars="1200"/>
      <w:jc w:val="both"/>
    </w:pPr>
    <w:rPr>
      <w:rFonts w:ascii="仿宋_GB2312" w:eastAsia="仿宋_GB2312"/>
      <w:sz w:val="28"/>
    </w:rPr>
  </w:style>
  <w:style w:type="paragraph" w:styleId="14">
    <w:name w:val="Normal Indent"/>
    <w:basedOn w:val="1"/>
    <w:link w:val="81"/>
    <w:semiHidden/>
    <w:unhideWhenUsed/>
    <w:qFormat/>
    <w:uiPriority w:val="99"/>
    <w:pPr>
      <w:spacing w:beforeLines="0" w:line="240" w:lineRule="auto"/>
      <w:ind w:firstLine="560" w:firstLineChars="200"/>
      <w:jc w:val="both"/>
    </w:pPr>
    <w:rPr>
      <w:rFonts w:ascii="仿宋_GB2312" w:eastAsia="仿宋_GB2312"/>
      <w:sz w:val="28"/>
      <w:szCs w:val="20"/>
    </w:rPr>
  </w:style>
  <w:style w:type="paragraph" w:styleId="15">
    <w:name w:val="caption"/>
    <w:basedOn w:val="1"/>
    <w:next w:val="1"/>
    <w:semiHidden/>
    <w:unhideWhenUsed/>
    <w:qFormat/>
    <w:uiPriority w:val="35"/>
    <w:pPr>
      <w:widowControl/>
      <w:spacing w:beforeLines="0" w:line="351" w:lineRule="atLeast"/>
      <w:ind w:firstLine="6287"/>
      <w:jc w:val="center"/>
      <w:textAlignment w:val="baseline"/>
    </w:pPr>
    <w:rPr>
      <w:b/>
      <w:bCs/>
      <w:color w:val="000080"/>
      <w:kern w:val="0"/>
      <w:sz w:val="28"/>
      <w:szCs w:val="20"/>
      <w:u w:color="000000"/>
    </w:rPr>
  </w:style>
  <w:style w:type="paragraph" w:styleId="16">
    <w:name w:val="List Bullet"/>
    <w:basedOn w:val="1"/>
    <w:semiHidden/>
    <w:unhideWhenUsed/>
    <w:qFormat/>
    <w:uiPriority w:val="99"/>
    <w:pPr>
      <w:tabs>
        <w:tab w:val="left" w:pos="1020"/>
        <w:tab w:val="center" w:pos="6360"/>
      </w:tabs>
      <w:adjustRightInd w:val="0"/>
      <w:spacing w:beforeLines="0" w:line="360" w:lineRule="exact"/>
      <w:ind w:left="1020" w:hanging="420"/>
      <w:jc w:val="center"/>
      <w:textAlignment w:val="baseline"/>
    </w:pPr>
    <w:rPr>
      <w:b/>
      <w:bCs/>
      <w:snapToGrid w:val="0"/>
      <w:kern w:val="0"/>
      <w:sz w:val="20"/>
      <w:szCs w:val="20"/>
    </w:rPr>
  </w:style>
  <w:style w:type="paragraph" w:styleId="17">
    <w:name w:val="Document Map"/>
    <w:basedOn w:val="1"/>
    <w:link w:val="263"/>
    <w:qFormat/>
    <w:uiPriority w:val="99"/>
    <w:pPr>
      <w:shd w:val="clear" w:color="auto" w:fill="000080"/>
    </w:pPr>
  </w:style>
  <w:style w:type="paragraph" w:styleId="18">
    <w:name w:val="annotation text"/>
    <w:basedOn w:val="1"/>
    <w:link w:val="264"/>
    <w:qFormat/>
    <w:uiPriority w:val="0"/>
    <w:pPr>
      <w:autoSpaceDE w:val="0"/>
      <w:autoSpaceDN w:val="0"/>
      <w:adjustRightInd w:val="0"/>
      <w:spacing w:beforeLines="0" w:line="240" w:lineRule="auto"/>
      <w:textAlignment w:val="baseline"/>
    </w:pPr>
    <w:rPr>
      <w:rFonts w:ascii="宋体" w:hAnsi="Plotter"/>
      <w:kern w:val="0"/>
      <w:sz w:val="34"/>
      <w:szCs w:val="20"/>
    </w:rPr>
  </w:style>
  <w:style w:type="paragraph" w:styleId="19">
    <w:name w:val="Body Text 3"/>
    <w:basedOn w:val="1"/>
    <w:semiHidden/>
    <w:unhideWhenUsed/>
    <w:qFormat/>
    <w:uiPriority w:val="99"/>
    <w:pPr>
      <w:spacing w:beforeLines="0"/>
      <w:jc w:val="center"/>
    </w:pPr>
    <w:rPr>
      <w:bCs/>
      <w:color w:val="000000"/>
      <w:szCs w:val="20"/>
    </w:rPr>
  </w:style>
  <w:style w:type="paragraph" w:styleId="20">
    <w:name w:val="Body Text"/>
    <w:basedOn w:val="1"/>
    <w:link w:val="259"/>
    <w:qFormat/>
    <w:uiPriority w:val="99"/>
    <w:pPr>
      <w:snapToGrid w:val="0"/>
      <w:spacing w:beforeLines="0" w:line="240" w:lineRule="auto"/>
      <w:jc w:val="center"/>
    </w:pPr>
    <w:rPr>
      <w:rFonts w:ascii="宋体" w:hAnsi="宋体"/>
      <w:sz w:val="21"/>
    </w:rPr>
  </w:style>
  <w:style w:type="paragraph" w:styleId="21">
    <w:name w:val="List 2"/>
    <w:basedOn w:val="1"/>
    <w:semiHidden/>
    <w:unhideWhenUsed/>
    <w:qFormat/>
    <w:uiPriority w:val="99"/>
    <w:pPr>
      <w:spacing w:beforeLines="0" w:line="360" w:lineRule="exact"/>
      <w:ind w:left="100" w:leftChars="200" w:hanging="200" w:hangingChars="200"/>
      <w:jc w:val="center"/>
    </w:pPr>
    <w:rPr>
      <w:rFonts w:ascii="宋体" w:hAnsi="宋体"/>
      <w:bCs/>
      <w:szCs w:val="21"/>
    </w:rPr>
  </w:style>
  <w:style w:type="paragraph" w:styleId="22">
    <w:name w:val="Block Text"/>
    <w:basedOn w:val="1"/>
    <w:semiHidden/>
    <w:unhideWhenUsed/>
    <w:qFormat/>
    <w:uiPriority w:val="99"/>
    <w:pPr>
      <w:autoSpaceDE w:val="0"/>
      <w:autoSpaceDN w:val="0"/>
      <w:adjustRightInd w:val="0"/>
      <w:spacing w:beforeLines="0" w:line="320" w:lineRule="exact"/>
      <w:ind w:left="79" w:right="79"/>
      <w:jc w:val="both"/>
      <w:textAlignment w:val="baseline"/>
    </w:pPr>
    <w:rPr>
      <w:rFonts w:ascii="MS Gothic" w:hAnsi="Century" w:eastAsia="MS Gothic"/>
      <w:color w:val="000000"/>
      <w:spacing w:val="-3"/>
      <w:kern w:val="0"/>
      <w:sz w:val="20"/>
      <w:szCs w:val="20"/>
      <w:lang w:eastAsia="ja-JP"/>
    </w:rPr>
  </w:style>
  <w:style w:type="paragraph" w:styleId="23">
    <w:name w:val="List Bullet 2"/>
    <w:basedOn w:val="1"/>
    <w:semiHidden/>
    <w:unhideWhenUsed/>
    <w:qFormat/>
    <w:uiPriority w:val="99"/>
    <w:pPr>
      <w:tabs>
        <w:tab w:val="left" w:pos="1020"/>
        <w:tab w:val="center" w:pos="6360"/>
      </w:tabs>
      <w:adjustRightInd w:val="0"/>
      <w:spacing w:beforeLines="0" w:line="360" w:lineRule="exact"/>
      <w:ind w:left="1020" w:hanging="420"/>
      <w:jc w:val="center"/>
      <w:textAlignment w:val="baseline"/>
    </w:pPr>
    <w:rPr>
      <w:b/>
      <w:bCs/>
      <w:snapToGrid w:val="0"/>
      <w:kern w:val="0"/>
      <w:sz w:val="20"/>
      <w:szCs w:val="20"/>
    </w:rPr>
  </w:style>
  <w:style w:type="paragraph" w:styleId="24">
    <w:name w:val="toc 5"/>
    <w:basedOn w:val="1"/>
    <w:next w:val="1"/>
    <w:semiHidden/>
    <w:unhideWhenUsed/>
    <w:qFormat/>
    <w:uiPriority w:val="39"/>
    <w:pPr>
      <w:spacing w:beforeLines="0" w:line="240" w:lineRule="auto"/>
      <w:ind w:left="1680" w:leftChars="800"/>
      <w:jc w:val="both"/>
    </w:pPr>
    <w:rPr>
      <w:sz w:val="21"/>
    </w:rPr>
  </w:style>
  <w:style w:type="paragraph" w:styleId="25">
    <w:name w:val="toc 3"/>
    <w:basedOn w:val="1"/>
    <w:next w:val="1"/>
    <w:semiHidden/>
    <w:unhideWhenUsed/>
    <w:qFormat/>
    <w:uiPriority w:val="39"/>
    <w:pPr>
      <w:spacing w:beforeLines="0" w:line="240" w:lineRule="auto"/>
      <w:ind w:left="420"/>
    </w:pPr>
    <w:rPr>
      <w:rFonts w:ascii="仿宋_GB2312" w:eastAsia="仿宋_GB2312"/>
      <w:iCs/>
      <w:szCs w:val="20"/>
    </w:rPr>
  </w:style>
  <w:style w:type="paragraph" w:styleId="26">
    <w:name w:val="Plain Text"/>
    <w:basedOn w:val="1"/>
    <w:link w:val="86"/>
    <w:qFormat/>
    <w:uiPriority w:val="0"/>
    <w:pPr>
      <w:spacing w:beforeLines="0" w:line="240" w:lineRule="auto"/>
      <w:jc w:val="both"/>
    </w:pPr>
    <w:rPr>
      <w:rFonts w:ascii="宋体" w:hAnsi="Courier New" w:cs="Courier New"/>
      <w:sz w:val="21"/>
      <w:szCs w:val="21"/>
    </w:rPr>
  </w:style>
  <w:style w:type="paragraph" w:styleId="27">
    <w:name w:val="toc 8"/>
    <w:basedOn w:val="1"/>
    <w:next w:val="1"/>
    <w:semiHidden/>
    <w:unhideWhenUsed/>
    <w:qFormat/>
    <w:uiPriority w:val="39"/>
    <w:pPr>
      <w:spacing w:beforeLines="0" w:line="240" w:lineRule="auto"/>
      <w:ind w:left="2940" w:leftChars="1400"/>
      <w:jc w:val="both"/>
    </w:pPr>
    <w:rPr>
      <w:sz w:val="21"/>
    </w:rPr>
  </w:style>
  <w:style w:type="paragraph" w:styleId="28">
    <w:name w:val="Date"/>
    <w:basedOn w:val="1"/>
    <w:next w:val="1"/>
    <w:semiHidden/>
    <w:unhideWhenUsed/>
    <w:qFormat/>
    <w:uiPriority w:val="99"/>
    <w:pPr>
      <w:spacing w:beforeLines="0" w:line="360" w:lineRule="atLeast"/>
      <w:jc w:val="both"/>
    </w:pPr>
    <w:rPr>
      <w:rFonts w:eastAsia="MS Mincho"/>
      <w:snapToGrid w:val="0"/>
      <w:lang w:eastAsia="ja-JP"/>
    </w:rPr>
  </w:style>
  <w:style w:type="paragraph" w:styleId="29">
    <w:name w:val="Body Text Indent 2"/>
    <w:basedOn w:val="1"/>
    <w:link w:val="99"/>
    <w:semiHidden/>
    <w:unhideWhenUsed/>
    <w:qFormat/>
    <w:uiPriority w:val="99"/>
    <w:pPr>
      <w:spacing w:beforeLines="0" w:line="240" w:lineRule="auto"/>
      <w:ind w:firstLine="560" w:firstLineChars="200"/>
      <w:jc w:val="both"/>
    </w:pPr>
    <w:rPr>
      <w:rFonts w:ascii="仿宋_GB2312" w:hAnsi="宋体" w:eastAsia="仿宋_GB2312"/>
      <w:sz w:val="28"/>
    </w:rPr>
  </w:style>
  <w:style w:type="paragraph" w:styleId="30">
    <w:name w:val="endnote text"/>
    <w:basedOn w:val="1"/>
    <w:link w:val="111"/>
    <w:semiHidden/>
    <w:unhideWhenUsed/>
    <w:qFormat/>
    <w:uiPriority w:val="99"/>
    <w:pPr>
      <w:adjustRightInd w:val="0"/>
      <w:snapToGrid w:val="0"/>
      <w:spacing w:beforeLines="0" w:line="360" w:lineRule="atLeast"/>
      <w:textAlignment w:val="baseline"/>
    </w:pPr>
    <w:rPr>
      <w:kern w:val="0"/>
      <w:szCs w:val="20"/>
    </w:rPr>
  </w:style>
  <w:style w:type="paragraph" w:styleId="31">
    <w:name w:val="Balloon Text"/>
    <w:basedOn w:val="1"/>
    <w:link w:val="262"/>
    <w:qFormat/>
    <w:uiPriority w:val="0"/>
    <w:rPr>
      <w:sz w:val="18"/>
      <w:szCs w:val="18"/>
    </w:rPr>
  </w:style>
  <w:style w:type="paragraph" w:styleId="32">
    <w:name w:val="footer"/>
    <w:basedOn w:val="1"/>
    <w:link w:val="79"/>
    <w:qFormat/>
    <w:uiPriority w:val="99"/>
    <w:pPr>
      <w:tabs>
        <w:tab w:val="center" w:pos="4153"/>
        <w:tab w:val="right" w:pos="8306"/>
      </w:tabs>
      <w:snapToGrid w:val="0"/>
    </w:pPr>
    <w:rPr>
      <w:sz w:val="18"/>
      <w:szCs w:val="18"/>
    </w:rPr>
  </w:style>
  <w:style w:type="paragraph" w:styleId="33">
    <w:name w:val="header"/>
    <w:basedOn w:val="1"/>
    <w:link w:val="261"/>
    <w:qFormat/>
    <w:uiPriority w:val="99"/>
    <w:pPr>
      <w:pBdr>
        <w:bottom w:val="single" w:color="auto" w:sz="6" w:space="1"/>
      </w:pBdr>
      <w:tabs>
        <w:tab w:val="center" w:pos="4153"/>
        <w:tab w:val="right" w:pos="8306"/>
      </w:tabs>
      <w:snapToGrid w:val="0"/>
      <w:jc w:val="center"/>
    </w:pPr>
    <w:rPr>
      <w:sz w:val="18"/>
      <w:szCs w:val="18"/>
    </w:rPr>
  </w:style>
  <w:style w:type="paragraph" w:styleId="34">
    <w:name w:val="toc 1"/>
    <w:next w:val="1"/>
    <w:semiHidden/>
    <w:unhideWhenUsed/>
    <w:qFormat/>
    <w:uiPriority w:val="39"/>
    <w:pPr>
      <w:widowControl w:val="0"/>
      <w:spacing w:line="360" w:lineRule="auto"/>
      <w:jc w:val="both"/>
    </w:pPr>
    <w:rPr>
      <w:rFonts w:ascii="仿宋_GB2312" w:hAnsi="Times New Roman" w:eastAsia="宋体" w:cs="Times New Roman"/>
      <w:b/>
      <w:kern w:val="2"/>
      <w:sz w:val="24"/>
      <w:lang w:val="en-US" w:eastAsia="zh-CN" w:bidi="ar-SA"/>
    </w:rPr>
  </w:style>
  <w:style w:type="paragraph" w:styleId="35">
    <w:name w:val="toc 4"/>
    <w:basedOn w:val="1"/>
    <w:next w:val="1"/>
    <w:semiHidden/>
    <w:unhideWhenUsed/>
    <w:qFormat/>
    <w:uiPriority w:val="39"/>
    <w:pPr>
      <w:spacing w:beforeLines="0" w:line="240" w:lineRule="auto"/>
      <w:ind w:left="1260" w:leftChars="600"/>
      <w:jc w:val="both"/>
    </w:pPr>
    <w:rPr>
      <w:rFonts w:ascii="仿宋_GB2312" w:eastAsia="仿宋_GB2312"/>
      <w:sz w:val="28"/>
    </w:rPr>
  </w:style>
  <w:style w:type="paragraph" w:styleId="36">
    <w:name w:val="List"/>
    <w:basedOn w:val="1"/>
    <w:semiHidden/>
    <w:unhideWhenUsed/>
    <w:qFormat/>
    <w:uiPriority w:val="99"/>
    <w:pPr>
      <w:suppressAutoHyphens/>
      <w:adjustRightInd w:val="0"/>
      <w:spacing w:beforeLines="0" w:line="240" w:lineRule="auto"/>
      <w:jc w:val="center"/>
    </w:pPr>
    <w:rPr>
      <w:kern w:val="0"/>
      <w:sz w:val="21"/>
      <w:szCs w:val="20"/>
    </w:rPr>
  </w:style>
  <w:style w:type="paragraph" w:styleId="37">
    <w:name w:val="footnote text"/>
    <w:basedOn w:val="1"/>
    <w:link w:val="267"/>
    <w:qFormat/>
    <w:uiPriority w:val="0"/>
    <w:pPr>
      <w:snapToGrid w:val="0"/>
      <w:spacing w:beforeLines="0" w:line="240" w:lineRule="auto"/>
    </w:pPr>
    <w:rPr>
      <w:rFonts w:asciiTheme="minorHAnsi" w:hAnsiTheme="minorHAnsi" w:eastAsiaTheme="minorEastAsia" w:cstheme="minorBidi"/>
      <w:sz w:val="18"/>
    </w:rPr>
  </w:style>
  <w:style w:type="paragraph" w:styleId="38">
    <w:name w:val="toc 6"/>
    <w:basedOn w:val="1"/>
    <w:next w:val="1"/>
    <w:semiHidden/>
    <w:unhideWhenUsed/>
    <w:qFormat/>
    <w:uiPriority w:val="39"/>
    <w:pPr>
      <w:spacing w:beforeLines="0" w:line="240" w:lineRule="auto"/>
      <w:ind w:left="2100" w:leftChars="1000"/>
      <w:jc w:val="both"/>
    </w:pPr>
    <w:rPr>
      <w:sz w:val="21"/>
    </w:rPr>
  </w:style>
  <w:style w:type="paragraph" w:styleId="39">
    <w:name w:val="Body Text Indent 3"/>
    <w:basedOn w:val="1"/>
    <w:semiHidden/>
    <w:unhideWhenUsed/>
    <w:qFormat/>
    <w:uiPriority w:val="99"/>
    <w:pPr>
      <w:ind w:left="420" w:leftChars="200"/>
    </w:pPr>
    <w:rPr>
      <w:sz w:val="16"/>
      <w:szCs w:val="16"/>
    </w:rPr>
  </w:style>
  <w:style w:type="paragraph" w:styleId="40">
    <w:name w:val="table of figures"/>
    <w:basedOn w:val="1"/>
    <w:next w:val="1"/>
    <w:semiHidden/>
    <w:unhideWhenUsed/>
    <w:qFormat/>
    <w:uiPriority w:val="99"/>
    <w:pPr>
      <w:autoSpaceDE w:val="0"/>
      <w:autoSpaceDN w:val="0"/>
      <w:adjustRightInd w:val="0"/>
      <w:spacing w:beforeLines="0" w:line="240" w:lineRule="auto"/>
      <w:ind w:left="680" w:hanging="680"/>
      <w:textAlignment w:val="baseline"/>
    </w:pPr>
    <w:rPr>
      <w:smallCaps/>
      <w:kern w:val="0"/>
      <w:sz w:val="20"/>
      <w:szCs w:val="20"/>
    </w:rPr>
  </w:style>
  <w:style w:type="paragraph" w:styleId="41">
    <w:name w:val="toc 2"/>
    <w:basedOn w:val="1"/>
    <w:next w:val="1"/>
    <w:semiHidden/>
    <w:unhideWhenUsed/>
    <w:qFormat/>
    <w:uiPriority w:val="39"/>
    <w:pPr>
      <w:tabs>
        <w:tab w:val="left" w:pos="1020"/>
        <w:tab w:val="right" w:leader="dot" w:pos="8302"/>
      </w:tabs>
      <w:spacing w:beforeLines="0"/>
      <w:ind w:left="960" w:leftChars="225" w:hanging="420" w:hangingChars="175"/>
    </w:pPr>
    <w:rPr>
      <w:bCs/>
      <w:smallCaps/>
      <w:szCs w:val="21"/>
    </w:rPr>
  </w:style>
  <w:style w:type="paragraph" w:styleId="42">
    <w:name w:val="toc 9"/>
    <w:basedOn w:val="1"/>
    <w:next w:val="1"/>
    <w:semiHidden/>
    <w:unhideWhenUsed/>
    <w:qFormat/>
    <w:uiPriority w:val="39"/>
    <w:pPr>
      <w:spacing w:beforeLines="0" w:line="240" w:lineRule="auto"/>
      <w:ind w:left="3360" w:leftChars="1600"/>
      <w:jc w:val="both"/>
    </w:pPr>
    <w:rPr>
      <w:sz w:val="21"/>
    </w:rPr>
  </w:style>
  <w:style w:type="paragraph" w:styleId="43">
    <w:name w:val="Body Text 2"/>
    <w:basedOn w:val="1"/>
    <w:semiHidden/>
    <w:unhideWhenUsed/>
    <w:qFormat/>
    <w:uiPriority w:val="99"/>
    <w:pPr>
      <w:spacing w:beforeLines="0" w:line="200" w:lineRule="exact"/>
      <w:jc w:val="both"/>
    </w:pPr>
    <w:rPr>
      <w:rFonts w:eastAsia="MS Mincho"/>
      <w:sz w:val="20"/>
      <w:lang w:eastAsia="ja-JP"/>
    </w:rPr>
  </w:style>
  <w:style w:type="paragraph" w:styleId="44">
    <w:name w:val="Message Header"/>
    <w:basedOn w:val="1"/>
    <w:semiHidden/>
    <w:unhideWhenUsed/>
    <w:qFormat/>
    <w:uiPriority w:val="99"/>
    <w:pPr>
      <w:pBdr>
        <w:top w:val="single" w:color="auto" w:sz="6" w:space="1"/>
        <w:left w:val="single" w:color="auto" w:sz="6" w:space="1"/>
        <w:bottom w:val="single" w:color="auto" w:sz="6" w:space="1"/>
        <w:right w:val="single" w:color="auto" w:sz="6" w:space="1"/>
      </w:pBdr>
      <w:shd w:val="pct20" w:color="auto" w:fill="auto"/>
      <w:spacing w:beforeLines="0" w:line="240" w:lineRule="auto"/>
      <w:ind w:left="1080" w:leftChars="500" w:hanging="1080" w:hangingChars="500"/>
      <w:jc w:val="both"/>
    </w:pPr>
    <w:rPr>
      <w:rFonts w:ascii="Arial" w:hAnsi="Arial" w:cs="Arial"/>
    </w:rPr>
  </w:style>
  <w:style w:type="paragraph" w:styleId="45">
    <w:name w:val="HTML Preformatted"/>
    <w:basedOn w:val="1"/>
    <w:link w:val="248"/>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0" w:line="360" w:lineRule="exact"/>
    </w:pPr>
    <w:rPr>
      <w:rFonts w:ascii="宋体" w:hAnsi="宋体" w:cs="宋体"/>
      <w:bCs/>
      <w:kern w:val="0"/>
      <w:szCs w:val="21"/>
    </w:rPr>
  </w:style>
  <w:style w:type="paragraph" w:styleId="46">
    <w:name w:val="Normal (Web)"/>
    <w:basedOn w:val="1"/>
    <w:unhideWhenUsed/>
    <w:qFormat/>
    <w:uiPriority w:val="99"/>
    <w:pPr>
      <w:widowControl/>
      <w:tabs>
        <w:tab w:val="left" w:pos="1020"/>
      </w:tabs>
      <w:spacing w:beforeLines="0" w:beforeAutospacing="1" w:afterAutospacing="1" w:line="360" w:lineRule="exact"/>
    </w:pPr>
    <w:rPr>
      <w:rFonts w:ascii="宋体" w:hAnsi="宋体"/>
      <w:bCs/>
      <w:kern w:val="0"/>
      <w:szCs w:val="21"/>
    </w:rPr>
  </w:style>
  <w:style w:type="paragraph" w:styleId="47">
    <w:name w:val="index 1"/>
    <w:basedOn w:val="1"/>
    <w:next w:val="1"/>
    <w:semiHidden/>
    <w:unhideWhenUsed/>
    <w:qFormat/>
    <w:uiPriority w:val="99"/>
    <w:pPr>
      <w:spacing w:beforeLines="0" w:line="240" w:lineRule="auto"/>
      <w:jc w:val="center"/>
    </w:pPr>
    <w:rPr>
      <w:rFonts w:ascii="宋体" w:hAnsi="宋体"/>
      <w:sz w:val="28"/>
    </w:rPr>
  </w:style>
  <w:style w:type="paragraph" w:styleId="48">
    <w:name w:val="Title"/>
    <w:basedOn w:val="1"/>
    <w:next w:val="1"/>
    <w:qFormat/>
    <w:uiPriority w:val="10"/>
    <w:pPr>
      <w:autoSpaceDE w:val="0"/>
      <w:autoSpaceDN w:val="0"/>
      <w:adjustRightInd w:val="0"/>
      <w:spacing w:beforeLines="0" w:line="240" w:lineRule="auto"/>
      <w:jc w:val="center"/>
      <w:textAlignment w:val="baseline"/>
      <w:outlineLvl w:val="0"/>
    </w:pPr>
    <w:rPr>
      <w:rFonts w:ascii="Arial" w:hAnsi="Arial"/>
      <w:b/>
      <w:kern w:val="0"/>
      <w:sz w:val="32"/>
      <w:szCs w:val="20"/>
    </w:rPr>
  </w:style>
  <w:style w:type="paragraph" w:styleId="49">
    <w:name w:val="annotation subject"/>
    <w:basedOn w:val="18"/>
    <w:next w:val="18"/>
    <w:link w:val="266"/>
    <w:unhideWhenUsed/>
    <w:qFormat/>
    <w:uiPriority w:val="0"/>
    <w:pPr>
      <w:autoSpaceDE/>
      <w:autoSpaceDN/>
      <w:adjustRightInd/>
      <w:textAlignment w:val="auto"/>
    </w:pPr>
    <w:rPr>
      <w:rFonts w:ascii="Times New Roman" w:hAnsi="Times New Roman"/>
      <w:b/>
      <w:bCs/>
      <w:kern w:val="2"/>
      <w:sz w:val="21"/>
    </w:rPr>
  </w:style>
  <w:style w:type="paragraph" w:styleId="50">
    <w:name w:val="Body Text First Indent"/>
    <w:basedOn w:val="20"/>
    <w:link w:val="260"/>
    <w:qFormat/>
    <w:uiPriority w:val="0"/>
    <w:pPr>
      <w:snapToGrid/>
      <w:ind w:firstLine="420" w:firstLineChars="100"/>
      <w:jc w:val="both"/>
    </w:pPr>
    <w:rPr>
      <w:rFonts w:ascii="Times New Roman" w:hAnsi="Times New Roman"/>
      <w:szCs w:val="20"/>
    </w:rPr>
  </w:style>
  <w:style w:type="table" w:styleId="52">
    <w:name w:val="Table Grid"/>
    <w:basedOn w:val="51"/>
    <w:qFormat/>
    <w:uiPriority w:val="59"/>
    <w:pPr>
      <w:widowControl w:val="0"/>
      <w:numPr>
        <w:numId w:val="1"/>
      </w:numPr>
      <w:tabs>
        <w:tab w:val="left" w:pos="360"/>
        <w:tab w:val="left" w:pos="851"/>
      </w:tabs>
      <w:ind w:left="851" w:hanging="851"/>
      <w:jc w:val="both"/>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basedOn w:val="53"/>
    <w:qFormat/>
    <w:uiPriority w:val="0"/>
    <w:rPr>
      <w:b/>
      <w:bCs/>
    </w:rPr>
  </w:style>
  <w:style w:type="character" w:styleId="55">
    <w:name w:val="endnote reference"/>
    <w:semiHidden/>
    <w:unhideWhenUsed/>
    <w:qFormat/>
    <w:uiPriority w:val="99"/>
    <w:rPr>
      <w:vertAlign w:val="superscript"/>
    </w:rPr>
  </w:style>
  <w:style w:type="character" w:styleId="56">
    <w:name w:val="page number"/>
    <w:basedOn w:val="53"/>
    <w:semiHidden/>
    <w:unhideWhenUsed/>
    <w:qFormat/>
    <w:uiPriority w:val="99"/>
  </w:style>
  <w:style w:type="character" w:styleId="57">
    <w:name w:val="FollowedHyperlink"/>
    <w:basedOn w:val="53"/>
    <w:qFormat/>
    <w:uiPriority w:val="0"/>
    <w:rPr>
      <w:color w:val="800080"/>
      <w:u w:val="single"/>
    </w:rPr>
  </w:style>
  <w:style w:type="character" w:styleId="58">
    <w:name w:val="HTML Definition"/>
    <w:basedOn w:val="53"/>
    <w:qFormat/>
    <w:uiPriority w:val="0"/>
    <w:rPr>
      <w:rFonts w:ascii="Times New Roman" w:hAnsi="Times New Roman" w:eastAsia="宋体" w:cs="Times New Roman"/>
    </w:rPr>
  </w:style>
  <w:style w:type="character" w:styleId="59">
    <w:name w:val="HTML Variable"/>
    <w:basedOn w:val="53"/>
    <w:qFormat/>
    <w:uiPriority w:val="0"/>
    <w:rPr>
      <w:rFonts w:ascii="Times New Roman" w:hAnsi="Times New Roman" w:eastAsia="宋体" w:cs="Times New Roman"/>
    </w:rPr>
  </w:style>
  <w:style w:type="character" w:styleId="60">
    <w:name w:val="Hyperlink"/>
    <w:basedOn w:val="53"/>
    <w:qFormat/>
    <w:uiPriority w:val="0"/>
    <w:rPr>
      <w:color w:val="261CDC"/>
      <w:u w:val="single"/>
    </w:rPr>
  </w:style>
  <w:style w:type="character" w:styleId="61">
    <w:name w:val="HTML Code"/>
    <w:basedOn w:val="53"/>
    <w:qFormat/>
    <w:uiPriority w:val="0"/>
    <w:rPr>
      <w:rFonts w:ascii="微软雅黑" w:hAnsi="微软雅黑" w:eastAsia="微软雅黑" w:cs="微软雅黑"/>
      <w:sz w:val="20"/>
    </w:rPr>
  </w:style>
  <w:style w:type="character" w:styleId="62">
    <w:name w:val="annotation reference"/>
    <w:basedOn w:val="53"/>
    <w:qFormat/>
    <w:uiPriority w:val="0"/>
    <w:rPr>
      <w:sz w:val="21"/>
    </w:rPr>
  </w:style>
  <w:style w:type="character" w:styleId="63">
    <w:name w:val="HTML Cite"/>
    <w:basedOn w:val="53"/>
    <w:qFormat/>
    <w:uiPriority w:val="0"/>
    <w:rPr>
      <w:rFonts w:ascii="Times New Roman" w:hAnsi="Times New Roman" w:eastAsia="宋体" w:cs="Times New Roman"/>
    </w:rPr>
  </w:style>
  <w:style w:type="character" w:styleId="64">
    <w:name w:val="footnote reference"/>
    <w:basedOn w:val="53"/>
    <w:qFormat/>
    <w:uiPriority w:val="0"/>
    <w:rPr>
      <w:rFonts w:ascii="Times New Roman" w:hAnsi="Times New Roman" w:eastAsia="宋体" w:cs="Times New Roman"/>
      <w:vertAlign w:val="superscript"/>
    </w:rPr>
  </w:style>
  <w:style w:type="character" w:customStyle="1" w:styleId="65">
    <w:name w:val="para"/>
    <w:basedOn w:val="53"/>
    <w:qFormat/>
    <w:uiPriority w:val="0"/>
  </w:style>
  <w:style w:type="character" w:customStyle="1" w:styleId="66">
    <w:name w:val="cucd-TB-Head Char Char"/>
    <w:link w:val="67"/>
    <w:qFormat/>
    <w:uiPriority w:val="0"/>
    <w:rPr>
      <w:rFonts w:eastAsia="黑体"/>
      <w:kern w:val="2"/>
      <w:sz w:val="24"/>
      <w:szCs w:val="24"/>
      <w:lang w:val="en-US" w:eastAsia="zh-CN" w:bidi="ar-SA"/>
    </w:rPr>
  </w:style>
  <w:style w:type="paragraph" w:customStyle="1" w:styleId="67">
    <w:name w:val="cucd-TB-Head"/>
    <w:basedOn w:val="1"/>
    <w:next w:val="68"/>
    <w:link w:val="66"/>
    <w:qFormat/>
    <w:uiPriority w:val="0"/>
    <w:pPr>
      <w:jc w:val="center"/>
    </w:pPr>
    <w:rPr>
      <w:rFonts w:eastAsia="黑体"/>
    </w:rPr>
  </w:style>
  <w:style w:type="paragraph" w:customStyle="1" w:styleId="68">
    <w:name w:val="cucd-0"/>
    <w:link w:val="84"/>
    <w:qFormat/>
    <w:uiPriority w:val="0"/>
    <w:pPr>
      <w:spacing w:line="360" w:lineRule="auto"/>
      <w:ind w:firstLine="480" w:firstLineChars="200"/>
    </w:pPr>
    <w:rPr>
      <w:rFonts w:ascii="Times New Roman" w:hAnsi="Times New Roman" w:eastAsia="宋体" w:cs="Times New Roman"/>
      <w:kern w:val="2"/>
      <w:sz w:val="24"/>
      <w:szCs w:val="24"/>
      <w:lang w:val="en-US" w:eastAsia="zh-CN" w:bidi="ar-SA"/>
    </w:rPr>
  </w:style>
  <w:style w:type="character" w:customStyle="1" w:styleId="69">
    <w:name w:val="3号宋体居中行距2倍 Char Char"/>
    <w:qFormat/>
    <w:uiPriority w:val="0"/>
    <w:rPr>
      <w:rFonts w:ascii="Arial" w:hAnsi="Arial" w:eastAsia="黑体"/>
      <w:b/>
      <w:bCs/>
      <w:kern w:val="2"/>
      <w:sz w:val="32"/>
      <w:szCs w:val="32"/>
      <w:lang w:val="en-US" w:eastAsia="zh-CN" w:bidi="ar-SA"/>
    </w:rPr>
  </w:style>
  <w:style w:type="character" w:customStyle="1" w:styleId="70">
    <w:name w:val="4号宋体左齐行距1.5倍 Char Char"/>
    <w:qFormat/>
    <w:uiPriority w:val="0"/>
    <w:rPr>
      <w:rFonts w:eastAsia="宋体"/>
      <w:b/>
      <w:bCs/>
      <w:kern w:val="2"/>
      <w:sz w:val="32"/>
      <w:szCs w:val="32"/>
      <w:lang w:val="en-US" w:eastAsia="zh-CN" w:bidi="ar-SA"/>
    </w:rPr>
  </w:style>
  <w:style w:type="character" w:customStyle="1" w:styleId="71">
    <w:name w:val="正文文字 Char Char"/>
    <w:link w:val="72"/>
    <w:qFormat/>
    <w:uiPriority w:val="0"/>
    <w:rPr>
      <w:rFonts w:ascii="Arial" w:hAnsi="Arial" w:eastAsia="仿宋_GB2312" w:cs="Arial"/>
      <w:bCs/>
      <w:sz w:val="24"/>
      <w:szCs w:val="24"/>
      <w:lang w:val="de-DE" w:eastAsia="zh-CN" w:bidi="ar-SA"/>
    </w:rPr>
  </w:style>
  <w:style w:type="paragraph" w:customStyle="1" w:styleId="72">
    <w:name w:val="正文文字"/>
    <w:basedOn w:val="1"/>
    <w:link w:val="71"/>
    <w:qFormat/>
    <w:uiPriority w:val="0"/>
    <w:pPr>
      <w:snapToGrid w:val="0"/>
      <w:spacing w:beforeLines="0" w:line="312" w:lineRule="auto"/>
      <w:ind w:firstLine="480" w:firstLineChars="200"/>
      <w:jc w:val="both"/>
    </w:pPr>
    <w:rPr>
      <w:rFonts w:ascii="Arial" w:hAnsi="Arial" w:eastAsia="仿宋_GB2312" w:cs="Arial"/>
      <w:bCs/>
      <w:kern w:val="0"/>
      <w:lang w:val="de-DE"/>
    </w:rPr>
  </w:style>
  <w:style w:type="character" w:customStyle="1" w:styleId="73">
    <w:name w:val="cucd-1 Char Char"/>
    <w:link w:val="74"/>
    <w:qFormat/>
    <w:uiPriority w:val="0"/>
    <w:rPr>
      <w:rFonts w:hAnsi="宋体" w:eastAsia="黑体"/>
      <w:b/>
      <w:color w:val="000000"/>
      <w:kern w:val="2"/>
      <w:sz w:val="30"/>
      <w:szCs w:val="30"/>
    </w:rPr>
  </w:style>
  <w:style w:type="paragraph" w:customStyle="1" w:styleId="74">
    <w:name w:val="cucd-1"/>
    <w:next w:val="75"/>
    <w:link w:val="73"/>
    <w:qFormat/>
    <w:uiPriority w:val="0"/>
    <w:pPr>
      <w:pageBreakBefore/>
      <w:numPr>
        <w:ilvl w:val="0"/>
        <w:numId w:val="1"/>
      </w:numPr>
      <w:tabs>
        <w:tab w:val="left" w:pos="425"/>
      </w:tabs>
      <w:spacing w:beforeLines="100" w:afterLines="50" w:line="360" w:lineRule="auto"/>
      <w:jc w:val="center"/>
      <w:outlineLvl w:val="0"/>
    </w:pPr>
    <w:rPr>
      <w:rFonts w:ascii="Times New Roman" w:hAnsi="宋体" w:eastAsia="黑体" w:cs="Times New Roman"/>
      <w:b/>
      <w:color w:val="000000"/>
      <w:kern w:val="2"/>
      <w:sz w:val="30"/>
      <w:szCs w:val="30"/>
      <w:lang w:val="en-US" w:eastAsia="zh-CN" w:bidi="ar-SA"/>
    </w:rPr>
  </w:style>
  <w:style w:type="paragraph" w:customStyle="1" w:styleId="75">
    <w:name w:val="cucd-2"/>
    <w:next w:val="76"/>
    <w:link w:val="109"/>
    <w:qFormat/>
    <w:uiPriority w:val="0"/>
    <w:pPr>
      <w:numPr>
        <w:ilvl w:val="1"/>
        <w:numId w:val="1"/>
      </w:numPr>
      <w:tabs>
        <w:tab w:val="left" w:pos="720"/>
      </w:tabs>
      <w:spacing w:line="360" w:lineRule="auto"/>
      <w:outlineLvl w:val="1"/>
    </w:pPr>
    <w:rPr>
      <w:rFonts w:ascii="宋体" w:hAnsi="宋体" w:eastAsia="宋体" w:cs="Times New Roman"/>
      <w:b/>
      <w:bCs/>
      <w:color w:val="000000"/>
      <w:kern w:val="2"/>
      <w:sz w:val="24"/>
      <w:szCs w:val="24"/>
      <w:lang w:val="en-US" w:eastAsia="zh-CN" w:bidi="ar-SA"/>
    </w:rPr>
  </w:style>
  <w:style w:type="paragraph" w:customStyle="1" w:styleId="76">
    <w:name w:val="cucd-3"/>
    <w:next w:val="77"/>
    <w:link w:val="83"/>
    <w:qFormat/>
    <w:uiPriority w:val="0"/>
    <w:pPr>
      <w:widowControl w:val="0"/>
      <w:numPr>
        <w:ilvl w:val="2"/>
        <w:numId w:val="1"/>
      </w:numPr>
      <w:tabs>
        <w:tab w:val="left" w:pos="720"/>
      </w:tabs>
      <w:spacing w:line="360" w:lineRule="auto"/>
      <w:outlineLvl w:val="2"/>
    </w:pPr>
    <w:rPr>
      <w:rFonts w:ascii="宋体" w:hAnsi="宋体" w:eastAsia="宋体" w:cs="Times New Roman"/>
      <w:color w:val="000000"/>
      <w:kern w:val="2"/>
      <w:sz w:val="24"/>
      <w:szCs w:val="24"/>
      <w:lang w:val="en-US" w:eastAsia="zh-CN" w:bidi="ar-SA"/>
    </w:rPr>
  </w:style>
  <w:style w:type="paragraph" w:customStyle="1" w:styleId="77">
    <w:name w:val="cucd-4"/>
    <w:next w:val="68"/>
    <w:link w:val="108"/>
    <w:qFormat/>
    <w:uiPriority w:val="0"/>
    <w:pPr>
      <w:numPr>
        <w:ilvl w:val="3"/>
        <w:numId w:val="1"/>
      </w:numPr>
      <w:tabs>
        <w:tab w:val="left" w:pos="1200"/>
      </w:tabs>
      <w:spacing w:line="360" w:lineRule="auto"/>
      <w:outlineLvl w:val="3"/>
    </w:pPr>
    <w:rPr>
      <w:rFonts w:ascii="Times New Roman" w:hAnsi="Times New Roman" w:eastAsia="宋体" w:cs="Times New Roman"/>
      <w:kern w:val="2"/>
      <w:sz w:val="24"/>
      <w:szCs w:val="24"/>
      <w:lang w:val="en-US" w:eastAsia="zh-CN" w:bidi="ar-SA"/>
    </w:rPr>
  </w:style>
  <w:style w:type="character" w:customStyle="1" w:styleId="78">
    <w:name w:val="p11"/>
    <w:qFormat/>
    <w:uiPriority w:val="0"/>
    <w:rPr>
      <w:spacing w:val="280"/>
      <w:sz w:val="18"/>
      <w:szCs w:val="18"/>
    </w:rPr>
  </w:style>
  <w:style w:type="character" w:customStyle="1" w:styleId="79">
    <w:name w:val="页脚 字符"/>
    <w:basedOn w:val="53"/>
    <w:link w:val="32"/>
    <w:qFormat/>
    <w:uiPriority w:val="0"/>
    <w:rPr>
      <w:rFonts w:eastAsia="宋体"/>
      <w:kern w:val="2"/>
      <w:sz w:val="18"/>
      <w:szCs w:val="18"/>
      <w:lang w:val="en-US" w:eastAsia="zh-CN" w:bidi="ar-SA"/>
    </w:rPr>
  </w:style>
  <w:style w:type="character" w:customStyle="1" w:styleId="80">
    <w:name w:val="标题 9 字符"/>
    <w:link w:val="12"/>
    <w:qFormat/>
    <w:uiPriority w:val="0"/>
    <w:rPr>
      <w:rFonts w:ascii="Arial" w:hAnsi="Arial" w:eastAsia="黑体"/>
      <w:kern w:val="2"/>
      <w:sz w:val="21"/>
      <w:szCs w:val="21"/>
      <w:lang w:val="en-US" w:eastAsia="zh-CN" w:bidi="ar-SA"/>
    </w:rPr>
  </w:style>
  <w:style w:type="character" w:customStyle="1" w:styleId="81">
    <w:name w:val="正文缩进 字符"/>
    <w:link w:val="14"/>
    <w:qFormat/>
    <w:uiPriority w:val="0"/>
    <w:rPr>
      <w:rFonts w:ascii="仿宋_GB2312" w:eastAsia="仿宋_GB2312"/>
      <w:kern w:val="2"/>
      <w:sz w:val="28"/>
      <w:lang w:val="en-US" w:eastAsia="zh-CN" w:bidi="ar-SA"/>
    </w:rPr>
  </w:style>
  <w:style w:type="character" w:customStyle="1" w:styleId="82">
    <w:name w:val="cucd-4 Char Char"/>
    <w:qFormat/>
    <w:uiPriority w:val="0"/>
    <w:rPr>
      <w:b/>
      <w:kern w:val="2"/>
      <w:sz w:val="24"/>
      <w:szCs w:val="24"/>
      <w:lang w:val="en-US" w:eastAsia="zh-CN" w:bidi="ar-SA"/>
    </w:rPr>
  </w:style>
  <w:style w:type="character" w:customStyle="1" w:styleId="83">
    <w:name w:val="cucd-3 Char Char1"/>
    <w:link w:val="76"/>
    <w:qFormat/>
    <w:uiPriority w:val="0"/>
    <w:rPr>
      <w:rFonts w:ascii="宋体" w:hAnsi="宋体"/>
      <w:color w:val="000000"/>
      <w:kern w:val="2"/>
      <w:sz w:val="24"/>
      <w:szCs w:val="24"/>
    </w:rPr>
  </w:style>
  <w:style w:type="character" w:customStyle="1" w:styleId="84">
    <w:name w:val="cucd-0 Char Char"/>
    <w:link w:val="68"/>
    <w:qFormat/>
    <w:uiPriority w:val="0"/>
    <w:rPr>
      <w:kern w:val="2"/>
      <w:sz w:val="24"/>
      <w:szCs w:val="24"/>
      <w:lang w:val="en-US" w:eastAsia="zh-CN" w:bidi="ar-SA"/>
    </w:rPr>
  </w:style>
  <w:style w:type="character" w:customStyle="1" w:styleId="85">
    <w:name w:val="标题 3 字符"/>
    <w:basedOn w:val="53"/>
    <w:link w:val="6"/>
    <w:qFormat/>
    <w:uiPriority w:val="0"/>
    <w:rPr>
      <w:rFonts w:eastAsia="宋体"/>
      <w:b/>
      <w:bCs/>
      <w:kern w:val="2"/>
      <w:sz w:val="32"/>
      <w:szCs w:val="32"/>
      <w:lang w:val="en-US" w:eastAsia="zh-CN" w:bidi="ar-SA"/>
    </w:rPr>
  </w:style>
  <w:style w:type="character" w:customStyle="1" w:styleId="86">
    <w:name w:val="纯文本 字符"/>
    <w:basedOn w:val="53"/>
    <w:link w:val="26"/>
    <w:qFormat/>
    <w:uiPriority w:val="0"/>
    <w:rPr>
      <w:rFonts w:ascii="宋体" w:hAnsi="Courier New" w:eastAsia="宋体" w:cs="Courier New"/>
      <w:kern w:val="2"/>
      <w:sz w:val="21"/>
      <w:szCs w:val="21"/>
      <w:lang w:val="en-US" w:eastAsia="zh-CN" w:bidi="ar-SA"/>
    </w:rPr>
  </w:style>
  <w:style w:type="character" w:customStyle="1" w:styleId="87">
    <w:name w:val="标题 7 字符"/>
    <w:link w:val="10"/>
    <w:qFormat/>
    <w:uiPriority w:val="0"/>
    <w:rPr>
      <w:rFonts w:ascii="黑体" w:eastAsia="黑体"/>
      <w:bCs/>
      <w:sz w:val="28"/>
      <w:lang w:val="en-US" w:eastAsia="zh-CN" w:bidi="ar-SA"/>
    </w:rPr>
  </w:style>
  <w:style w:type="character" w:customStyle="1" w:styleId="88">
    <w:name w:val="5号宋体居中 Char Char"/>
    <w:qFormat/>
    <w:uiPriority w:val="0"/>
    <w:rPr>
      <w:rFonts w:ascii="Arial" w:hAnsi="Arial" w:eastAsia="黑体"/>
      <w:kern w:val="2"/>
      <w:sz w:val="21"/>
      <w:szCs w:val="21"/>
      <w:lang w:val="en-US" w:eastAsia="zh-CN" w:bidi="ar-SA"/>
    </w:rPr>
  </w:style>
  <w:style w:type="character" w:customStyle="1" w:styleId="89">
    <w:name w:val="Char Char2"/>
    <w:qFormat/>
    <w:uiPriority w:val="0"/>
    <w:rPr>
      <w:kern w:val="2"/>
      <w:sz w:val="18"/>
      <w:szCs w:val="18"/>
    </w:rPr>
  </w:style>
  <w:style w:type="character" w:customStyle="1" w:styleId="90">
    <w:name w:val="cucd-TB Char Char"/>
    <w:link w:val="91"/>
    <w:qFormat/>
    <w:uiPriority w:val="0"/>
    <w:rPr>
      <w:kern w:val="2"/>
      <w:sz w:val="21"/>
      <w:szCs w:val="24"/>
      <w:lang w:val="en-US" w:eastAsia="zh-CN" w:bidi="ar-SA"/>
    </w:rPr>
  </w:style>
  <w:style w:type="paragraph" w:customStyle="1" w:styleId="91">
    <w:name w:val="cucd-TB"/>
    <w:link w:val="90"/>
    <w:qFormat/>
    <w:uiPriority w:val="0"/>
    <w:pPr>
      <w:spacing w:line="360" w:lineRule="auto"/>
      <w:jc w:val="center"/>
    </w:pPr>
    <w:rPr>
      <w:rFonts w:ascii="Times New Roman" w:hAnsi="Times New Roman" w:eastAsia="宋体" w:cs="Times New Roman"/>
      <w:kern w:val="2"/>
      <w:sz w:val="21"/>
      <w:szCs w:val="24"/>
      <w:lang w:val="en-US" w:eastAsia="zh-CN" w:bidi="ar-SA"/>
    </w:rPr>
  </w:style>
  <w:style w:type="character" w:customStyle="1" w:styleId="92">
    <w:name w:val="标题 1 字符"/>
    <w:link w:val="4"/>
    <w:qFormat/>
    <w:uiPriority w:val="0"/>
    <w:rPr>
      <w:rFonts w:ascii="宋体" w:eastAsia="宋体"/>
      <w:bCs/>
      <w:kern w:val="44"/>
      <w:sz w:val="36"/>
      <w:szCs w:val="44"/>
      <w:lang w:val="en-US" w:eastAsia="zh-CN" w:bidi="ar-SA"/>
    </w:rPr>
  </w:style>
  <w:style w:type="character" w:customStyle="1" w:styleId="93">
    <w:name w:val="cucd-C Char Char"/>
    <w:link w:val="94"/>
    <w:qFormat/>
    <w:uiPriority w:val="0"/>
    <w:rPr>
      <w:b/>
      <w:kern w:val="2"/>
      <w:sz w:val="28"/>
      <w:szCs w:val="24"/>
      <w:lang w:val="en-US" w:eastAsia="zh-CN" w:bidi="ar-SA"/>
    </w:rPr>
  </w:style>
  <w:style w:type="paragraph" w:customStyle="1" w:styleId="94">
    <w:name w:val="cucd-C"/>
    <w:next w:val="68"/>
    <w:link w:val="93"/>
    <w:qFormat/>
    <w:uiPriority w:val="0"/>
    <w:pPr>
      <w:spacing w:line="360" w:lineRule="auto"/>
      <w:outlineLvl w:val="2"/>
    </w:pPr>
    <w:rPr>
      <w:rFonts w:ascii="Times New Roman" w:hAnsi="Times New Roman" w:eastAsia="宋体" w:cs="Times New Roman"/>
      <w:b/>
      <w:kern w:val="2"/>
      <w:sz w:val="28"/>
      <w:szCs w:val="24"/>
      <w:lang w:val="en-US" w:eastAsia="zh-CN" w:bidi="ar-SA"/>
    </w:rPr>
  </w:style>
  <w:style w:type="character" w:customStyle="1" w:styleId="95">
    <w:name w:val="小2号宋体居中行距2倍 Char Char"/>
    <w:qFormat/>
    <w:uiPriority w:val="0"/>
    <w:rPr>
      <w:rFonts w:ascii="宋体" w:eastAsia="宋体"/>
      <w:bCs/>
      <w:kern w:val="44"/>
      <w:sz w:val="36"/>
      <w:szCs w:val="44"/>
      <w:lang w:val="en-US" w:eastAsia="zh-CN" w:bidi="ar-SA"/>
    </w:rPr>
  </w:style>
  <w:style w:type="character" w:customStyle="1" w:styleId="96">
    <w:name w:val="cauc-0 Char1"/>
    <w:link w:val="97"/>
    <w:qFormat/>
    <w:uiPriority w:val="0"/>
    <w:rPr>
      <w:kern w:val="2"/>
      <w:sz w:val="24"/>
      <w:szCs w:val="24"/>
      <w:lang w:val="en-US" w:eastAsia="zh-CN" w:bidi="ar-SA"/>
    </w:rPr>
  </w:style>
  <w:style w:type="paragraph" w:customStyle="1" w:styleId="97">
    <w:name w:val="cauc-0"/>
    <w:link w:val="96"/>
    <w:qFormat/>
    <w:uiPriority w:val="0"/>
    <w:pPr>
      <w:spacing w:line="360" w:lineRule="auto"/>
      <w:ind w:firstLine="480" w:firstLineChars="200"/>
    </w:pPr>
    <w:rPr>
      <w:rFonts w:ascii="Times New Roman" w:hAnsi="Times New Roman" w:eastAsia="宋体" w:cs="Times New Roman"/>
      <w:kern w:val="2"/>
      <w:sz w:val="24"/>
      <w:szCs w:val="24"/>
      <w:lang w:val="en-US" w:eastAsia="zh-CN" w:bidi="ar-SA"/>
    </w:rPr>
  </w:style>
  <w:style w:type="character" w:customStyle="1" w:styleId="98">
    <w:name w:val="Char Char3"/>
    <w:semiHidden/>
    <w:qFormat/>
    <w:uiPriority w:val="0"/>
    <w:rPr>
      <w:rFonts w:ascii="Arial" w:hAnsi="Arial" w:eastAsia="黑体"/>
      <w:b/>
      <w:sz w:val="28"/>
      <w:lang w:val="en-US" w:eastAsia="zh-CN" w:bidi="ar-SA"/>
    </w:rPr>
  </w:style>
  <w:style w:type="character" w:customStyle="1" w:styleId="99">
    <w:name w:val="正文文本缩进 2 字符"/>
    <w:link w:val="29"/>
    <w:qFormat/>
    <w:uiPriority w:val="0"/>
    <w:rPr>
      <w:rFonts w:ascii="仿宋_GB2312" w:hAnsi="宋体" w:eastAsia="仿宋_GB2312"/>
      <w:kern w:val="2"/>
      <w:sz w:val="28"/>
      <w:szCs w:val="24"/>
      <w:lang w:val="en-US" w:eastAsia="zh-CN" w:bidi="ar-SA"/>
    </w:rPr>
  </w:style>
  <w:style w:type="character" w:customStyle="1" w:styleId="100">
    <w:name w:val="样式 cucd-3 + (中文) 黑体 小三 Char Char"/>
    <w:link w:val="101"/>
    <w:qFormat/>
    <w:uiPriority w:val="0"/>
    <w:rPr>
      <w:rFonts w:ascii="宋体" w:hAnsi="宋体"/>
      <w:bCs/>
      <w:color w:val="000000"/>
      <w:kern w:val="2"/>
      <w:sz w:val="24"/>
      <w:szCs w:val="24"/>
      <w:lang w:val="en-US" w:eastAsia="zh-CN" w:bidi="ar-SA"/>
    </w:rPr>
  </w:style>
  <w:style w:type="paragraph" w:customStyle="1" w:styleId="101">
    <w:name w:val="样式 cucd-3 + (中文) 黑体 小三"/>
    <w:basedOn w:val="76"/>
    <w:link w:val="100"/>
    <w:qFormat/>
    <w:uiPriority w:val="0"/>
    <w:pPr>
      <w:numPr>
        <w:numId w:val="0"/>
      </w:numPr>
      <w:ind w:left="1820" w:hanging="420"/>
    </w:pPr>
    <w:rPr>
      <w:bCs/>
    </w:rPr>
  </w:style>
  <w:style w:type="character" w:customStyle="1" w:styleId="102">
    <w:name w:val="title_emph"/>
    <w:basedOn w:val="53"/>
    <w:qFormat/>
    <w:uiPriority w:val="0"/>
  </w:style>
  <w:style w:type="character" w:customStyle="1" w:styleId="103">
    <w:name w:val="标题 4 字符"/>
    <w:link w:val="7"/>
    <w:qFormat/>
    <w:uiPriority w:val="0"/>
    <w:rPr>
      <w:rFonts w:ascii="Arial" w:hAnsi="Arial" w:eastAsia="黑体"/>
      <w:b/>
      <w:sz w:val="28"/>
    </w:rPr>
  </w:style>
  <w:style w:type="character" w:customStyle="1" w:styleId="104">
    <w:name w:val="cucd-3 Char Char"/>
    <w:qFormat/>
    <w:uiPriority w:val="0"/>
    <w:rPr>
      <w:rFonts w:eastAsia="宋体"/>
      <w:b/>
      <w:color w:val="FF0000"/>
      <w:kern w:val="2"/>
      <w:sz w:val="28"/>
      <w:szCs w:val="24"/>
      <w:lang w:val="en-US" w:eastAsia="zh-CN" w:bidi="ar-SA"/>
    </w:rPr>
  </w:style>
  <w:style w:type="character" w:customStyle="1" w:styleId="105">
    <w:name w:val="4号黑体左空2格行距1倍 Char Char"/>
    <w:qFormat/>
    <w:uiPriority w:val="0"/>
    <w:rPr>
      <w:rFonts w:ascii="黑体" w:eastAsia="黑体"/>
      <w:bCs/>
      <w:sz w:val="28"/>
      <w:lang w:val="en-US" w:eastAsia="zh-CN" w:bidi="ar-SA"/>
    </w:rPr>
  </w:style>
  <w:style w:type="character" w:customStyle="1" w:styleId="106">
    <w:name w:val="标题 2 字符"/>
    <w:link w:val="5"/>
    <w:qFormat/>
    <w:uiPriority w:val="0"/>
    <w:rPr>
      <w:rFonts w:ascii="Arial" w:hAnsi="Arial" w:eastAsia="黑体"/>
      <w:b/>
      <w:bCs/>
      <w:kern w:val="2"/>
      <w:sz w:val="32"/>
      <w:szCs w:val="32"/>
      <w:lang w:val="en-US" w:eastAsia="zh-CN" w:bidi="ar-SA"/>
    </w:rPr>
  </w:style>
  <w:style w:type="character" w:customStyle="1" w:styleId="107">
    <w:name w:val="cucd-3 Char1"/>
    <w:qFormat/>
    <w:uiPriority w:val="0"/>
    <w:rPr>
      <w:rFonts w:eastAsia="宋体"/>
      <w:b/>
      <w:kern w:val="2"/>
      <w:sz w:val="28"/>
      <w:szCs w:val="24"/>
      <w:lang w:val="en-US" w:eastAsia="zh-CN" w:bidi="ar-SA"/>
    </w:rPr>
  </w:style>
  <w:style w:type="character" w:customStyle="1" w:styleId="108">
    <w:name w:val="cucd-4 Char Char1"/>
    <w:link w:val="77"/>
    <w:qFormat/>
    <w:uiPriority w:val="0"/>
    <w:rPr>
      <w:kern w:val="2"/>
      <w:sz w:val="24"/>
      <w:szCs w:val="24"/>
    </w:rPr>
  </w:style>
  <w:style w:type="character" w:customStyle="1" w:styleId="109">
    <w:name w:val="cucd-2 Char Char"/>
    <w:link w:val="75"/>
    <w:qFormat/>
    <w:uiPriority w:val="0"/>
    <w:rPr>
      <w:rFonts w:ascii="宋体" w:hAnsi="宋体"/>
      <w:b/>
      <w:bCs/>
      <w:color w:val="000000"/>
      <w:kern w:val="2"/>
      <w:sz w:val="24"/>
      <w:szCs w:val="24"/>
    </w:rPr>
  </w:style>
  <w:style w:type="character" w:customStyle="1" w:styleId="110">
    <w:name w:val="4号宋体左齐行距1.25倍 Char Char"/>
    <w:qFormat/>
    <w:uiPriority w:val="0"/>
    <w:rPr>
      <w:rFonts w:ascii="Arial" w:hAnsi="Arial" w:eastAsia="黑体"/>
      <w:b/>
      <w:sz w:val="24"/>
      <w:lang w:val="en-US" w:eastAsia="zh-CN" w:bidi="ar-SA"/>
    </w:rPr>
  </w:style>
  <w:style w:type="character" w:customStyle="1" w:styleId="111">
    <w:name w:val="尾注文本 字符"/>
    <w:link w:val="30"/>
    <w:qFormat/>
    <w:uiPriority w:val="0"/>
    <w:rPr>
      <w:sz w:val="24"/>
      <w:lang w:bidi="ar-SA"/>
    </w:rPr>
  </w:style>
  <w:style w:type="character" w:customStyle="1" w:styleId="112">
    <w:name w:val="标题 6 字符"/>
    <w:link w:val="9"/>
    <w:qFormat/>
    <w:uiPriority w:val="0"/>
    <w:rPr>
      <w:rFonts w:ascii="Arial" w:hAnsi="Arial" w:eastAsia="黑体"/>
      <w:b/>
      <w:sz w:val="24"/>
      <w:lang w:val="en-US" w:eastAsia="zh-CN" w:bidi="ar-SA"/>
    </w:rPr>
  </w:style>
  <w:style w:type="character" w:customStyle="1" w:styleId="113">
    <w:name w:val="h31"/>
    <w:qFormat/>
    <w:uiPriority w:val="0"/>
    <w:rPr>
      <w:spacing w:val="330"/>
      <w:sz w:val="21"/>
      <w:szCs w:val="21"/>
    </w:rPr>
  </w:style>
  <w:style w:type="paragraph" w:customStyle="1" w:styleId="114">
    <w:name w:val="标题 11"/>
    <w:basedOn w:val="4"/>
    <w:next w:val="4"/>
    <w:qFormat/>
    <w:uiPriority w:val="0"/>
    <w:pPr>
      <w:keepNext w:val="0"/>
      <w:keepLines w:val="0"/>
      <w:widowControl/>
      <w:numPr>
        <w:ilvl w:val="0"/>
        <w:numId w:val="2"/>
      </w:numPr>
      <w:tabs>
        <w:tab w:val="left" w:pos="425"/>
        <w:tab w:val="clear" w:pos="360"/>
      </w:tabs>
      <w:overflowPunct w:val="0"/>
      <w:spacing w:before="240" w:after="120" w:line="360" w:lineRule="auto"/>
      <w:ind w:left="425" w:hanging="425"/>
    </w:pPr>
    <w:rPr>
      <w:rFonts w:ascii="楷体" w:eastAsia="楷体"/>
      <w:b/>
      <w:bCs w:val="0"/>
      <w:sz w:val="40"/>
      <w:szCs w:val="20"/>
      <w:lang w:val="en-GB"/>
    </w:rPr>
  </w:style>
  <w:style w:type="paragraph" w:customStyle="1" w:styleId="115">
    <w:name w:val="cucd-A"/>
    <w:next w:val="68"/>
    <w:qFormat/>
    <w:uiPriority w:val="0"/>
    <w:pPr>
      <w:pageBreakBefore/>
      <w:spacing w:beforeLines="100" w:afterLines="50" w:line="360" w:lineRule="auto"/>
      <w:jc w:val="center"/>
      <w:outlineLvl w:val="0"/>
    </w:pPr>
    <w:rPr>
      <w:rFonts w:ascii="Times New Roman" w:hAnsi="Times New Roman" w:eastAsia="黑体" w:cs="Times New Roman"/>
      <w:b/>
      <w:kern w:val="2"/>
      <w:sz w:val="36"/>
      <w:szCs w:val="24"/>
      <w:lang w:val="en-US" w:eastAsia="zh-CN" w:bidi="ar-SA"/>
    </w:rPr>
  </w:style>
  <w:style w:type="paragraph" w:customStyle="1" w:styleId="116">
    <w:name w:val="①"/>
    <w:basedOn w:val="1"/>
    <w:qFormat/>
    <w:uiPriority w:val="0"/>
    <w:pPr>
      <w:tabs>
        <w:tab w:val="left" w:pos="5529"/>
        <w:tab w:val="right" w:pos="6946"/>
        <w:tab w:val="left" w:pos="7088"/>
      </w:tabs>
      <w:spacing w:beforeLines="0" w:line="240" w:lineRule="auto"/>
      <w:ind w:left="1134" w:leftChars="540"/>
      <w:jc w:val="both"/>
    </w:pPr>
    <w:rPr>
      <w:rFonts w:ascii="Tahoma" w:hAnsi="Tahoma" w:eastAsia="MS Mincho" w:cs="Tahoma"/>
      <w:sz w:val="21"/>
      <w:lang w:val="en-AU" w:eastAsia="ja-JP"/>
    </w:rPr>
  </w:style>
  <w:style w:type="paragraph" w:customStyle="1" w:styleId="117">
    <w:name w:val="段2後"/>
    <w:basedOn w:val="1"/>
    <w:next w:val="1"/>
    <w:qFormat/>
    <w:uiPriority w:val="0"/>
    <w:pPr>
      <w:autoSpaceDE w:val="0"/>
      <w:autoSpaceDN w:val="0"/>
      <w:adjustRightInd w:val="0"/>
      <w:spacing w:beforeLines="0" w:line="440" w:lineRule="atLeast"/>
      <w:ind w:left="425"/>
      <w:jc w:val="both"/>
      <w:textAlignment w:val="baseline"/>
    </w:pPr>
    <w:rPr>
      <w:rFonts w:ascii="MS Mincho" w:hAnsi="Century" w:eastAsia="MS Mincho"/>
      <w:kern w:val="0"/>
      <w:sz w:val="21"/>
      <w:szCs w:val="20"/>
      <w:lang w:eastAsia="ja-JP"/>
    </w:rPr>
  </w:style>
  <w:style w:type="paragraph" w:customStyle="1" w:styleId="118">
    <w:name w:val="Char"/>
    <w:basedOn w:val="1"/>
    <w:qFormat/>
    <w:uiPriority w:val="0"/>
    <w:pPr>
      <w:widowControl/>
      <w:spacing w:afterLines="50" w:line="400" w:lineRule="exact"/>
      <w:jc w:val="center"/>
    </w:pPr>
    <w:rPr>
      <w:szCs w:val="20"/>
    </w:rPr>
  </w:style>
  <w:style w:type="paragraph" w:customStyle="1" w:styleId="119">
    <w:name w:val="段1後"/>
    <w:basedOn w:val="1"/>
    <w:next w:val="1"/>
    <w:qFormat/>
    <w:uiPriority w:val="0"/>
    <w:pPr>
      <w:autoSpaceDE w:val="0"/>
      <w:autoSpaceDN w:val="0"/>
      <w:adjustRightInd w:val="0"/>
      <w:spacing w:beforeLines="0" w:line="440" w:lineRule="atLeast"/>
      <w:ind w:left="216"/>
      <w:jc w:val="both"/>
      <w:textAlignment w:val="baseline"/>
    </w:pPr>
    <w:rPr>
      <w:rFonts w:ascii="MS Mincho" w:hAnsi="Century" w:eastAsia="MS Mincho"/>
      <w:kern w:val="0"/>
      <w:sz w:val="21"/>
      <w:szCs w:val="20"/>
      <w:lang w:eastAsia="ja-JP"/>
    </w:rPr>
  </w:style>
  <w:style w:type="paragraph" w:customStyle="1" w:styleId="120">
    <w:name w:val="段3"/>
    <w:basedOn w:val="1"/>
    <w:next w:val="121"/>
    <w:qFormat/>
    <w:uiPriority w:val="0"/>
    <w:pPr>
      <w:tabs>
        <w:tab w:val="right" w:pos="635"/>
        <w:tab w:val="left" w:pos="851"/>
      </w:tabs>
      <w:autoSpaceDE w:val="0"/>
      <w:autoSpaceDN w:val="0"/>
      <w:adjustRightInd w:val="0"/>
      <w:spacing w:beforeLines="0" w:line="440" w:lineRule="atLeast"/>
      <w:ind w:left="635" w:hanging="635"/>
      <w:jc w:val="both"/>
      <w:textAlignment w:val="baseline"/>
    </w:pPr>
    <w:rPr>
      <w:rFonts w:ascii="MS Gothic" w:hAnsi="Century" w:eastAsia="MS Gothic"/>
      <w:kern w:val="0"/>
      <w:sz w:val="21"/>
      <w:szCs w:val="20"/>
      <w:lang w:eastAsia="ja-JP"/>
    </w:rPr>
  </w:style>
  <w:style w:type="paragraph" w:customStyle="1" w:styleId="121">
    <w:name w:val="段3後"/>
    <w:basedOn w:val="1"/>
    <w:next w:val="1"/>
    <w:qFormat/>
    <w:uiPriority w:val="0"/>
    <w:pPr>
      <w:autoSpaceDE w:val="0"/>
      <w:autoSpaceDN w:val="0"/>
      <w:adjustRightInd w:val="0"/>
      <w:spacing w:beforeLines="0" w:line="440" w:lineRule="atLeast"/>
      <w:ind w:left="635"/>
      <w:jc w:val="both"/>
      <w:textAlignment w:val="baseline"/>
    </w:pPr>
    <w:rPr>
      <w:rFonts w:ascii="MS Mincho" w:hAnsi="Century" w:eastAsia="MS Mincho"/>
      <w:kern w:val="0"/>
      <w:sz w:val="21"/>
      <w:szCs w:val="20"/>
      <w:lang w:eastAsia="ja-JP"/>
    </w:rPr>
  </w:style>
  <w:style w:type="paragraph" w:customStyle="1" w:styleId="122">
    <w:name w:val="cauc-TB"/>
    <w:qFormat/>
    <w:uiPriority w:val="0"/>
    <w:pPr>
      <w:jc w:val="center"/>
    </w:pPr>
    <w:rPr>
      <w:rFonts w:ascii="Times New Roman" w:hAnsi="Times New Roman" w:eastAsia="宋体" w:cs="Times New Roman"/>
      <w:kern w:val="2"/>
      <w:sz w:val="24"/>
      <w:szCs w:val="24"/>
      <w:lang w:val="en-US" w:eastAsia="zh-CN" w:bidi="ar-SA"/>
    </w:rPr>
  </w:style>
  <w:style w:type="paragraph" w:customStyle="1" w:styleId="123">
    <w:name w:val="Char4"/>
    <w:basedOn w:val="1"/>
    <w:qFormat/>
    <w:uiPriority w:val="0"/>
    <w:pPr>
      <w:spacing w:beforeLines="0" w:line="240" w:lineRule="auto"/>
      <w:jc w:val="both"/>
    </w:pPr>
    <w:rPr>
      <w:sz w:val="21"/>
    </w:rPr>
  </w:style>
  <w:style w:type="paragraph" w:customStyle="1" w:styleId="124">
    <w:name w:val="标题 21"/>
    <w:basedOn w:val="1"/>
    <w:next w:val="125"/>
    <w:qFormat/>
    <w:uiPriority w:val="0"/>
    <w:pPr>
      <w:widowControl/>
      <w:overflowPunct w:val="0"/>
      <w:autoSpaceDE w:val="0"/>
      <w:autoSpaceDN w:val="0"/>
      <w:adjustRightInd w:val="0"/>
      <w:spacing w:beforeLines="0"/>
      <w:textAlignment w:val="baseline"/>
    </w:pPr>
    <w:rPr>
      <w:rFonts w:ascii="楷体" w:eastAsia="楷体"/>
      <w:b/>
      <w:kern w:val="0"/>
      <w:sz w:val="36"/>
      <w:szCs w:val="20"/>
      <w:lang w:val="en-GB"/>
    </w:rPr>
  </w:style>
  <w:style w:type="paragraph" w:customStyle="1" w:styleId="125">
    <w:name w:val="标题 31"/>
    <w:basedOn w:val="1"/>
    <w:next w:val="126"/>
    <w:qFormat/>
    <w:uiPriority w:val="0"/>
    <w:pPr>
      <w:widowControl/>
      <w:overflowPunct w:val="0"/>
      <w:autoSpaceDE w:val="0"/>
      <w:autoSpaceDN w:val="0"/>
      <w:adjustRightInd w:val="0"/>
      <w:spacing w:beforeLines="0"/>
      <w:textAlignment w:val="baseline"/>
    </w:pPr>
    <w:rPr>
      <w:rFonts w:ascii="楷体" w:eastAsia="楷体"/>
      <w:b/>
      <w:kern w:val="0"/>
      <w:sz w:val="32"/>
      <w:szCs w:val="20"/>
      <w:lang w:val="en-GB"/>
    </w:rPr>
  </w:style>
  <w:style w:type="paragraph" w:customStyle="1" w:styleId="126">
    <w:name w:val="正文1"/>
    <w:basedOn w:val="1"/>
    <w:qFormat/>
    <w:uiPriority w:val="0"/>
    <w:pPr>
      <w:widowControl/>
      <w:overflowPunct w:val="0"/>
      <w:autoSpaceDE w:val="0"/>
      <w:autoSpaceDN w:val="0"/>
      <w:adjustRightInd w:val="0"/>
      <w:spacing w:beforeLines="0"/>
      <w:ind w:left="567" w:firstLine="567"/>
      <w:jc w:val="both"/>
      <w:textAlignment w:val="baseline"/>
    </w:pPr>
    <w:rPr>
      <w:rFonts w:ascii="楷体" w:eastAsia="楷体"/>
      <w:kern w:val="0"/>
      <w:sz w:val="28"/>
      <w:szCs w:val="20"/>
      <w:lang w:val="en-GB"/>
    </w:rPr>
  </w:style>
  <w:style w:type="paragraph" w:customStyle="1" w:styleId="127">
    <w:name w:val="1-表内"/>
    <w:basedOn w:val="1"/>
    <w:qFormat/>
    <w:uiPriority w:val="0"/>
    <w:pPr>
      <w:spacing w:beforeLines="0" w:line="360" w:lineRule="exact"/>
      <w:jc w:val="center"/>
    </w:pPr>
    <w:rPr>
      <w:rFonts w:ascii="宋体" w:hAnsi="宋体"/>
      <w:bCs/>
      <w:sz w:val="21"/>
      <w:szCs w:val="21"/>
    </w:rPr>
  </w:style>
  <w:style w:type="paragraph" w:customStyle="1" w:styleId="128">
    <w:name w:val="xl34"/>
    <w:basedOn w:val="1"/>
    <w:qFormat/>
    <w:uiPriority w:val="0"/>
    <w:pPr>
      <w:widowControl/>
      <w:pBdr>
        <w:top w:val="single" w:color="auto" w:sz="4" w:space="0"/>
        <w:left w:val="single" w:color="auto" w:sz="4" w:space="0"/>
        <w:right w:val="single" w:color="auto" w:sz="4" w:space="0"/>
      </w:pBdr>
      <w:tabs>
        <w:tab w:val="left" w:pos="1320"/>
      </w:tabs>
      <w:spacing w:beforeLines="0" w:beforeAutospacing="1" w:afterAutospacing="1" w:line="360" w:lineRule="exact"/>
      <w:jc w:val="center"/>
      <w:textAlignment w:val="center"/>
    </w:pPr>
    <w:rPr>
      <w:rFonts w:eastAsia="Arial Unicode MS"/>
      <w:b/>
      <w:kern w:val="0"/>
      <w:sz w:val="18"/>
      <w:szCs w:val="18"/>
    </w:rPr>
  </w:style>
  <w:style w:type="paragraph" w:customStyle="1" w:styleId="129">
    <w:name w:val="正文11"/>
    <w:link w:val="246"/>
    <w:qFormat/>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130">
    <w:name w:val="正文1 Char Char Char"/>
    <w:basedOn w:val="1"/>
    <w:qFormat/>
    <w:uiPriority w:val="0"/>
    <w:pPr>
      <w:adjustRightInd w:val="0"/>
      <w:snapToGrid w:val="0"/>
      <w:spacing w:beforeLines="0" w:line="240" w:lineRule="auto"/>
      <w:jc w:val="both"/>
    </w:pPr>
    <w:rPr>
      <w:szCs w:val="20"/>
    </w:rPr>
  </w:style>
  <w:style w:type="paragraph" w:customStyle="1" w:styleId="131">
    <w:name w:val="cucd-B"/>
    <w:next w:val="68"/>
    <w:qFormat/>
    <w:uiPriority w:val="0"/>
    <w:pPr>
      <w:spacing w:line="360" w:lineRule="auto"/>
      <w:outlineLvl w:val="1"/>
    </w:pPr>
    <w:rPr>
      <w:rFonts w:ascii="Times New Roman" w:hAnsi="Times New Roman" w:eastAsia="黑体" w:cs="Times New Roman"/>
      <w:kern w:val="2"/>
      <w:sz w:val="30"/>
      <w:szCs w:val="24"/>
      <w:lang w:val="en-US" w:eastAsia="zh-CN" w:bidi="ar-SA"/>
    </w:rPr>
  </w:style>
  <w:style w:type="paragraph" w:customStyle="1" w:styleId="132">
    <w:name w:val="cucd-D"/>
    <w:next w:val="68"/>
    <w:qFormat/>
    <w:uiPriority w:val="0"/>
    <w:pPr>
      <w:spacing w:line="360" w:lineRule="auto"/>
      <w:outlineLvl w:val="3"/>
    </w:pPr>
    <w:rPr>
      <w:rFonts w:ascii="Times New Roman" w:hAnsi="Times New Roman" w:eastAsia="宋体" w:cs="Times New Roman"/>
      <w:b/>
      <w:kern w:val="2"/>
      <w:sz w:val="24"/>
      <w:szCs w:val="24"/>
      <w:lang w:val="en-US" w:eastAsia="zh-CN" w:bidi="ar-SA"/>
    </w:rPr>
  </w:style>
  <w:style w:type="paragraph" w:customStyle="1" w:styleId="133">
    <w:name w:val="cauc-0 Char"/>
    <w:qFormat/>
    <w:uiPriority w:val="0"/>
    <w:pPr>
      <w:spacing w:line="360" w:lineRule="auto"/>
      <w:ind w:firstLine="480" w:firstLineChars="200"/>
    </w:pPr>
    <w:rPr>
      <w:rFonts w:ascii="Times New Roman" w:hAnsi="Times New Roman" w:eastAsia="宋体" w:cs="Times New Roman"/>
      <w:kern w:val="2"/>
      <w:sz w:val="24"/>
      <w:szCs w:val="24"/>
      <w:lang w:val="en-US" w:eastAsia="zh-CN" w:bidi="ar-SA"/>
    </w:rPr>
  </w:style>
  <w:style w:type="paragraph" w:customStyle="1" w:styleId="134">
    <w:name w:val="默认段落字体 Para Char Char Char Char"/>
    <w:basedOn w:val="1"/>
    <w:qFormat/>
    <w:uiPriority w:val="0"/>
    <w:pPr>
      <w:spacing w:afterLines="50"/>
      <w:jc w:val="both"/>
    </w:pPr>
  </w:style>
  <w:style w:type="paragraph" w:customStyle="1" w:styleId="135">
    <w:name w:val="Char11"/>
    <w:basedOn w:val="1"/>
    <w:qFormat/>
    <w:uiPriority w:val="0"/>
    <w:pPr>
      <w:widowControl/>
      <w:spacing w:beforeLines="0" w:line="400" w:lineRule="exact"/>
      <w:jc w:val="center"/>
    </w:pPr>
    <w:rPr>
      <w:rFonts w:ascii="Verdana" w:hAnsi="Verdana"/>
      <w:kern w:val="0"/>
      <w:sz w:val="21"/>
      <w:szCs w:val="20"/>
      <w:lang w:eastAsia="en-US"/>
    </w:rPr>
  </w:style>
  <w:style w:type="paragraph" w:customStyle="1" w:styleId="136">
    <w:name w:val="样式2"/>
    <w:basedOn w:val="1"/>
    <w:qFormat/>
    <w:uiPriority w:val="0"/>
    <w:pPr>
      <w:tabs>
        <w:tab w:val="left" w:pos="360"/>
      </w:tabs>
      <w:adjustRightInd w:val="0"/>
      <w:snapToGrid w:val="0"/>
      <w:spacing w:beforeLines="0"/>
      <w:jc w:val="both"/>
    </w:pPr>
    <w:rPr>
      <w:rFonts w:ascii="宋体" w:hAnsi="宋体"/>
    </w:rPr>
  </w:style>
  <w:style w:type="paragraph" w:customStyle="1" w:styleId="137">
    <w:name w:val="xl27"/>
    <w:basedOn w:val="1"/>
    <w:qFormat/>
    <w:uiPriority w:val="0"/>
    <w:pPr>
      <w:widowControl/>
      <w:pBdr>
        <w:top w:val="single" w:color="auto" w:sz="4" w:space="0"/>
        <w:left w:val="single" w:color="auto" w:sz="4" w:space="0"/>
        <w:bottom w:val="single" w:color="auto" w:sz="4" w:space="0"/>
        <w:right w:val="single" w:color="auto" w:sz="4" w:space="0"/>
      </w:pBdr>
      <w:spacing w:beforeLines="0" w:beforeAutospacing="1" w:afterAutospacing="1" w:line="360" w:lineRule="exact"/>
      <w:jc w:val="center"/>
    </w:pPr>
    <w:rPr>
      <w:rFonts w:ascii="Arial Unicode MS" w:hAnsi="Arial Unicode MS"/>
      <w:bCs/>
      <w:kern w:val="0"/>
      <w:szCs w:val="21"/>
    </w:rPr>
  </w:style>
  <w:style w:type="paragraph" w:customStyle="1" w:styleId="138">
    <w:name w:val="Char Char Char Char Char Char Char"/>
    <w:basedOn w:val="1"/>
    <w:qFormat/>
    <w:uiPriority w:val="0"/>
    <w:pPr>
      <w:spacing w:beforeLines="0"/>
    </w:pPr>
    <w:rPr>
      <w:szCs w:val="20"/>
    </w:rPr>
  </w:style>
  <w:style w:type="paragraph" w:customStyle="1" w:styleId="139">
    <w:name w:val="普通表格1"/>
    <w:basedOn w:val="26"/>
    <w:qFormat/>
    <w:uiPriority w:val="0"/>
    <w:pPr>
      <w:snapToGrid w:val="0"/>
      <w:spacing w:line="380" w:lineRule="exact"/>
    </w:pPr>
    <w:rPr>
      <w:rFonts w:ascii="Times New Roman" w:hAnsi="Times New Roman" w:cs="Times New Roman"/>
      <w:sz w:val="24"/>
      <w:szCs w:val="24"/>
    </w:rPr>
  </w:style>
  <w:style w:type="paragraph" w:customStyle="1" w:styleId="140">
    <w:name w:val="样式 (西文) Arial (中文) 宋体 两端对齐 加宽量  0.6 磅 行距: 1.5 倍行距 首行缩进:  2 ..."/>
    <w:basedOn w:val="1"/>
    <w:qFormat/>
    <w:uiPriority w:val="0"/>
    <w:pPr>
      <w:adjustRightInd w:val="0"/>
      <w:spacing w:beforeLines="0"/>
      <w:ind w:firstLine="528" w:firstLineChars="200"/>
      <w:jc w:val="both"/>
      <w:textAlignment w:val="baseline"/>
    </w:pPr>
    <w:rPr>
      <w:rFonts w:ascii="Arial" w:hAnsi="Arial" w:eastAsia="仿宋_GB2312"/>
      <w:spacing w:val="12"/>
      <w:szCs w:val="20"/>
      <w:lang w:eastAsia="zh-TW"/>
    </w:rPr>
  </w:style>
  <w:style w:type="paragraph" w:customStyle="1" w:styleId="141">
    <w:name w:val="样式 宋体 小四 段前: 6 磅 段后: 6 磅"/>
    <w:basedOn w:val="1"/>
    <w:qFormat/>
    <w:uiPriority w:val="0"/>
    <w:pPr>
      <w:spacing w:beforeLines="0" w:line="240" w:lineRule="auto"/>
      <w:ind w:firstLine="480" w:firstLineChars="200"/>
      <w:jc w:val="both"/>
    </w:pPr>
    <w:rPr>
      <w:rFonts w:ascii="宋体" w:hAnsi="宋体"/>
      <w:szCs w:val="20"/>
    </w:rPr>
  </w:style>
  <w:style w:type="paragraph" w:customStyle="1" w:styleId="142">
    <w:name w:val="段1"/>
    <w:basedOn w:val="1"/>
    <w:next w:val="119"/>
    <w:qFormat/>
    <w:uiPriority w:val="0"/>
    <w:pPr>
      <w:autoSpaceDE w:val="0"/>
      <w:autoSpaceDN w:val="0"/>
      <w:adjustRightInd w:val="0"/>
      <w:spacing w:beforeLines="0" w:line="440" w:lineRule="atLeast"/>
      <w:ind w:left="284" w:hanging="284"/>
      <w:jc w:val="both"/>
      <w:textAlignment w:val="baseline"/>
    </w:pPr>
    <w:rPr>
      <w:rFonts w:ascii="MS Gothic" w:hAnsi="Century" w:eastAsia="MS Gothic"/>
      <w:kern w:val="0"/>
      <w:szCs w:val="20"/>
      <w:lang w:eastAsia="ja-JP"/>
    </w:rPr>
  </w:style>
  <w:style w:type="paragraph" w:customStyle="1" w:styleId="143">
    <w:name w:val="Char Char Char Char Char Char Char Char Char Char"/>
    <w:basedOn w:val="1"/>
    <w:qFormat/>
    <w:uiPriority w:val="0"/>
    <w:pPr>
      <w:spacing w:beforeLines="0" w:line="360" w:lineRule="exact"/>
      <w:jc w:val="center"/>
    </w:pPr>
    <w:rPr>
      <w:bCs/>
      <w:sz w:val="21"/>
      <w:szCs w:val="21"/>
    </w:rPr>
  </w:style>
  <w:style w:type="paragraph" w:customStyle="1" w:styleId="144">
    <w:name w:val="段2"/>
    <w:basedOn w:val="1"/>
    <w:next w:val="117"/>
    <w:qFormat/>
    <w:uiPriority w:val="0"/>
    <w:pPr>
      <w:tabs>
        <w:tab w:val="right" w:pos="425"/>
        <w:tab w:val="left" w:pos="641"/>
      </w:tabs>
      <w:autoSpaceDE w:val="0"/>
      <w:autoSpaceDN w:val="0"/>
      <w:adjustRightInd w:val="0"/>
      <w:spacing w:beforeLines="0" w:line="440" w:lineRule="atLeast"/>
      <w:ind w:left="425" w:hanging="425"/>
      <w:jc w:val="both"/>
      <w:textAlignment w:val="baseline"/>
    </w:pPr>
    <w:rPr>
      <w:rFonts w:ascii="MS Gothic" w:hAnsi="Century" w:eastAsia="MS Gothic"/>
      <w:kern w:val="0"/>
      <w:sz w:val="21"/>
      <w:szCs w:val="20"/>
      <w:lang w:eastAsia="ja-JP"/>
    </w:rPr>
  </w:style>
  <w:style w:type="paragraph" w:customStyle="1" w:styleId="145">
    <w:name w:val="表前等"/>
    <w:basedOn w:val="1"/>
    <w:next w:val="1"/>
    <w:qFormat/>
    <w:uiPriority w:val="0"/>
    <w:pPr>
      <w:autoSpaceDE w:val="0"/>
      <w:autoSpaceDN w:val="0"/>
      <w:adjustRightInd w:val="0"/>
      <w:spacing w:beforeLines="0" w:line="100" w:lineRule="exact"/>
      <w:jc w:val="both"/>
      <w:textAlignment w:val="baseline"/>
    </w:pPr>
    <w:rPr>
      <w:rFonts w:ascii="MS Mincho" w:hAnsi="Century" w:eastAsia="MS Mincho"/>
      <w:kern w:val="0"/>
      <w:sz w:val="21"/>
      <w:szCs w:val="20"/>
      <w:lang w:eastAsia="ja-JP"/>
    </w:rPr>
  </w:style>
  <w:style w:type="paragraph" w:customStyle="1" w:styleId="146">
    <w:name w:val="样式 纯文本 + 行距: 1.5 倍行距"/>
    <w:basedOn w:val="26"/>
    <w:qFormat/>
    <w:uiPriority w:val="0"/>
    <w:pPr>
      <w:snapToGrid w:val="0"/>
      <w:spacing w:beforeLines="50" w:line="360" w:lineRule="auto"/>
      <w:ind w:firstLine="480" w:firstLineChars="200"/>
    </w:pPr>
    <w:rPr>
      <w:rFonts w:ascii="Times New Roman" w:hAnsi="Times New Roman" w:cs="宋体"/>
      <w:sz w:val="24"/>
      <w:szCs w:val="20"/>
    </w:rPr>
  </w:style>
  <w:style w:type="paragraph" w:customStyle="1" w:styleId="147">
    <w:name w:val="Char Char Char Char"/>
    <w:basedOn w:val="1"/>
    <w:qFormat/>
    <w:uiPriority w:val="0"/>
    <w:pPr>
      <w:widowControl/>
      <w:spacing w:beforeLines="0" w:line="400" w:lineRule="exact"/>
      <w:jc w:val="center"/>
    </w:pPr>
    <w:rPr>
      <w:rFonts w:ascii="Verdana" w:hAnsi="Verdana"/>
      <w:bCs/>
      <w:kern w:val="0"/>
      <w:sz w:val="21"/>
      <w:szCs w:val="20"/>
      <w:lang w:eastAsia="en-US"/>
    </w:rPr>
  </w:style>
  <w:style w:type="paragraph" w:customStyle="1" w:styleId="148">
    <w:name w:val="样式 标题 1 + 居中"/>
    <w:basedOn w:val="4"/>
    <w:qFormat/>
    <w:uiPriority w:val="0"/>
    <w:pPr>
      <w:autoSpaceDE w:val="0"/>
      <w:autoSpaceDN w:val="0"/>
      <w:adjustRightInd w:val="0"/>
      <w:textAlignment w:val="baseline"/>
    </w:pPr>
    <w:rPr>
      <w:rFonts w:ascii="Times New Roman"/>
      <w:b/>
      <w:bCs w:val="0"/>
      <w:snapToGrid w:val="0"/>
      <w:sz w:val="44"/>
      <w:szCs w:val="20"/>
    </w:rPr>
  </w:style>
  <w:style w:type="paragraph" w:customStyle="1" w:styleId="149">
    <w:name w:val="正文文本 21"/>
    <w:basedOn w:val="1"/>
    <w:qFormat/>
    <w:uiPriority w:val="0"/>
    <w:pPr>
      <w:adjustRightInd w:val="0"/>
      <w:spacing w:beforeLines="0" w:line="400" w:lineRule="exact"/>
      <w:ind w:firstLine="567"/>
      <w:textAlignment w:val="baseline"/>
    </w:pPr>
    <w:rPr>
      <w:rFonts w:ascii="仿宋_GB2312"/>
      <w:bCs/>
      <w:color w:val="000000"/>
      <w:spacing w:val="20"/>
      <w:kern w:val="28"/>
      <w:szCs w:val="20"/>
    </w:rPr>
  </w:style>
  <w:style w:type="paragraph" w:customStyle="1" w:styleId="150">
    <w:name w:val="Char2"/>
    <w:basedOn w:val="1"/>
    <w:qFormat/>
    <w:uiPriority w:val="0"/>
    <w:pPr>
      <w:spacing w:beforeLines="0" w:line="360" w:lineRule="exact"/>
      <w:jc w:val="center"/>
    </w:pPr>
    <w:rPr>
      <w:bCs/>
      <w:sz w:val="21"/>
      <w:szCs w:val="21"/>
    </w:rPr>
  </w:style>
  <w:style w:type="paragraph" w:customStyle="1" w:styleId="151">
    <w:name w:val="tll"/>
    <w:basedOn w:val="1"/>
    <w:qFormat/>
    <w:uiPriority w:val="0"/>
    <w:pPr>
      <w:autoSpaceDE w:val="0"/>
      <w:autoSpaceDN w:val="0"/>
      <w:adjustRightInd w:val="0"/>
      <w:spacing w:beforeLines="0" w:line="360" w:lineRule="exact"/>
      <w:textAlignment w:val="baseline"/>
    </w:pPr>
    <w:rPr>
      <w:rFonts w:ascii="仿宋_GB2312" w:hAnsi="Arial" w:eastAsia="仿宋_GB2312"/>
      <w:bCs/>
      <w:kern w:val="0"/>
      <w:sz w:val="21"/>
      <w:szCs w:val="20"/>
    </w:rPr>
  </w:style>
  <w:style w:type="paragraph" w:customStyle="1" w:styleId="152">
    <w:name w:val="样式1"/>
    <w:basedOn w:val="1"/>
    <w:qFormat/>
    <w:uiPriority w:val="0"/>
    <w:pPr>
      <w:adjustRightInd w:val="0"/>
      <w:spacing w:beforeLines="0" w:line="420" w:lineRule="auto"/>
      <w:jc w:val="center"/>
      <w:textAlignment w:val="baseline"/>
    </w:pPr>
    <w:rPr>
      <w:rFonts w:ascii="宋体"/>
      <w:bCs/>
      <w:kern w:val="0"/>
      <w:szCs w:val="20"/>
    </w:rPr>
  </w:style>
  <w:style w:type="paragraph" w:customStyle="1" w:styleId="153">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54">
    <w:name w:val="xl31"/>
    <w:basedOn w:val="1"/>
    <w:qFormat/>
    <w:uiPriority w:val="0"/>
    <w:pPr>
      <w:widowControl/>
      <w:spacing w:beforeLines="0" w:line="360" w:lineRule="exact"/>
      <w:jc w:val="center"/>
      <w:textAlignment w:val="center"/>
    </w:pPr>
    <w:rPr>
      <w:rFonts w:ascii="Arial" w:hAnsi="Arial"/>
      <w:bCs/>
      <w:kern w:val="0"/>
      <w:sz w:val="18"/>
      <w:szCs w:val="20"/>
    </w:rPr>
  </w:style>
  <w:style w:type="paragraph" w:customStyle="1" w:styleId="155">
    <w:name w:val="(1)"/>
    <w:basedOn w:val="1"/>
    <w:qFormat/>
    <w:uiPriority w:val="0"/>
    <w:pPr>
      <w:tabs>
        <w:tab w:val="left" w:pos="573"/>
      </w:tabs>
      <w:adjustRightInd w:val="0"/>
      <w:snapToGrid w:val="0"/>
      <w:spacing w:beforeLines="0" w:line="240" w:lineRule="atLeast"/>
      <w:jc w:val="center"/>
      <w:textAlignment w:val="baseline"/>
    </w:pPr>
    <w:rPr>
      <w:rFonts w:ascii="Arial" w:hAnsi="Arial"/>
      <w:bCs/>
      <w:kern w:val="44"/>
      <w:szCs w:val="21"/>
    </w:rPr>
  </w:style>
  <w:style w:type="paragraph" w:customStyle="1" w:styleId="156">
    <w:name w:val="Char2 Char Char Char"/>
    <w:basedOn w:val="1"/>
    <w:qFormat/>
    <w:uiPriority w:val="0"/>
    <w:pPr>
      <w:spacing w:beforeLines="0" w:line="240" w:lineRule="auto"/>
      <w:jc w:val="both"/>
    </w:pPr>
    <w:rPr>
      <w:sz w:val="21"/>
      <w:szCs w:val="21"/>
    </w:rPr>
  </w:style>
  <w:style w:type="paragraph" w:customStyle="1" w:styleId="157">
    <w:name w:val="xl30"/>
    <w:basedOn w:val="1"/>
    <w:qFormat/>
    <w:uiPriority w:val="0"/>
    <w:pPr>
      <w:widowControl/>
      <w:pBdr>
        <w:left w:val="single" w:color="auto" w:sz="4" w:space="0"/>
        <w:bottom w:val="single" w:color="auto" w:sz="4" w:space="0"/>
        <w:right w:val="single" w:color="auto" w:sz="4" w:space="0"/>
      </w:pBdr>
      <w:spacing w:beforeLines="0" w:beforeAutospacing="1" w:afterAutospacing="1" w:line="360" w:lineRule="exact"/>
      <w:jc w:val="center"/>
      <w:textAlignment w:val="center"/>
    </w:pPr>
    <w:rPr>
      <w:rFonts w:ascii="Arial" w:hAnsi="Arial" w:cs="Arial"/>
      <w:bCs/>
      <w:kern w:val="0"/>
      <w:sz w:val="18"/>
      <w:szCs w:val="18"/>
    </w:rPr>
  </w:style>
  <w:style w:type="paragraph" w:customStyle="1" w:styleId="158">
    <w:name w:val="表格"/>
    <w:basedOn w:val="1"/>
    <w:qFormat/>
    <w:uiPriority w:val="0"/>
    <w:pPr>
      <w:adjustRightInd w:val="0"/>
      <w:spacing w:beforeLines="0" w:line="360" w:lineRule="exact"/>
      <w:jc w:val="center"/>
      <w:textAlignment w:val="baseline"/>
    </w:pPr>
    <w:rPr>
      <w:rFonts w:ascii="宋体"/>
      <w:bCs/>
      <w:kern w:val="0"/>
      <w:szCs w:val="20"/>
    </w:rPr>
  </w:style>
  <w:style w:type="paragraph" w:customStyle="1" w:styleId="159">
    <w:name w:val="标题1"/>
    <w:basedOn w:val="4"/>
    <w:qFormat/>
    <w:uiPriority w:val="0"/>
    <w:pPr>
      <w:tabs>
        <w:tab w:val="left" w:pos="900"/>
      </w:tabs>
      <w:adjustRightInd w:val="0"/>
      <w:spacing w:line="360" w:lineRule="auto"/>
      <w:jc w:val="left"/>
      <w:textAlignment w:val="baseline"/>
    </w:pPr>
    <w:rPr>
      <w:rFonts w:ascii="Times New Roman"/>
      <w:sz w:val="24"/>
      <w:szCs w:val="24"/>
    </w:rPr>
  </w:style>
  <w:style w:type="paragraph" w:customStyle="1" w:styleId="160">
    <w:name w:val="样式 两端对齐 段前: 0.5 行"/>
    <w:basedOn w:val="1"/>
    <w:qFormat/>
    <w:uiPriority w:val="0"/>
    <w:pPr>
      <w:spacing w:beforeLines="0"/>
      <w:jc w:val="both"/>
    </w:pPr>
    <w:rPr>
      <w:rFonts w:cs="宋体"/>
      <w:szCs w:val="20"/>
    </w:rPr>
  </w:style>
  <w:style w:type="paragraph" w:customStyle="1" w:styleId="161">
    <w:name w:val="Char1"/>
    <w:basedOn w:val="1"/>
    <w:qFormat/>
    <w:uiPriority w:val="0"/>
    <w:pPr>
      <w:spacing w:beforeLines="0" w:line="240" w:lineRule="auto"/>
      <w:jc w:val="both"/>
    </w:pPr>
    <w:rPr>
      <w:sz w:val="21"/>
    </w:rPr>
  </w:style>
  <w:style w:type="paragraph" w:customStyle="1" w:styleId="162">
    <w:name w:val="标题2"/>
    <w:basedOn w:val="5"/>
    <w:qFormat/>
    <w:uiPriority w:val="0"/>
    <w:pPr>
      <w:tabs>
        <w:tab w:val="left" w:pos="1320"/>
      </w:tabs>
      <w:adjustRightInd w:val="0"/>
      <w:snapToGrid w:val="0"/>
      <w:spacing w:beforeLines="50" w:line="360" w:lineRule="auto"/>
      <w:ind w:left="1320" w:hanging="420"/>
      <w:jc w:val="center"/>
      <w:textAlignment w:val="baseline"/>
    </w:pPr>
    <w:rPr>
      <w:rFonts w:ascii="Times New Roman" w:hAnsi="Times New Roman" w:eastAsia="宋体"/>
      <w:b w:val="0"/>
      <w:bCs w:val="0"/>
      <w:color w:val="000000"/>
      <w:kern w:val="0"/>
      <w:sz w:val="24"/>
      <w:szCs w:val="20"/>
    </w:rPr>
  </w:style>
  <w:style w:type="paragraph" w:customStyle="1" w:styleId="163">
    <w:name w:val="样式 小四 首行缩进:  0.85 厘米 行距: 1.5 倍行距"/>
    <w:basedOn w:val="1"/>
    <w:qFormat/>
    <w:uiPriority w:val="0"/>
    <w:pPr>
      <w:spacing w:beforeLines="0"/>
      <w:ind w:firstLine="200" w:firstLineChars="200"/>
      <w:jc w:val="center"/>
    </w:pPr>
    <w:rPr>
      <w:bCs/>
      <w:snapToGrid w:val="0"/>
      <w:kern w:val="0"/>
      <w:szCs w:val="21"/>
    </w:rPr>
  </w:style>
  <w:style w:type="paragraph" w:customStyle="1" w:styleId="164">
    <w:name w:val="标题3"/>
    <w:basedOn w:val="6"/>
    <w:qFormat/>
    <w:uiPriority w:val="0"/>
    <w:pPr>
      <w:keepLines w:val="0"/>
      <w:tabs>
        <w:tab w:val="left" w:pos="840"/>
        <w:tab w:val="left" w:pos="1740"/>
      </w:tabs>
      <w:adjustRightInd w:val="0"/>
      <w:spacing w:line="360" w:lineRule="auto"/>
      <w:ind w:left="1740" w:hanging="420"/>
      <w:jc w:val="center"/>
      <w:textAlignment w:val="baseline"/>
    </w:pPr>
    <w:rPr>
      <w:b w:val="0"/>
      <w:kern w:val="0"/>
      <w:sz w:val="24"/>
      <w:szCs w:val="20"/>
    </w:rPr>
  </w:style>
  <w:style w:type="paragraph" w:customStyle="1" w:styleId="165">
    <w:name w:val="标题4"/>
    <w:basedOn w:val="7"/>
    <w:qFormat/>
    <w:uiPriority w:val="0"/>
    <w:pPr>
      <w:keepLines w:val="0"/>
      <w:tabs>
        <w:tab w:val="left" w:pos="2160"/>
      </w:tabs>
      <w:spacing w:line="360" w:lineRule="auto"/>
      <w:ind w:left="2160" w:hanging="420"/>
      <w:jc w:val="center"/>
      <w:textAlignment w:val="baseline"/>
    </w:pPr>
    <w:rPr>
      <w:rFonts w:eastAsia="宋体"/>
      <w:b w:val="0"/>
      <w:bCs/>
      <w:sz w:val="24"/>
    </w:rPr>
  </w:style>
  <w:style w:type="paragraph" w:customStyle="1" w:styleId="166">
    <w:name w:val="正文12"/>
    <w:basedOn w:val="1"/>
    <w:qFormat/>
    <w:uiPriority w:val="0"/>
    <w:pPr>
      <w:adjustRightInd w:val="0"/>
      <w:spacing w:beforeLines="0" w:line="360" w:lineRule="atLeast"/>
      <w:textAlignment w:val="baseline"/>
    </w:pPr>
    <w:rPr>
      <w:rFonts w:ascii="宋体"/>
      <w:bCs/>
      <w:kern w:val="0"/>
      <w:szCs w:val="20"/>
    </w:rPr>
  </w:style>
  <w:style w:type="paragraph" w:customStyle="1" w:styleId="167">
    <w:name w:val="Char Char Char Char Char Char Char Char Char Char Char Char Char Char"/>
    <w:basedOn w:val="1"/>
    <w:qFormat/>
    <w:uiPriority w:val="0"/>
    <w:pPr>
      <w:spacing w:beforeLines="0"/>
      <w:ind w:firstLine="200" w:firstLineChars="200"/>
      <w:jc w:val="center"/>
    </w:pPr>
    <w:rPr>
      <w:rFonts w:ascii="宋体" w:hAnsi="宋体" w:cs="宋体"/>
      <w:bCs/>
      <w:szCs w:val="21"/>
    </w:rPr>
  </w:style>
  <w:style w:type="paragraph" w:customStyle="1" w:styleId="168">
    <w:name w:val="xl22"/>
    <w:basedOn w:val="1"/>
    <w:qFormat/>
    <w:uiPriority w:val="0"/>
    <w:pPr>
      <w:widowControl/>
      <w:spacing w:beforeLines="0" w:beforeAutospacing="1" w:afterAutospacing="1" w:line="360" w:lineRule="exact"/>
      <w:jc w:val="center"/>
    </w:pPr>
    <w:rPr>
      <w:rFonts w:ascii="宋体" w:hAnsi="宋体"/>
      <w:bCs/>
      <w:kern w:val="0"/>
      <w:szCs w:val="21"/>
    </w:rPr>
  </w:style>
  <w:style w:type="paragraph" w:customStyle="1" w:styleId="169">
    <w:name w:val="附件"/>
    <w:basedOn w:val="1"/>
    <w:qFormat/>
    <w:uiPriority w:val="0"/>
    <w:pPr>
      <w:adjustRightInd w:val="0"/>
      <w:spacing w:beforeLines="0" w:line="360" w:lineRule="exact"/>
      <w:jc w:val="center"/>
      <w:textAlignment w:val="center"/>
    </w:pPr>
    <w:rPr>
      <w:rFonts w:ascii="黑体" w:eastAsia="黑体"/>
      <w:b/>
      <w:bCs/>
      <w:kern w:val="0"/>
      <w:sz w:val="32"/>
      <w:szCs w:val="32"/>
    </w:rPr>
  </w:style>
  <w:style w:type="paragraph" w:customStyle="1" w:styleId="170">
    <w:name w:val="样式 宋体 两端对齐 段前: 0.5 行2"/>
    <w:basedOn w:val="1"/>
    <w:qFormat/>
    <w:uiPriority w:val="0"/>
    <w:pPr>
      <w:ind w:left="400" w:hanging="400" w:hangingChars="400"/>
      <w:jc w:val="both"/>
    </w:pPr>
    <w:rPr>
      <w:rFonts w:ascii="宋体" w:hAnsi="宋体" w:cs="宋体"/>
      <w:spacing w:val="10"/>
      <w:szCs w:val="20"/>
    </w:rPr>
  </w:style>
  <w:style w:type="paragraph" w:customStyle="1" w:styleId="171">
    <w:name w:val="报告表头"/>
    <w:basedOn w:val="1"/>
    <w:next w:val="1"/>
    <w:qFormat/>
    <w:uiPriority w:val="0"/>
    <w:pPr>
      <w:widowControl/>
      <w:spacing w:beforeLines="0" w:line="360" w:lineRule="exact"/>
      <w:jc w:val="center"/>
    </w:pPr>
    <w:rPr>
      <w:rFonts w:eastAsia="黑体"/>
      <w:b/>
      <w:bCs/>
      <w:sz w:val="18"/>
      <w:szCs w:val="20"/>
    </w:rPr>
  </w:style>
  <w:style w:type="paragraph" w:customStyle="1" w:styleId="172">
    <w:name w:val="font5"/>
    <w:basedOn w:val="1"/>
    <w:qFormat/>
    <w:uiPriority w:val="0"/>
    <w:pPr>
      <w:widowControl/>
      <w:spacing w:beforeLines="0" w:beforeAutospacing="1" w:afterAutospacing="1" w:line="360" w:lineRule="exact"/>
    </w:pPr>
    <w:rPr>
      <w:rFonts w:hint="eastAsia" w:ascii="宋体" w:hAnsi="宋体"/>
      <w:bCs/>
      <w:kern w:val="0"/>
      <w:szCs w:val="21"/>
    </w:rPr>
  </w:style>
  <w:style w:type="paragraph" w:customStyle="1" w:styleId="173">
    <w:name w:val="我的正文格式"/>
    <w:basedOn w:val="1"/>
    <w:next w:val="1"/>
    <w:qFormat/>
    <w:uiPriority w:val="0"/>
    <w:pPr>
      <w:snapToGrid w:val="0"/>
      <w:spacing w:beforeLines="0"/>
      <w:jc w:val="center"/>
    </w:pPr>
    <w:rPr>
      <w:bCs/>
      <w:kern w:val="16"/>
      <w:szCs w:val="21"/>
    </w:rPr>
  </w:style>
  <w:style w:type="paragraph" w:customStyle="1" w:styleId="174">
    <w:name w:val="2"/>
    <w:basedOn w:val="1"/>
    <w:next w:val="14"/>
    <w:qFormat/>
    <w:uiPriority w:val="0"/>
    <w:pPr>
      <w:spacing w:beforeLines="0" w:line="240" w:lineRule="atLeast"/>
      <w:ind w:firstLine="510"/>
      <w:jc w:val="center"/>
    </w:pPr>
    <w:rPr>
      <w:bCs/>
      <w:szCs w:val="20"/>
    </w:rPr>
  </w:style>
  <w:style w:type="paragraph" w:customStyle="1" w:styleId="175">
    <w:name w:val="报告表中"/>
    <w:basedOn w:val="1"/>
    <w:qFormat/>
    <w:uiPriority w:val="0"/>
    <w:pPr>
      <w:spacing w:beforeLines="0" w:line="360" w:lineRule="exact"/>
      <w:jc w:val="center"/>
    </w:pPr>
    <w:rPr>
      <w:bCs/>
      <w:sz w:val="18"/>
      <w:szCs w:val="20"/>
    </w:rPr>
  </w:style>
  <w:style w:type="paragraph" w:customStyle="1" w:styleId="176">
    <w:name w:val="Fliestext/Aufz."/>
    <w:basedOn w:val="1"/>
    <w:qFormat/>
    <w:uiPriority w:val="0"/>
    <w:pPr>
      <w:widowControl/>
      <w:overflowPunct w:val="0"/>
      <w:autoSpaceDE w:val="0"/>
      <w:autoSpaceDN w:val="0"/>
      <w:adjustRightInd w:val="0"/>
      <w:spacing w:beforeLines="0" w:line="360" w:lineRule="exact"/>
      <w:jc w:val="center"/>
      <w:textAlignment w:val="baseline"/>
    </w:pPr>
    <w:rPr>
      <w:rFonts w:ascii="Arial" w:hAnsi="Arial" w:eastAsia="MS Mincho"/>
      <w:bCs/>
      <w:kern w:val="0"/>
      <w:sz w:val="22"/>
      <w:szCs w:val="20"/>
      <w:lang w:val="de-DE" w:eastAsia="ja-JP"/>
    </w:rPr>
  </w:style>
  <w:style w:type="paragraph" w:customStyle="1" w:styleId="177">
    <w:name w:val="日期1"/>
    <w:basedOn w:val="1"/>
    <w:next w:val="1"/>
    <w:qFormat/>
    <w:uiPriority w:val="0"/>
    <w:pPr>
      <w:adjustRightInd w:val="0"/>
      <w:spacing w:beforeLines="0" w:line="360" w:lineRule="exact"/>
      <w:jc w:val="center"/>
      <w:textAlignment w:val="baseline"/>
    </w:pPr>
    <w:rPr>
      <w:bCs/>
      <w:sz w:val="28"/>
      <w:szCs w:val="20"/>
    </w:rPr>
  </w:style>
  <w:style w:type="paragraph" w:customStyle="1" w:styleId="178">
    <w:name w:val="xl49"/>
    <w:basedOn w:val="1"/>
    <w:qFormat/>
    <w:uiPriority w:val="0"/>
    <w:pPr>
      <w:widowControl/>
      <w:spacing w:beforeLines="0" w:line="360" w:lineRule="exact"/>
      <w:jc w:val="center"/>
      <w:textAlignment w:val="center"/>
    </w:pPr>
    <w:rPr>
      <w:rFonts w:ascii="宋体" w:hAnsi="宋体"/>
      <w:bCs/>
      <w:kern w:val="0"/>
      <w:szCs w:val="20"/>
    </w:rPr>
  </w:style>
  <w:style w:type="paragraph" w:customStyle="1" w:styleId="179">
    <w:name w:val="Char Char Char Char Char Char1 Char Char Char Char Char Char Char"/>
    <w:basedOn w:val="1"/>
    <w:qFormat/>
    <w:uiPriority w:val="0"/>
    <w:pPr>
      <w:spacing w:beforeLines="0" w:line="240" w:lineRule="auto"/>
      <w:jc w:val="both"/>
    </w:pPr>
    <w:rPr>
      <w:sz w:val="21"/>
    </w:rPr>
  </w:style>
  <w:style w:type="paragraph" w:customStyle="1" w:styleId="180">
    <w:name w:val="Char Char Char Char11"/>
    <w:basedOn w:val="1"/>
    <w:next w:val="1"/>
    <w:qFormat/>
    <w:uiPriority w:val="0"/>
    <w:pPr>
      <w:tabs>
        <w:tab w:val="left" w:pos="425"/>
      </w:tabs>
      <w:spacing w:beforeLines="0" w:line="240" w:lineRule="auto"/>
      <w:ind w:left="425" w:hanging="425"/>
      <w:jc w:val="both"/>
    </w:pPr>
  </w:style>
  <w:style w:type="paragraph" w:customStyle="1" w:styleId="181">
    <w:name w:val="1-表头"/>
    <w:basedOn w:val="1"/>
    <w:qFormat/>
    <w:uiPriority w:val="0"/>
    <w:pPr>
      <w:spacing w:beforeLines="0" w:afterLines="20" w:line="360" w:lineRule="exact"/>
      <w:jc w:val="center"/>
    </w:pPr>
    <w:rPr>
      <w:rFonts w:ascii="宋体" w:hAnsi="宋体"/>
      <w:bCs/>
      <w:sz w:val="21"/>
      <w:szCs w:val="21"/>
    </w:rPr>
  </w:style>
  <w:style w:type="paragraph" w:customStyle="1" w:styleId="182">
    <w:name w:val="正文3"/>
    <w:basedOn w:val="1"/>
    <w:qFormat/>
    <w:uiPriority w:val="0"/>
    <w:pPr>
      <w:tabs>
        <w:tab w:val="left" w:pos="1134"/>
      </w:tabs>
      <w:adjustRightInd w:val="0"/>
      <w:spacing w:beforeLines="0" w:line="318" w:lineRule="atLeast"/>
      <w:textAlignment w:val="baseline"/>
    </w:pPr>
    <w:rPr>
      <w:rFonts w:ascii="Arial" w:hAnsi="Arial"/>
      <w:bCs/>
      <w:kern w:val="0"/>
      <w:szCs w:val="20"/>
    </w:rPr>
  </w:style>
  <w:style w:type="paragraph" w:customStyle="1" w:styleId="183">
    <w:name w:val="K01"/>
    <w:basedOn w:val="1"/>
    <w:qFormat/>
    <w:uiPriority w:val="0"/>
    <w:pPr>
      <w:widowControl/>
      <w:autoSpaceDE w:val="0"/>
      <w:autoSpaceDN w:val="0"/>
      <w:adjustRightInd w:val="0"/>
      <w:spacing w:beforeLines="0" w:line="480" w:lineRule="atLeast"/>
      <w:ind w:left="840" w:hanging="360"/>
      <w:textAlignment w:val="bottom"/>
    </w:pPr>
    <w:rPr>
      <w:rFonts w:ascii="宋体"/>
      <w:bCs/>
      <w:kern w:val="0"/>
      <w:szCs w:val="20"/>
    </w:rPr>
  </w:style>
  <w:style w:type="paragraph" w:customStyle="1" w:styleId="184">
    <w:name w:val="1"/>
    <w:basedOn w:val="1"/>
    <w:next w:val="43"/>
    <w:qFormat/>
    <w:uiPriority w:val="0"/>
    <w:pPr>
      <w:spacing w:beforeLines="0" w:line="360" w:lineRule="exact"/>
      <w:jc w:val="center"/>
    </w:pPr>
    <w:rPr>
      <w:bCs/>
      <w:color w:val="000000"/>
      <w:sz w:val="21"/>
      <w:szCs w:val="20"/>
    </w:rPr>
  </w:style>
  <w:style w:type="paragraph" w:customStyle="1" w:styleId="185">
    <w:name w:val="表格文字"/>
    <w:qFormat/>
    <w:uiPriority w:val="0"/>
    <w:pPr>
      <w:widowControl w:val="0"/>
      <w:autoSpaceDE w:val="0"/>
      <w:autoSpaceDN w:val="0"/>
      <w:adjustRightInd w:val="0"/>
      <w:jc w:val="both"/>
    </w:pPr>
    <w:rPr>
      <w:rFonts w:ascii="Times New Roman" w:hAnsi="Times New Roman" w:eastAsia="宋体" w:cs="Times New Roman"/>
      <w:color w:val="000000"/>
      <w:lang w:val="en-US" w:eastAsia="zh-CN" w:bidi="ar-SA"/>
    </w:rPr>
  </w:style>
  <w:style w:type="paragraph" w:customStyle="1" w:styleId="186">
    <w:name w:val="样式 样式 段前: 0.5 行 + 段前: 0.5 行"/>
    <w:basedOn w:val="187"/>
    <w:qFormat/>
    <w:uiPriority w:val="0"/>
    <w:pPr>
      <w:spacing w:line="360" w:lineRule="auto"/>
      <w:ind w:firstLine="480" w:firstLineChars="200"/>
    </w:pPr>
  </w:style>
  <w:style w:type="paragraph" w:customStyle="1" w:styleId="187">
    <w:name w:val="样式 段前: 0.5 行"/>
    <w:basedOn w:val="1"/>
    <w:qFormat/>
    <w:uiPriority w:val="0"/>
    <w:pPr>
      <w:spacing w:beforeLines="0" w:line="240" w:lineRule="auto"/>
    </w:pPr>
    <w:rPr>
      <w:rFonts w:cs="宋体"/>
      <w:szCs w:val="20"/>
    </w:rPr>
  </w:style>
  <w:style w:type="paragraph" w:customStyle="1" w:styleId="188">
    <w:name w:val="表格侧编号"/>
    <w:next w:val="1"/>
    <w:qFormat/>
    <w:uiPriority w:val="0"/>
    <w:pPr>
      <w:widowControl w:val="0"/>
      <w:adjustRightInd w:val="0"/>
      <w:snapToGrid w:val="0"/>
      <w:jc w:val="center"/>
      <w:textAlignment w:val="baseline"/>
    </w:pPr>
    <w:rPr>
      <w:rFonts w:ascii="宋体" w:hAnsi="Times New Roman" w:eastAsia="宋体" w:cs="Times New Roman"/>
      <w:sz w:val="24"/>
      <w:lang w:val="en-US" w:eastAsia="zh-CN" w:bidi="ar-SA"/>
    </w:rPr>
  </w:style>
  <w:style w:type="paragraph" w:customStyle="1" w:styleId="189">
    <w:name w:val="样式3"/>
    <w:basedOn w:val="1"/>
    <w:qFormat/>
    <w:uiPriority w:val="0"/>
    <w:pPr>
      <w:spacing w:beforeLines="0"/>
      <w:ind w:left="1"/>
    </w:pPr>
    <w:rPr>
      <w:rFonts w:ascii="宋体"/>
      <w:bCs/>
      <w:szCs w:val="28"/>
    </w:rPr>
  </w:style>
  <w:style w:type="paragraph" w:customStyle="1" w:styleId="190">
    <w:name w:val="复选框1"/>
    <w:basedOn w:val="1"/>
    <w:qFormat/>
    <w:uiPriority w:val="0"/>
    <w:pPr>
      <w:widowControl/>
      <w:spacing w:beforeLines="0" w:line="360" w:lineRule="exact"/>
    </w:pPr>
    <w:rPr>
      <w:bCs/>
      <w:kern w:val="0"/>
      <w:sz w:val="20"/>
      <w:szCs w:val="20"/>
    </w:rPr>
  </w:style>
  <w:style w:type="paragraph" w:customStyle="1" w:styleId="191">
    <w:name w:val="wenzhang"/>
    <w:basedOn w:val="68"/>
    <w:qFormat/>
    <w:uiPriority w:val="0"/>
    <w:pPr>
      <w:jc w:val="both"/>
    </w:pPr>
    <w:rPr>
      <w:rFonts w:cs="宋体"/>
      <w:szCs w:val="20"/>
    </w:rPr>
  </w:style>
  <w:style w:type="paragraph" w:customStyle="1" w:styleId="192">
    <w:name w:val="正文报告"/>
    <w:basedOn w:val="1"/>
    <w:qFormat/>
    <w:uiPriority w:val="0"/>
    <w:pPr>
      <w:tabs>
        <w:tab w:val="left" w:pos="510"/>
      </w:tabs>
      <w:adjustRightInd w:val="0"/>
      <w:spacing w:beforeLines="0" w:line="460" w:lineRule="exact"/>
      <w:ind w:firstLine="482"/>
      <w:jc w:val="center"/>
      <w:textAlignment w:val="baseline"/>
    </w:pPr>
    <w:rPr>
      <w:bCs/>
      <w:kern w:val="0"/>
      <w:szCs w:val="20"/>
    </w:rPr>
  </w:style>
  <w:style w:type="paragraph" w:customStyle="1" w:styleId="193">
    <w:name w:val="样式 宋体 两端对齐 段前: 0.5 行3"/>
    <w:basedOn w:val="1"/>
    <w:qFormat/>
    <w:uiPriority w:val="0"/>
    <w:pPr>
      <w:ind w:left="400" w:leftChars="400"/>
      <w:jc w:val="both"/>
    </w:pPr>
    <w:rPr>
      <w:rFonts w:ascii="宋体" w:hAnsi="宋体" w:cs="宋体"/>
      <w:spacing w:val="10"/>
      <w:szCs w:val="20"/>
    </w:rPr>
  </w:style>
  <w:style w:type="paragraph" w:customStyle="1" w:styleId="194">
    <w:name w:val="纯文本1"/>
    <w:basedOn w:val="1"/>
    <w:qFormat/>
    <w:uiPriority w:val="0"/>
    <w:pPr>
      <w:adjustRightInd w:val="0"/>
      <w:spacing w:beforeLines="0" w:line="360" w:lineRule="exact"/>
      <w:jc w:val="center"/>
      <w:textAlignment w:val="baseline"/>
    </w:pPr>
    <w:rPr>
      <w:rFonts w:ascii="宋体"/>
      <w:bCs/>
      <w:kern w:val="0"/>
      <w:sz w:val="21"/>
      <w:szCs w:val="20"/>
    </w:rPr>
  </w:style>
  <w:style w:type="paragraph" w:customStyle="1" w:styleId="195">
    <w:name w:val="四级标题"/>
    <w:basedOn w:val="28"/>
    <w:qFormat/>
    <w:uiPriority w:val="0"/>
    <w:pPr>
      <w:spacing w:line="360" w:lineRule="auto"/>
      <w:jc w:val="center"/>
    </w:pPr>
    <w:rPr>
      <w:rFonts w:eastAsia="黑体"/>
      <w:bCs/>
      <w:snapToGrid/>
      <w:szCs w:val="20"/>
      <w:lang w:eastAsia="zh-CN"/>
    </w:rPr>
  </w:style>
  <w:style w:type="paragraph" w:customStyle="1" w:styleId="196">
    <w:name w:val="font6"/>
    <w:basedOn w:val="1"/>
    <w:qFormat/>
    <w:uiPriority w:val="0"/>
    <w:pPr>
      <w:widowControl/>
      <w:spacing w:beforeLines="0" w:beforeAutospacing="1" w:afterAutospacing="1" w:line="360" w:lineRule="exact"/>
    </w:pPr>
    <w:rPr>
      <w:rFonts w:hint="eastAsia" w:ascii="宋体" w:hAnsi="宋体"/>
      <w:bCs/>
      <w:kern w:val="0"/>
      <w:sz w:val="18"/>
      <w:szCs w:val="18"/>
    </w:rPr>
  </w:style>
  <w:style w:type="paragraph" w:customStyle="1" w:styleId="197">
    <w:name w:val="xl32"/>
    <w:basedOn w:val="1"/>
    <w:qFormat/>
    <w:uiPriority w:val="0"/>
    <w:pPr>
      <w:widowControl/>
      <w:pBdr>
        <w:top w:val="single" w:color="auto" w:sz="4" w:space="0"/>
        <w:bottom w:val="single" w:color="auto" w:sz="4" w:space="0"/>
        <w:right w:val="single" w:color="auto" w:sz="4" w:space="0"/>
      </w:pBdr>
      <w:spacing w:beforeLines="0" w:beforeAutospacing="1" w:afterAutospacing="1" w:line="360" w:lineRule="exact"/>
      <w:jc w:val="center"/>
      <w:textAlignment w:val="center"/>
    </w:pPr>
    <w:rPr>
      <w:rFonts w:ascii="Arial Unicode MS" w:hAnsi="Arial Unicode MS" w:eastAsia="Arial Unicode MS" w:cs="Arial Unicode MS"/>
      <w:bCs/>
      <w:kern w:val="0"/>
      <w:sz w:val="18"/>
      <w:szCs w:val="18"/>
    </w:rPr>
  </w:style>
  <w:style w:type="paragraph" w:customStyle="1" w:styleId="198">
    <w:name w:val="font7"/>
    <w:basedOn w:val="1"/>
    <w:qFormat/>
    <w:uiPriority w:val="0"/>
    <w:pPr>
      <w:widowControl/>
      <w:spacing w:beforeLines="0" w:beforeAutospacing="1" w:afterAutospacing="1" w:line="360" w:lineRule="exact"/>
    </w:pPr>
    <w:rPr>
      <w:bCs/>
      <w:kern w:val="0"/>
      <w:szCs w:val="21"/>
    </w:rPr>
  </w:style>
  <w:style w:type="paragraph" w:customStyle="1" w:styleId="199">
    <w:name w:val="段落"/>
    <w:basedOn w:val="1"/>
    <w:qFormat/>
    <w:uiPriority w:val="0"/>
    <w:pPr>
      <w:adjustRightInd w:val="0"/>
      <w:spacing w:beforeLines="0" w:line="400" w:lineRule="atLeast"/>
      <w:ind w:firstLine="482"/>
      <w:textAlignment w:val="baseline"/>
    </w:pPr>
    <w:rPr>
      <w:bCs/>
      <w:snapToGrid w:val="0"/>
      <w:kern w:val="0"/>
      <w:sz w:val="28"/>
      <w:szCs w:val="20"/>
    </w:rPr>
  </w:style>
  <w:style w:type="paragraph" w:customStyle="1" w:styleId="200">
    <w:name w:val="xl33"/>
    <w:basedOn w:val="1"/>
    <w:qFormat/>
    <w:uiPriority w:val="0"/>
    <w:pPr>
      <w:widowControl/>
      <w:pBdr>
        <w:left w:val="single" w:color="auto" w:sz="4" w:space="0"/>
        <w:right w:val="single" w:color="auto" w:sz="4" w:space="0"/>
      </w:pBdr>
      <w:spacing w:beforeLines="0" w:beforeAutospacing="1" w:afterAutospacing="1" w:line="360" w:lineRule="exact"/>
      <w:jc w:val="center"/>
      <w:textAlignment w:val="center"/>
    </w:pPr>
    <w:rPr>
      <w:rFonts w:ascii="Arial Unicode MS" w:hAnsi="Arial Unicode MS" w:eastAsia="Arial Unicode MS" w:cs="Arial Unicode MS"/>
      <w:b/>
      <w:kern w:val="0"/>
      <w:sz w:val="18"/>
      <w:szCs w:val="18"/>
    </w:rPr>
  </w:style>
  <w:style w:type="paragraph" w:customStyle="1" w:styleId="201">
    <w:name w:val="xl24"/>
    <w:basedOn w:val="1"/>
    <w:qFormat/>
    <w:uiPriority w:val="0"/>
    <w:pPr>
      <w:widowControl/>
      <w:pBdr>
        <w:top w:val="single" w:color="auto" w:sz="4" w:space="0"/>
        <w:left w:val="single" w:color="auto" w:sz="4" w:space="0"/>
        <w:bottom w:val="single" w:color="auto" w:sz="4" w:space="0"/>
        <w:right w:val="single" w:color="auto" w:sz="4" w:space="0"/>
      </w:pBdr>
      <w:spacing w:beforeLines="0" w:beforeAutospacing="1" w:afterAutospacing="1" w:line="360" w:lineRule="exact"/>
      <w:jc w:val="center"/>
      <w:textAlignment w:val="center"/>
    </w:pPr>
    <w:rPr>
      <w:rFonts w:ascii="Arial Unicode MS" w:hAnsi="Arial Unicode MS"/>
      <w:bCs/>
      <w:color w:val="FF0000"/>
      <w:kern w:val="0"/>
      <w:szCs w:val="21"/>
    </w:rPr>
  </w:style>
  <w:style w:type="paragraph" w:customStyle="1" w:styleId="202">
    <w:name w:val="Char Char Char Char Char Char Char Char"/>
    <w:basedOn w:val="1"/>
    <w:qFormat/>
    <w:uiPriority w:val="0"/>
    <w:pPr>
      <w:spacing w:beforeLines="0" w:line="240" w:lineRule="auto"/>
      <w:jc w:val="both"/>
    </w:pPr>
    <w:rPr>
      <w:sz w:val="21"/>
      <w:szCs w:val="21"/>
    </w:rPr>
  </w:style>
  <w:style w:type="paragraph" w:customStyle="1" w:styleId="203">
    <w:name w:val="xl25"/>
    <w:basedOn w:val="1"/>
    <w:qFormat/>
    <w:uiPriority w:val="0"/>
    <w:pPr>
      <w:widowControl/>
      <w:pBdr>
        <w:top w:val="single" w:color="auto" w:sz="4" w:space="0"/>
        <w:left w:val="single" w:color="auto" w:sz="4" w:space="0"/>
        <w:bottom w:val="single" w:color="auto" w:sz="4" w:space="0"/>
        <w:right w:val="single" w:color="auto" w:sz="4" w:space="0"/>
      </w:pBdr>
      <w:spacing w:beforeLines="0" w:beforeAutospacing="1" w:afterAutospacing="1" w:line="360" w:lineRule="exact"/>
      <w:jc w:val="center"/>
      <w:textAlignment w:val="center"/>
    </w:pPr>
    <w:rPr>
      <w:rFonts w:ascii="Arial Unicode MS" w:hAnsi="Arial Unicode MS"/>
      <w:bCs/>
      <w:kern w:val="0"/>
      <w:szCs w:val="21"/>
    </w:rPr>
  </w:style>
  <w:style w:type="paragraph" w:customStyle="1" w:styleId="204">
    <w:name w:val="xl26"/>
    <w:basedOn w:val="1"/>
    <w:qFormat/>
    <w:uiPriority w:val="0"/>
    <w:pPr>
      <w:widowControl/>
      <w:pBdr>
        <w:top w:val="single" w:color="auto" w:sz="4" w:space="0"/>
        <w:left w:val="single" w:color="auto" w:sz="4" w:space="0"/>
        <w:bottom w:val="single" w:color="auto" w:sz="4" w:space="0"/>
        <w:right w:val="single" w:color="auto" w:sz="4" w:space="0"/>
      </w:pBdr>
      <w:spacing w:beforeLines="0" w:beforeAutospacing="1" w:afterAutospacing="1" w:line="360" w:lineRule="exact"/>
      <w:jc w:val="center"/>
    </w:pPr>
    <w:rPr>
      <w:rFonts w:ascii="Arial Unicode MS" w:hAnsi="Arial Unicode MS"/>
      <w:bCs/>
      <w:kern w:val="0"/>
      <w:szCs w:val="21"/>
    </w:rPr>
  </w:style>
  <w:style w:type="paragraph" w:customStyle="1" w:styleId="205">
    <w:name w:val="xl28"/>
    <w:basedOn w:val="1"/>
    <w:qFormat/>
    <w:uiPriority w:val="0"/>
    <w:pPr>
      <w:widowControl/>
      <w:pBdr>
        <w:top w:val="single" w:color="auto" w:sz="4" w:space="0"/>
        <w:left w:val="single" w:color="auto" w:sz="4" w:space="0"/>
        <w:bottom w:val="single" w:color="auto" w:sz="4" w:space="0"/>
        <w:right w:val="single" w:color="auto" w:sz="4" w:space="0"/>
      </w:pBdr>
      <w:spacing w:beforeLines="0" w:beforeAutospacing="1" w:afterAutospacing="1" w:line="360" w:lineRule="exact"/>
      <w:jc w:val="center"/>
      <w:textAlignment w:val="center"/>
    </w:pPr>
    <w:rPr>
      <w:rFonts w:ascii="Arial Unicode MS" w:hAnsi="Arial Unicode MS"/>
      <w:bCs/>
      <w:kern w:val="0"/>
      <w:szCs w:val="21"/>
    </w:rPr>
  </w:style>
  <w:style w:type="paragraph" w:customStyle="1" w:styleId="206">
    <w:name w:val="xl29"/>
    <w:basedOn w:val="1"/>
    <w:qFormat/>
    <w:uiPriority w:val="0"/>
    <w:pPr>
      <w:widowControl/>
      <w:pBdr>
        <w:top w:val="single" w:color="auto" w:sz="4" w:space="0"/>
        <w:left w:val="single" w:color="auto" w:sz="4" w:space="0"/>
        <w:bottom w:val="single" w:color="auto" w:sz="4" w:space="0"/>
      </w:pBdr>
      <w:spacing w:beforeLines="0" w:beforeAutospacing="1" w:afterAutospacing="1" w:line="360" w:lineRule="exact"/>
      <w:jc w:val="center"/>
      <w:textAlignment w:val="center"/>
    </w:pPr>
    <w:rPr>
      <w:rFonts w:ascii="Arial Unicode MS" w:hAnsi="Arial Unicode MS" w:eastAsia="Arial Unicode MS" w:cs="Arial Unicode MS"/>
      <w:b/>
      <w:kern w:val="0"/>
      <w:sz w:val="18"/>
      <w:szCs w:val="18"/>
    </w:rPr>
  </w:style>
  <w:style w:type="paragraph" w:customStyle="1" w:styleId="207">
    <w:name w:val="默认段落字体 Para Char"/>
    <w:basedOn w:val="1"/>
    <w:qFormat/>
    <w:uiPriority w:val="0"/>
    <w:pPr>
      <w:spacing w:beforeLines="0" w:line="240" w:lineRule="auto"/>
      <w:jc w:val="both"/>
    </w:pPr>
    <w:rPr>
      <w:rFonts w:ascii="Tahoma" w:hAnsi="Tahoma"/>
      <w:szCs w:val="20"/>
    </w:rPr>
  </w:style>
  <w:style w:type="paragraph" w:customStyle="1" w:styleId="208">
    <w:name w:val="xl54"/>
    <w:basedOn w:val="1"/>
    <w:qFormat/>
    <w:uiPriority w:val="0"/>
    <w:pPr>
      <w:widowControl/>
      <w:spacing w:beforeLines="0" w:beforeAutospacing="1" w:afterAutospacing="1" w:line="360" w:lineRule="exact"/>
      <w:jc w:val="center"/>
    </w:pPr>
    <w:rPr>
      <w:rFonts w:hint="eastAsia" w:ascii="宋体" w:hAnsi="宋体"/>
      <w:b/>
      <w:snapToGrid w:val="0"/>
      <w:kern w:val="0"/>
      <w:sz w:val="36"/>
      <w:szCs w:val="36"/>
    </w:rPr>
  </w:style>
  <w:style w:type="paragraph" w:customStyle="1" w:styleId="209">
    <w:name w:val="Char Char Char Char Char Char"/>
    <w:basedOn w:val="1"/>
    <w:qFormat/>
    <w:uiPriority w:val="0"/>
    <w:pPr>
      <w:spacing w:beforeLines="0" w:line="360" w:lineRule="exact"/>
      <w:jc w:val="center"/>
    </w:pPr>
    <w:rPr>
      <w:bCs/>
      <w:sz w:val="21"/>
      <w:szCs w:val="21"/>
    </w:rPr>
  </w:style>
  <w:style w:type="paragraph" w:customStyle="1" w:styleId="210">
    <w:name w:val="小四两端对齐"/>
    <w:qFormat/>
    <w:uiPriority w:val="0"/>
    <w:pPr>
      <w:widowControl w:val="0"/>
      <w:jc w:val="center"/>
    </w:pPr>
    <w:rPr>
      <w:rFonts w:ascii="Times New Roman" w:hAnsi="Times New Roman" w:eastAsia="宋体" w:cs="Times New Roman"/>
      <w:sz w:val="24"/>
      <w:szCs w:val="28"/>
      <w:lang w:val="en-US" w:eastAsia="zh-CN" w:bidi="ar-SA"/>
    </w:rPr>
  </w:style>
  <w:style w:type="paragraph" w:customStyle="1" w:styleId="211">
    <w:name w:val="BG"/>
    <w:basedOn w:val="1"/>
    <w:next w:val="1"/>
    <w:qFormat/>
    <w:uiPriority w:val="0"/>
    <w:pPr>
      <w:tabs>
        <w:tab w:val="left" w:pos="1134"/>
      </w:tabs>
      <w:adjustRightInd w:val="0"/>
      <w:spacing w:beforeLines="0" w:line="360" w:lineRule="atLeast"/>
      <w:jc w:val="center"/>
      <w:textAlignment w:val="baseline"/>
    </w:pPr>
    <w:rPr>
      <w:rFonts w:ascii="Arial" w:hAnsi="Arial"/>
      <w:bCs/>
      <w:snapToGrid w:val="0"/>
      <w:kern w:val="0"/>
      <w:szCs w:val="20"/>
    </w:rPr>
  </w:style>
  <w:style w:type="paragraph" w:customStyle="1" w:styleId="212">
    <w:name w:val="样式 宋体 段前: 0.5 行 行距: 多倍行距 1.3 字行1"/>
    <w:basedOn w:val="1"/>
    <w:qFormat/>
    <w:uiPriority w:val="0"/>
    <w:pPr>
      <w:spacing w:beforeLines="0" w:line="312" w:lineRule="auto"/>
      <w:ind w:left="100" w:leftChars="100"/>
    </w:pPr>
    <w:rPr>
      <w:rFonts w:ascii="宋体" w:hAnsi="宋体" w:cs="宋体"/>
      <w:szCs w:val="20"/>
    </w:rPr>
  </w:style>
  <w:style w:type="paragraph" w:customStyle="1" w:styleId="213">
    <w:name w:val="Char Char Char Char Char Char Char Char Char Char Char Char Char Char Char Char Char Char Char"/>
    <w:basedOn w:val="1"/>
    <w:qFormat/>
    <w:uiPriority w:val="0"/>
    <w:pPr>
      <w:spacing w:beforeLines="0" w:line="360" w:lineRule="exact"/>
      <w:jc w:val="center"/>
    </w:pPr>
    <w:rPr>
      <w:bCs/>
      <w:sz w:val="21"/>
      <w:szCs w:val="21"/>
    </w:rPr>
  </w:style>
  <w:style w:type="paragraph" w:customStyle="1" w:styleId="214">
    <w:name w:val="样式 样式 小四 首行缩进:  0.85 厘米 行距: 1.5 倍行距 + 首行缩进:  2 字符"/>
    <w:basedOn w:val="163"/>
    <w:qFormat/>
    <w:uiPriority w:val="0"/>
    <w:pPr>
      <w:ind w:firstLine="480"/>
    </w:pPr>
  </w:style>
  <w:style w:type="paragraph" w:customStyle="1" w:styleId="215">
    <w:name w:val="标题后正文"/>
    <w:basedOn w:val="1"/>
    <w:qFormat/>
    <w:uiPriority w:val="0"/>
    <w:pPr>
      <w:adjustRightInd w:val="0"/>
      <w:spacing w:beforeLines="0"/>
      <w:ind w:firstLine="200" w:firstLineChars="200"/>
      <w:jc w:val="center"/>
      <w:textAlignment w:val="baseline"/>
    </w:pPr>
    <w:rPr>
      <w:rFonts w:ascii="Arial" w:hAnsi="Arial"/>
      <w:bCs/>
      <w:snapToGrid w:val="0"/>
      <w:kern w:val="28"/>
      <w:szCs w:val="20"/>
    </w:rPr>
  </w:style>
  <w:style w:type="paragraph" w:customStyle="1" w:styleId="216">
    <w:name w:val="样式  + 小四 行距: 1.5 倍行距"/>
    <w:basedOn w:val="1"/>
    <w:qFormat/>
    <w:uiPriority w:val="0"/>
    <w:pPr>
      <w:spacing w:beforeLines="0"/>
      <w:ind w:firstLine="200" w:firstLineChars="200"/>
      <w:jc w:val="center"/>
    </w:pPr>
    <w:rPr>
      <w:bCs/>
      <w:snapToGrid w:val="0"/>
      <w:szCs w:val="20"/>
    </w:rPr>
  </w:style>
  <w:style w:type="paragraph" w:customStyle="1" w:styleId="217">
    <w:name w:val="Char Char Char Char Char Char Char Char Char Char Char Char Char Char1"/>
    <w:basedOn w:val="1"/>
    <w:qFormat/>
    <w:uiPriority w:val="0"/>
    <w:pPr>
      <w:spacing w:beforeLines="0"/>
      <w:ind w:firstLine="200" w:firstLineChars="200"/>
      <w:jc w:val="center"/>
    </w:pPr>
    <w:rPr>
      <w:rFonts w:ascii="宋体" w:hAnsi="宋体" w:cs="宋体"/>
      <w:bCs/>
      <w:szCs w:val="21"/>
    </w:rPr>
  </w:style>
  <w:style w:type="paragraph" w:customStyle="1" w:styleId="218">
    <w:name w:val="不缩进"/>
    <w:basedOn w:val="1"/>
    <w:qFormat/>
    <w:uiPriority w:val="0"/>
    <w:pPr>
      <w:autoSpaceDE w:val="0"/>
      <w:autoSpaceDN w:val="0"/>
      <w:adjustRightInd w:val="0"/>
      <w:spacing w:beforeLines="0"/>
      <w:jc w:val="center"/>
      <w:textAlignment w:val="baseline"/>
    </w:pPr>
    <w:rPr>
      <w:rFonts w:ascii="宋体"/>
      <w:kern w:val="0"/>
      <w:sz w:val="21"/>
      <w:szCs w:val="20"/>
    </w:rPr>
  </w:style>
  <w:style w:type="paragraph" w:customStyle="1" w:styleId="219">
    <w:name w:val="表格内正文"/>
    <w:qFormat/>
    <w:uiPriority w:val="0"/>
    <w:pPr>
      <w:spacing w:before="20" w:line="180" w:lineRule="atLeast"/>
      <w:jc w:val="center"/>
    </w:pPr>
    <w:rPr>
      <w:rFonts w:ascii="Arial" w:hAnsi="Arial" w:eastAsia="宋体" w:cs="Times New Roman"/>
      <w:sz w:val="24"/>
      <w:lang w:val="en-US" w:eastAsia="zh-CN" w:bidi="ar-SA"/>
    </w:rPr>
  </w:style>
  <w:style w:type="paragraph" w:customStyle="1" w:styleId="220">
    <w:name w:val="xl85"/>
    <w:basedOn w:val="1"/>
    <w:qFormat/>
    <w:uiPriority w:val="0"/>
    <w:pPr>
      <w:widowControl/>
      <w:pBdr>
        <w:left w:val="single" w:color="auto" w:sz="4" w:space="0"/>
        <w:bottom w:val="single" w:color="000000" w:sz="4" w:space="0"/>
        <w:right w:val="single" w:color="auto" w:sz="4" w:space="0"/>
      </w:pBdr>
      <w:spacing w:beforeLines="0" w:beforeAutospacing="1" w:afterAutospacing="1" w:line="240" w:lineRule="auto"/>
      <w:jc w:val="center"/>
    </w:pPr>
    <w:rPr>
      <w:rFonts w:ascii="Arial Unicode MS" w:hAnsi="Arial Unicode MS" w:eastAsia="Arial Unicode MS"/>
      <w:kern w:val="0"/>
      <w:sz w:val="21"/>
      <w:szCs w:val="21"/>
    </w:rPr>
  </w:style>
  <w:style w:type="paragraph" w:customStyle="1" w:styleId="221">
    <w:name w:val="xl23"/>
    <w:basedOn w:val="1"/>
    <w:qFormat/>
    <w:uiPriority w:val="0"/>
    <w:pPr>
      <w:widowControl/>
      <w:spacing w:beforeLines="0" w:beforeAutospacing="1" w:afterAutospacing="1"/>
      <w:jc w:val="center"/>
      <w:textAlignment w:val="top"/>
    </w:pPr>
    <w:rPr>
      <w:bCs/>
      <w:kern w:val="0"/>
      <w:szCs w:val="21"/>
    </w:rPr>
  </w:style>
  <w:style w:type="paragraph" w:customStyle="1" w:styleId="222">
    <w:name w:val="样式 宋体 两端对齐 段前: 0.5 行"/>
    <w:basedOn w:val="1"/>
    <w:qFormat/>
    <w:uiPriority w:val="0"/>
    <w:pPr>
      <w:spacing w:beforeLines="0"/>
      <w:jc w:val="both"/>
    </w:pPr>
    <w:rPr>
      <w:rFonts w:ascii="宋体" w:hAnsi="宋体" w:cs="宋体"/>
      <w:szCs w:val="20"/>
    </w:rPr>
  </w:style>
  <w:style w:type="paragraph" w:customStyle="1" w:styleId="223">
    <w:name w:val="Char Char Char Char Char Char Char Char Char"/>
    <w:basedOn w:val="1"/>
    <w:qFormat/>
    <w:uiPriority w:val="0"/>
    <w:pPr>
      <w:spacing w:beforeLines="0" w:line="360" w:lineRule="exact"/>
      <w:jc w:val="center"/>
    </w:pPr>
    <w:rPr>
      <w:bCs/>
      <w:sz w:val="21"/>
      <w:szCs w:val="21"/>
    </w:rPr>
  </w:style>
  <w:style w:type="paragraph" w:customStyle="1" w:styleId="224">
    <w:name w:val="Normal1"/>
    <w:qFormat/>
    <w:uiPriority w:val="0"/>
    <w:pPr>
      <w:widowControl w:val="0"/>
      <w:adjustRightInd w:val="0"/>
      <w:spacing w:line="360" w:lineRule="atLeast"/>
      <w:jc w:val="both"/>
      <w:textAlignment w:val="baseline"/>
    </w:pPr>
    <w:rPr>
      <w:rFonts w:ascii="宋体" w:hAnsi="Times New Roman" w:eastAsia="宋体" w:cs="Times New Roman"/>
      <w:sz w:val="24"/>
      <w:lang w:val="en-US" w:eastAsia="zh-CN" w:bidi="ar-SA"/>
    </w:rPr>
  </w:style>
  <w:style w:type="paragraph" w:customStyle="1" w:styleId="225">
    <w:name w:val="Char Char Char1 Char"/>
    <w:basedOn w:val="1"/>
    <w:qFormat/>
    <w:uiPriority w:val="0"/>
    <w:pPr>
      <w:spacing w:beforeLines="0" w:line="240" w:lineRule="auto"/>
      <w:jc w:val="both"/>
    </w:pPr>
    <w:rPr>
      <w:sz w:val="21"/>
    </w:rPr>
  </w:style>
  <w:style w:type="paragraph" w:customStyle="1" w:styleId="226">
    <w:name w:val="正文缩进0.90"/>
    <w:basedOn w:val="1"/>
    <w:qFormat/>
    <w:uiPriority w:val="0"/>
    <w:pPr>
      <w:snapToGrid w:val="0"/>
      <w:spacing w:beforeLines="0" w:line="360" w:lineRule="exact"/>
      <w:ind w:firstLine="540" w:firstLineChars="225"/>
      <w:jc w:val="center"/>
    </w:pPr>
    <w:rPr>
      <w:bCs/>
      <w:szCs w:val="20"/>
    </w:rPr>
  </w:style>
  <w:style w:type="paragraph" w:customStyle="1" w:styleId="227">
    <w:name w:val="样式 宋体 段前: 0.5 行 行距: 多倍行距 1.3 字行"/>
    <w:basedOn w:val="1"/>
    <w:qFormat/>
    <w:uiPriority w:val="0"/>
    <w:pPr>
      <w:spacing w:beforeLines="0" w:line="312" w:lineRule="auto"/>
      <w:ind w:left="200" w:hanging="200" w:hangingChars="200"/>
    </w:pPr>
    <w:rPr>
      <w:rFonts w:ascii="宋体" w:hAnsi="宋体" w:cs="宋体"/>
      <w:szCs w:val="20"/>
    </w:rPr>
  </w:style>
  <w:style w:type="paragraph" w:customStyle="1" w:styleId="228">
    <w:name w:val="Char Char Char Char1"/>
    <w:basedOn w:val="1"/>
    <w:qFormat/>
    <w:uiPriority w:val="0"/>
    <w:pPr>
      <w:spacing w:beforeLines="0" w:line="360" w:lineRule="exact"/>
      <w:jc w:val="center"/>
    </w:pPr>
    <w:rPr>
      <w:bCs/>
      <w:sz w:val="21"/>
      <w:szCs w:val="21"/>
    </w:rPr>
  </w:style>
  <w:style w:type="paragraph" w:customStyle="1" w:styleId="229">
    <w:name w:val="Char Char Char1 Char1"/>
    <w:basedOn w:val="1"/>
    <w:semiHidden/>
    <w:qFormat/>
    <w:uiPriority w:val="0"/>
    <w:pPr>
      <w:spacing w:beforeLines="0"/>
      <w:ind w:firstLine="200" w:firstLineChars="200"/>
      <w:jc w:val="both"/>
    </w:pPr>
    <w:rPr>
      <w:rFonts w:ascii="宋体" w:hAnsi="宋体" w:cs="宋体"/>
    </w:rPr>
  </w:style>
  <w:style w:type="paragraph" w:customStyle="1" w:styleId="230">
    <w:name w:val="简单回函地址"/>
    <w:basedOn w:val="1"/>
    <w:qFormat/>
    <w:uiPriority w:val="0"/>
    <w:pPr>
      <w:adjustRightInd w:val="0"/>
      <w:spacing w:beforeLines="0" w:line="312" w:lineRule="atLeast"/>
      <w:jc w:val="center"/>
      <w:textAlignment w:val="baseline"/>
    </w:pPr>
    <w:rPr>
      <w:rFonts w:ascii="宋体"/>
      <w:bCs/>
      <w:kern w:val="0"/>
      <w:szCs w:val="20"/>
    </w:rPr>
  </w:style>
  <w:style w:type="paragraph" w:customStyle="1" w:styleId="231">
    <w:name w:val="样式 宋体 段前: 0.5 行 行距: 多倍行距 1.3 字行2"/>
    <w:basedOn w:val="1"/>
    <w:qFormat/>
    <w:uiPriority w:val="0"/>
    <w:pPr>
      <w:numPr>
        <w:ilvl w:val="0"/>
        <w:numId w:val="3"/>
      </w:numPr>
      <w:spacing w:beforeLines="0" w:line="312" w:lineRule="auto"/>
    </w:pPr>
    <w:rPr>
      <w:rFonts w:ascii="宋体" w:hAnsi="宋体" w:cs="宋体"/>
      <w:szCs w:val="20"/>
    </w:rPr>
  </w:style>
  <w:style w:type="paragraph" w:customStyle="1" w:styleId="232">
    <w:name w:val="样式 cucd-0 + 行距: 1.5 倍行距"/>
    <w:basedOn w:val="68"/>
    <w:qFormat/>
    <w:uiPriority w:val="0"/>
    <w:rPr>
      <w:rFonts w:cs="宋体"/>
      <w:szCs w:val="20"/>
    </w:rPr>
  </w:style>
  <w:style w:type="paragraph" w:customStyle="1" w:styleId="233">
    <w:name w:val="Char1 Char Char Char Char Char Char Char Char Char"/>
    <w:basedOn w:val="1"/>
    <w:qFormat/>
    <w:uiPriority w:val="0"/>
    <w:pPr>
      <w:spacing w:beforeLines="0" w:line="240" w:lineRule="auto"/>
      <w:jc w:val="both"/>
    </w:pPr>
    <w:rPr>
      <w:rFonts w:ascii="Tahoma" w:hAnsi="Tahoma"/>
      <w:szCs w:val="20"/>
    </w:rPr>
  </w:style>
  <w:style w:type="paragraph" w:customStyle="1" w:styleId="234">
    <w:name w:val="Char Char Char Char Char Char1"/>
    <w:basedOn w:val="1"/>
    <w:qFormat/>
    <w:uiPriority w:val="0"/>
    <w:pPr>
      <w:spacing w:beforeLines="0" w:line="240" w:lineRule="auto"/>
      <w:jc w:val="both"/>
    </w:pPr>
    <w:rPr>
      <w:sz w:val="21"/>
      <w:szCs w:val="21"/>
    </w:rPr>
  </w:style>
  <w:style w:type="paragraph" w:customStyle="1" w:styleId="235">
    <w:name w:val="q3"/>
    <w:basedOn w:val="1"/>
    <w:qFormat/>
    <w:uiPriority w:val="0"/>
    <w:pPr>
      <w:keepNext/>
      <w:keepLines/>
      <w:tabs>
        <w:tab w:val="left" w:pos="851"/>
      </w:tabs>
      <w:adjustRightInd w:val="0"/>
      <w:spacing w:beforeLines="0" w:line="300" w:lineRule="exact"/>
      <w:ind w:firstLine="510"/>
      <w:textAlignment w:val="baseline"/>
    </w:pPr>
    <w:rPr>
      <w:rFonts w:ascii="Arial" w:hAnsi="Arial"/>
      <w:b/>
      <w:color w:val="000000"/>
      <w:kern w:val="44"/>
      <w:szCs w:val="20"/>
    </w:rPr>
  </w:style>
  <w:style w:type="paragraph" w:customStyle="1" w:styleId="236">
    <w:name w:val="Char Char Char1 Char Char Char"/>
    <w:basedOn w:val="1"/>
    <w:qFormat/>
    <w:uiPriority w:val="0"/>
    <w:pPr>
      <w:spacing w:beforeLines="0" w:line="240" w:lineRule="auto"/>
      <w:jc w:val="both"/>
    </w:pPr>
    <w:rPr>
      <w:sz w:val="21"/>
    </w:rPr>
  </w:style>
  <w:style w:type="paragraph" w:customStyle="1" w:styleId="237">
    <w:name w:val="Char12"/>
    <w:basedOn w:val="1"/>
    <w:qFormat/>
    <w:uiPriority w:val="0"/>
    <w:pPr>
      <w:spacing w:beforeLines="0" w:line="240" w:lineRule="auto"/>
      <w:jc w:val="both"/>
    </w:pPr>
    <w:rPr>
      <w:sz w:val="21"/>
    </w:rPr>
  </w:style>
  <w:style w:type="paragraph" w:customStyle="1" w:styleId="238">
    <w:name w:val="文档正文"/>
    <w:basedOn w:val="1"/>
    <w:qFormat/>
    <w:uiPriority w:val="0"/>
    <w:pPr>
      <w:spacing w:beforeLines="0"/>
      <w:jc w:val="both"/>
    </w:pPr>
    <w:rPr>
      <w:rFonts w:ascii="宋体" w:hAnsi="宋体"/>
      <w:b/>
      <w:bCs/>
      <w:sz w:val="21"/>
    </w:rPr>
  </w:style>
  <w:style w:type="paragraph" w:customStyle="1" w:styleId="239">
    <w:name w:val="正文1.2"/>
    <w:basedOn w:val="1"/>
    <w:qFormat/>
    <w:uiPriority w:val="0"/>
    <w:pPr>
      <w:spacing w:beforeLines="0" w:line="288" w:lineRule="auto"/>
    </w:pPr>
    <w:rPr>
      <w:rFonts w:ascii="宋体"/>
      <w:kern w:val="0"/>
      <w:sz w:val="28"/>
      <w:szCs w:val="20"/>
      <w:lang w:eastAsia="en-US"/>
    </w:rPr>
  </w:style>
  <w:style w:type="paragraph" w:customStyle="1" w:styleId="240">
    <w:name w:val="文档结构图1"/>
    <w:basedOn w:val="1"/>
    <w:qFormat/>
    <w:uiPriority w:val="0"/>
    <w:pPr>
      <w:shd w:val="clear" w:color="auto" w:fill="000080"/>
      <w:adjustRightInd w:val="0"/>
      <w:spacing w:beforeLines="0" w:line="360" w:lineRule="atLeast"/>
      <w:textAlignment w:val="baseline"/>
    </w:pPr>
    <w:rPr>
      <w:rFonts w:ascii="宋体"/>
      <w:kern w:val="0"/>
      <w:szCs w:val="20"/>
    </w:rPr>
  </w:style>
  <w:style w:type="paragraph" w:customStyle="1" w:styleId="241">
    <w:name w:val="Char Char1 Char Char Char Char"/>
    <w:basedOn w:val="1"/>
    <w:qFormat/>
    <w:uiPriority w:val="0"/>
    <w:pPr>
      <w:snapToGrid w:val="0"/>
      <w:spacing w:beforeLines="0" w:line="440" w:lineRule="atLeast"/>
      <w:ind w:firstLine="200" w:firstLineChars="200"/>
      <w:jc w:val="both"/>
    </w:pPr>
    <w:rPr>
      <w:rFonts w:ascii="宋体"/>
    </w:rPr>
  </w:style>
  <w:style w:type="paragraph" w:customStyle="1" w:styleId="242">
    <w:name w:val="Char Char Char"/>
    <w:basedOn w:val="1"/>
    <w:qFormat/>
    <w:uiPriority w:val="0"/>
    <w:pPr>
      <w:spacing w:beforeLines="0" w:line="240" w:lineRule="auto"/>
      <w:jc w:val="both"/>
    </w:pPr>
    <w:rPr>
      <w:sz w:val="21"/>
    </w:rPr>
  </w:style>
  <w:style w:type="paragraph" w:customStyle="1" w:styleId="243">
    <w:name w:val="样式 宋体 两端对齐 段前: 0.5 行1"/>
    <w:basedOn w:val="1"/>
    <w:qFormat/>
    <w:uiPriority w:val="0"/>
    <w:pPr>
      <w:spacing w:beforeLines="0"/>
      <w:jc w:val="both"/>
    </w:pPr>
    <w:rPr>
      <w:rFonts w:ascii="宋体" w:hAnsi="宋体" w:cs="宋体"/>
      <w:szCs w:val="20"/>
    </w:rPr>
  </w:style>
  <w:style w:type="paragraph" w:customStyle="1" w:styleId="244">
    <w:name w:val="样式 首行缩进:  0 字符"/>
    <w:basedOn w:val="1"/>
    <w:qFormat/>
    <w:uiPriority w:val="0"/>
    <w:pPr>
      <w:spacing w:beforeLines="0"/>
      <w:ind w:firstLine="200" w:firstLineChars="200"/>
      <w:jc w:val="both"/>
    </w:pPr>
    <w:rPr>
      <w:sz w:val="28"/>
      <w:szCs w:val="20"/>
    </w:rPr>
  </w:style>
  <w:style w:type="character" w:customStyle="1" w:styleId="245">
    <w:name w:val="cucd-0 Char"/>
    <w:qFormat/>
    <w:uiPriority w:val="0"/>
    <w:rPr>
      <w:rFonts w:eastAsia="宋体"/>
      <w:kern w:val="2"/>
      <w:sz w:val="24"/>
      <w:szCs w:val="24"/>
      <w:lang w:val="en-US" w:eastAsia="zh-CN" w:bidi="ar-SA"/>
    </w:rPr>
  </w:style>
  <w:style w:type="character" w:customStyle="1" w:styleId="246">
    <w:name w:val="Normal Char Char"/>
    <w:link w:val="129"/>
    <w:qFormat/>
    <w:locked/>
    <w:uiPriority w:val="0"/>
    <w:rPr>
      <w:rFonts w:ascii="宋体"/>
      <w:position w:val="-6"/>
      <w:sz w:val="32"/>
    </w:rPr>
  </w:style>
  <w:style w:type="paragraph" w:customStyle="1" w:styleId="247">
    <w:name w:val="正文文字缩进"/>
    <w:basedOn w:val="1"/>
    <w:qFormat/>
    <w:uiPriority w:val="0"/>
    <w:pPr>
      <w:widowControl/>
      <w:spacing w:beforeLines="0" w:line="606" w:lineRule="atLeast"/>
      <w:ind w:firstLine="481"/>
      <w:jc w:val="both"/>
      <w:textAlignment w:val="baseline"/>
    </w:pPr>
    <w:rPr>
      <w:color w:val="000000"/>
      <w:kern w:val="0"/>
      <w:szCs w:val="20"/>
      <w:u w:color="000000"/>
    </w:rPr>
  </w:style>
  <w:style w:type="character" w:customStyle="1" w:styleId="248">
    <w:name w:val="HTML 预设格式 字符"/>
    <w:link w:val="45"/>
    <w:qFormat/>
    <w:uiPriority w:val="0"/>
    <w:rPr>
      <w:rFonts w:ascii="宋体" w:hAnsi="宋体" w:cs="宋体"/>
      <w:bCs/>
      <w:sz w:val="24"/>
      <w:szCs w:val="21"/>
    </w:rPr>
  </w:style>
  <w:style w:type="paragraph" w:customStyle="1" w:styleId="249">
    <w:name w:val="列出段落2"/>
    <w:basedOn w:val="1"/>
    <w:qFormat/>
    <w:uiPriority w:val="34"/>
    <w:pPr>
      <w:autoSpaceDE w:val="0"/>
      <w:autoSpaceDN w:val="0"/>
      <w:adjustRightInd w:val="0"/>
      <w:spacing w:beforeLines="0"/>
      <w:ind w:firstLine="420" w:firstLineChars="200"/>
      <w:textAlignment w:val="baseline"/>
    </w:pPr>
    <w:rPr>
      <w:rFonts w:ascii="宋体" w:hAnsi="Plotter"/>
      <w:kern w:val="0"/>
      <w:szCs w:val="20"/>
    </w:rPr>
  </w:style>
  <w:style w:type="character" w:customStyle="1" w:styleId="250">
    <w:name w:val="样式 小五"/>
    <w:qFormat/>
    <w:uiPriority w:val="0"/>
    <w:rPr>
      <w:rFonts w:ascii="Times New Roman" w:hAnsi="Times New Roman" w:eastAsia="宋体"/>
      <w:kern w:val="0"/>
      <w:sz w:val="24"/>
      <w:szCs w:val="24"/>
      <w:lang w:val="en-US" w:eastAsia="zh-CN" w:bidi="ar-SA"/>
    </w:rPr>
  </w:style>
  <w:style w:type="paragraph" w:customStyle="1" w:styleId="251">
    <w:name w:val="样式 小五 左 首行缩进:  0.53 厘米"/>
    <w:basedOn w:val="1"/>
    <w:qFormat/>
    <w:uiPriority w:val="0"/>
    <w:pPr>
      <w:spacing w:beforeLines="0"/>
      <w:ind w:firstLine="301"/>
    </w:pPr>
    <w:rPr>
      <w:rFonts w:cs="宋体"/>
      <w:kern w:val="0"/>
      <w:szCs w:val="20"/>
    </w:rPr>
  </w:style>
  <w:style w:type="paragraph" w:customStyle="1" w:styleId="252">
    <w:name w:val="列出段落11"/>
    <w:basedOn w:val="1"/>
    <w:qFormat/>
    <w:uiPriority w:val="0"/>
    <w:pPr>
      <w:spacing w:beforeLines="0" w:after="200" w:line="276" w:lineRule="auto"/>
      <w:ind w:firstLine="420" w:firstLineChars="200"/>
      <w:jc w:val="both"/>
    </w:pPr>
    <w:rPr>
      <w:rFonts w:ascii="Calibri" w:hAnsi="Calibri"/>
      <w:b/>
      <w:szCs w:val="22"/>
    </w:rPr>
  </w:style>
  <w:style w:type="paragraph" w:styleId="253">
    <w:name w:val="List Paragraph"/>
    <w:basedOn w:val="1"/>
    <w:qFormat/>
    <w:uiPriority w:val="34"/>
    <w:pPr>
      <w:spacing w:beforeLines="0" w:line="240" w:lineRule="auto"/>
      <w:ind w:firstLine="420" w:firstLineChars="200"/>
      <w:jc w:val="both"/>
    </w:pPr>
    <w:rPr>
      <w:rFonts w:ascii="Calibri" w:hAnsi="Calibri"/>
      <w:sz w:val="21"/>
      <w:szCs w:val="22"/>
    </w:rPr>
  </w:style>
  <w:style w:type="paragraph" w:customStyle="1" w:styleId="254">
    <w:name w:val="样式 行距: 固定值 20 磅"/>
    <w:basedOn w:val="1"/>
    <w:qFormat/>
    <w:uiPriority w:val="0"/>
    <w:pPr>
      <w:numPr>
        <w:ilvl w:val="0"/>
        <w:numId w:val="4"/>
      </w:numPr>
      <w:tabs>
        <w:tab w:val="left" w:pos="482"/>
      </w:tabs>
      <w:spacing w:beforeLines="0" w:line="400" w:lineRule="exact"/>
      <w:jc w:val="both"/>
    </w:pPr>
    <w:rPr>
      <w:rFonts w:cs="宋体"/>
      <w:sz w:val="21"/>
      <w:szCs w:val="20"/>
    </w:rPr>
  </w:style>
  <w:style w:type="paragraph" w:customStyle="1" w:styleId="255">
    <w:name w:val="列出段落1"/>
    <w:basedOn w:val="1"/>
    <w:qFormat/>
    <w:uiPriority w:val="99"/>
    <w:pPr>
      <w:ind w:firstLine="420" w:firstLineChars="200"/>
    </w:pPr>
  </w:style>
  <w:style w:type="paragraph" w:customStyle="1" w:styleId="256">
    <w:name w:val="正文缩进2格"/>
    <w:basedOn w:val="1"/>
    <w:link w:val="258"/>
    <w:qFormat/>
    <w:uiPriority w:val="99"/>
    <w:pPr>
      <w:spacing w:line="600" w:lineRule="exact"/>
      <w:ind w:firstLine="639" w:firstLineChars="206"/>
    </w:pPr>
    <w:rPr>
      <w:rFonts w:ascii="仿宋_GB2312" w:hAnsi="宋体" w:eastAsia="仿宋_GB2312"/>
      <w:kern w:val="0"/>
      <w:sz w:val="31"/>
    </w:rPr>
  </w:style>
  <w:style w:type="paragraph" w:customStyle="1" w:styleId="257">
    <w:name w:val="修订1"/>
    <w:hidden/>
    <w:unhideWhenUsed/>
    <w:qFormat/>
    <w:uiPriority w:val="99"/>
    <w:rPr>
      <w:rFonts w:ascii="Times New Roman" w:hAnsi="Times New Roman" w:eastAsia="宋体" w:cs="Times New Roman"/>
      <w:kern w:val="2"/>
      <w:sz w:val="24"/>
      <w:szCs w:val="24"/>
      <w:lang w:val="en-US" w:eastAsia="zh-CN" w:bidi="ar-SA"/>
    </w:rPr>
  </w:style>
  <w:style w:type="character" w:customStyle="1" w:styleId="258">
    <w:name w:val="正文缩进2格 Char"/>
    <w:link w:val="256"/>
    <w:qFormat/>
    <w:uiPriority w:val="0"/>
    <w:rPr>
      <w:rFonts w:ascii="仿宋_GB2312" w:hAnsi="宋体" w:eastAsia="仿宋_GB2312" w:cs="Times New Roman"/>
      <w:kern w:val="0"/>
      <w:sz w:val="31"/>
    </w:rPr>
  </w:style>
  <w:style w:type="character" w:customStyle="1" w:styleId="259">
    <w:name w:val="正文文本 字符"/>
    <w:basedOn w:val="53"/>
    <w:link w:val="20"/>
    <w:qFormat/>
    <w:uiPriority w:val="99"/>
    <w:rPr>
      <w:rFonts w:ascii="宋体" w:hAnsi="宋体" w:eastAsia="宋体" w:cs="Times New Roman"/>
      <w:sz w:val="21"/>
    </w:rPr>
  </w:style>
  <w:style w:type="character" w:customStyle="1" w:styleId="260">
    <w:name w:val="正文文本首行缩进 字符"/>
    <w:basedOn w:val="259"/>
    <w:link w:val="50"/>
    <w:qFormat/>
    <w:uiPriority w:val="0"/>
    <w:rPr>
      <w:rFonts w:ascii="Times New Roman" w:hAnsi="Times New Roman" w:eastAsia="宋体" w:cs="Times New Roman"/>
      <w:sz w:val="21"/>
      <w:szCs w:val="20"/>
    </w:rPr>
  </w:style>
  <w:style w:type="character" w:customStyle="1" w:styleId="261">
    <w:name w:val="页眉 字符"/>
    <w:basedOn w:val="53"/>
    <w:link w:val="33"/>
    <w:qFormat/>
    <w:uiPriority w:val="99"/>
    <w:rPr>
      <w:rFonts w:ascii="Times New Roman" w:hAnsi="Times New Roman" w:eastAsia="宋体" w:cs="Times New Roman"/>
      <w:sz w:val="18"/>
      <w:szCs w:val="18"/>
    </w:rPr>
  </w:style>
  <w:style w:type="character" w:customStyle="1" w:styleId="262">
    <w:name w:val="批注框文本 字符"/>
    <w:basedOn w:val="53"/>
    <w:link w:val="31"/>
    <w:qFormat/>
    <w:uiPriority w:val="0"/>
    <w:rPr>
      <w:rFonts w:ascii="Times New Roman" w:hAnsi="Times New Roman" w:eastAsia="宋体" w:cs="Times New Roman"/>
      <w:sz w:val="18"/>
      <w:szCs w:val="18"/>
    </w:rPr>
  </w:style>
  <w:style w:type="character" w:customStyle="1" w:styleId="263">
    <w:name w:val="文档结构图 字符"/>
    <w:basedOn w:val="53"/>
    <w:link w:val="17"/>
    <w:qFormat/>
    <w:uiPriority w:val="99"/>
    <w:rPr>
      <w:rFonts w:ascii="Times New Roman" w:hAnsi="Times New Roman" w:eastAsia="宋体" w:cs="Times New Roman"/>
    </w:rPr>
  </w:style>
  <w:style w:type="character" w:customStyle="1" w:styleId="264">
    <w:name w:val="批注文字 字符"/>
    <w:basedOn w:val="53"/>
    <w:link w:val="18"/>
    <w:qFormat/>
    <w:uiPriority w:val="0"/>
    <w:rPr>
      <w:rFonts w:ascii="宋体" w:hAnsi="Plotter" w:eastAsia="宋体" w:cs="Times New Roman"/>
      <w:kern w:val="0"/>
      <w:sz w:val="34"/>
      <w:szCs w:val="20"/>
    </w:rPr>
  </w:style>
  <w:style w:type="character" w:customStyle="1" w:styleId="265">
    <w:name w:val="fontstyle01"/>
    <w:basedOn w:val="53"/>
    <w:qFormat/>
    <w:uiPriority w:val="0"/>
    <w:rPr>
      <w:rFonts w:hint="eastAsia" w:ascii="仿宋" w:hAnsi="仿宋" w:eastAsia="仿宋" w:cs="Times New Roman"/>
      <w:color w:val="000000"/>
      <w:sz w:val="28"/>
      <w:szCs w:val="28"/>
    </w:rPr>
  </w:style>
  <w:style w:type="character" w:customStyle="1" w:styleId="266">
    <w:name w:val="批注主题 字符"/>
    <w:basedOn w:val="264"/>
    <w:link w:val="49"/>
    <w:qFormat/>
    <w:uiPriority w:val="0"/>
    <w:rPr>
      <w:rFonts w:ascii="Times New Roman" w:hAnsi="Times New Roman" w:eastAsia="宋体" w:cs="Times New Roman"/>
      <w:b/>
      <w:bCs/>
      <w:kern w:val="2"/>
      <w:sz w:val="21"/>
      <w:szCs w:val="20"/>
    </w:rPr>
  </w:style>
  <w:style w:type="character" w:customStyle="1" w:styleId="267">
    <w:name w:val="脚注文本 字符"/>
    <w:basedOn w:val="53"/>
    <w:link w:val="37"/>
    <w:qFormat/>
    <w:uiPriority w:val="0"/>
    <w:rPr>
      <w:rFonts w:asciiTheme="minorHAnsi" w:hAnsiTheme="minorHAnsi" w:eastAsiaTheme="minorEastAsia" w:cstheme="minorBidi"/>
      <w:sz w:val="18"/>
      <w:szCs w:val="24"/>
    </w:rPr>
  </w:style>
  <w:style w:type="paragraph" w:customStyle="1" w:styleId="268">
    <w:name w:val="修订11"/>
    <w:hidden/>
    <w:semiHidden/>
    <w:qFormat/>
    <w:uiPriority w:val="99"/>
    <w:rPr>
      <w:rFonts w:asciiTheme="minorHAnsi" w:hAnsiTheme="minorHAnsi" w:eastAsiaTheme="minorEastAsia" w:cstheme="minorBidi"/>
      <w:kern w:val="2"/>
      <w:sz w:val="24"/>
      <w:szCs w:val="24"/>
      <w:lang w:val="en-US" w:eastAsia="zh-CN" w:bidi="ar-SA"/>
    </w:rPr>
  </w:style>
  <w:style w:type="paragraph" w:customStyle="1" w:styleId="269">
    <w:name w:val="正文文本缩进 21"/>
    <w:basedOn w:val="1"/>
    <w:qFormat/>
    <w:uiPriority w:val="0"/>
    <w:pPr>
      <w:adjustRightInd w:val="0"/>
      <w:spacing w:beforeLines="0" w:line="480" w:lineRule="auto"/>
      <w:ind w:firstLine="540"/>
      <w:jc w:val="both"/>
    </w:pPr>
    <w:rPr>
      <w:rFonts w:ascii="Calibri" w:hAnsi="Calibri" w:cs="Calibri"/>
      <w:kern w:val="0"/>
      <w:sz w:val="20"/>
    </w:rPr>
  </w:style>
  <w:style w:type="character" w:customStyle="1" w:styleId="270">
    <w:name w:val="hilite"/>
    <w:basedOn w:val="53"/>
    <w:qFormat/>
    <w:uiPriority w:val="0"/>
    <w:rPr>
      <w:rFonts w:ascii="Times New Roman" w:hAnsi="Times New Roman" w:eastAsia="宋体" w:cs="Times New Roman"/>
      <w:color w:val="FFFFFF"/>
      <w:shd w:val="clear" w:color="auto" w:fill="666666"/>
    </w:rPr>
  </w:style>
  <w:style w:type="character" w:customStyle="1" w:styleId="271">
    <w:name w:val="last-child"/>
    <w:basedOn w:val="53"/>
    <w:qFormat/>
    <w:uiPriority w:val="0"/>
    <w:rPr>
      <w:rFonts w:ascii="Times New Roman" w:hAnsi="Times New Roman" w:eastAsia="宋体" w:cs="Times New Roman"/>
    </w:rPr>
  </w:style>
  <w:style w:type="character" w:customStyle="1" w:styleId="272">
    <w:name w:val="w32"/>
    <w:basedOn w:val="53"/>
    <w:qFormat/>
    <w:uiPriority w:val="0"/>
    <w:rPr>
      <w:rFonts w:ascii="Times New Roman" w:hAnsi="Times New Roman" w:eastAsia="宋体" w:cs="Times New Roman"/>
    </w:rPr>
  </w:style>
  <w:style w:type="character" w:customStyle="1" w:styleId="273">
    <w:name w:val="ico1658"/>
    <w:basedOn w:val="53"/>
    <w:qFormat/>
    <w:uiPriority w:val="0"/>
    <w:rPr>
      <w:rFonts w:ascii="Times New Roman" w:hAnsi="Times New Roman" w:eastAsia="宋体" w:cs="Times New Roman"/>
    </w:rPr>
  </w:style>
  <w:style w:type="character" w:customStyle="1" w:styleId="274">
    <w:name w:val="ico1659"/>
    <w:basedOn w:val="53"/>
    <w:qFormat/>
    <w:uiPriority w:val="0"/>
    <w:rPr>
      <w:rFonts w:ascii="Times New Roman" w:hAnsi="Times New Roman" w:eastAsia="宋体" w:cs="Times New Roman"/>
    </w:rPr>
  </w:style>
  <w:style w:type="character" w:customStyle="1" w:styleId="275">
    <w:name w:val="ico1660"/>
    <w:basedOn w:val="53"/>
    <w:qFormat/>
    <w:uiPriority w:val="0"/>
    <w:rPr>
      <w:rFonts w:ascii="Times New Roman" w:hAnsi="Times New Roman" w:eastAsia="宋体" w:cs="Times New Roman"/>
    </w:rPr>
  </w:style>
  <w:style w:type="character" w:customStyle="1" w:styleId="276">
    <w:name w:val="button"/>
    <w:basedOn w:val="53"/>
    <w:qFormat/>
    <w:uiPriority w:val="0"/>
    <w:rPr>
      <w:rFonts w:ascii="Times New Roman" w:hAnsi="Times New Roman" w:eastAsia="宋体" w:cs="Times New Roman"/>
    </w:rPr>
  </w:style>
  <w:style w:type="character" w:customStyle="1" w:styleId="277">
    <w:name w:val="biggerthanmax"/>
    <w:basedOn w:val="53"/>
    <w:qFormat/>
    <w:uiPriority w:val="0"/>
    <w:rPr>
      <w:rFonts w:ascii="Times New Roman" w:hAnsi="Times New Roman" w:eastAsia="宋体" w:cs="Times New Roman"/>
      <w:shd w:val="clear" w:color="auto" w:fill="FFFF00"/>
    </w:rPr>
  </w:style>
  <w:style w:type="character" w:customStyle="1" w:styleId="278">
    <w:name w:val="cdropright"/>
    <w:basedOn w:val="53"/>
    <w:qFormat/>
    <w:uiPriority w:val="0"/>
    <w:rPr>
      <w:rFonts w:ascii="Times New Roman" w:hAnsi="Times New Roman" w:eastAsia="宋体" w:cs="Times New Roman"/>
    </w:rPr>
  </w:style>
  <w:style w:type="character" w:customStyle="1" w:styleId="279">
    <w:name w:val="liked_gray"/>
    <w:basedOn w:val="53"/>
    <w:qFormat/>
    <w:uiPriority w:val="0"/>
    <w:rPr>
      <w:rFonts w:ascii="Times New Roman" w:hAnsi="Times New Roman" w:eastAsia="宋体" w:cs="Times New Roman"/>
      <w:color w:val="FFFFFF"/>
    </w:rPr>
  </w:style>
  <w:style w:type="character" w:customStyle="1" w:styleId="280">
    <w:name w:val="browse_class&gt;span"/>
    <w:basedOn w:val="53"/>
    <w:qFormat/>
    <w:uiPriority w:val="0"/>
    <w:rPr>
      <w:rFonts w:ascii="Times New Roman" w:hAnsi="Times New Roman" w:eastAsia="宋体" w:cs="Times New Roman"/>
    </w:rPr>
  </w:style>
  <w:style w:type="character" w:customStyle="1" w:styleId="281">
    <w:name w:val="pagechatarealistclose_box"/>
    <w:basedOn w:val="53"/>
    <w:qFormat/>
    <w:uiPriority w:val="0"/>
    <w:rPr>
      <w:rFonts w:ascii="Times New Roman" w:hAnsi="Times New Roman" w:eastAsia="宋体" w:cs="Times New Roman"/>
    </w:rPr>
  </w:style>
  <w:style w:type="character" w:customStyle="1" w:styleId="282">
    <w:name w:val="pagechatarealistclose_box1"/>
    <w:basedOn w:val="53"/>
    <w:qFormat/>
    <w:uiPriority w:val="0"/>
    <w:rPr>
      <w:rFonts w:ascii="Times New Roman" w:hAnsi="Times New Roman" w:eastAsia="宋体" w:cs="Times New Roman"/>
    </w:rPr>
  </w:style>
  <w:style w:type="character" w:customStyle="1" w:styleId="283">
    <w:name w:val="hover46"/>
    <w:basedOn w:val="53"/>
    <w:qFormat/>
    <w:uiPriority w:val="0"/>
    <w:rPr>
      <w:rFonts w:ascii="Times New Roman" w:hAnsi="Times New Roman" w:eastAsia="宋体" w:cs="Times New Roman"/>
      <w:color w:val="FFFFFF"/>
    </w:rPr>
  </w:style>
  <w:style w:type="character" w:customStyle="1" w:styleId="284">
    <w:name w:val="layui-layer-tabnow"/>
    <w:basedOn w:val="53"/>
    <w:qFormat/>
    <w:uiPriority w:val="0"/>
    <w:rPr>
      <w:rFonts w:ascii="Times New Roman" w:hAnsi="Times New Roman" w:eastAsia="宋体" w:cs="Times New Roman"/>
      <w:bdr w:val="single" w:color="CCCCCC" w:sz="6" w:space="0"/>
      <w:shd w:val="clear" w:color="auto" w:fill="FFFFFF"/>
    </w:rPr>
  </w:style>
  <w:style w:type="character" w:customStyle="1" w:styleId="285">
    <w:name w:val="first-child"/>
    <w:basedOn w:val="53"/>
    <w:qFormat/>
    <w:uiPriority w:val="0"/>
    <w:rPr>
      <w:rFonts w:ascii="Times New Roman" w:hAnsi="Times New Roman" w:eastAsia="宋体" w:cs="Times New Roman"/>
    </w:rPr>
  </w:style>
  <w:style w:type="character" w:customStyle="1" w:styleId="286">
    <w:name w:val="viewscale"/>
    <w:basedOn w:val="53"/>
    <w:qFormat/>
    <w:uiPriority w:val="0"/>
    <w:rPr>
      <w:rFonts w:ascii="Times New Roman" w:hAnsi="Times New Roman" w:eastAsia="宋体" w:cs="Times New Roman"/>
      <w:color w:val="FFFFFF"/>
      <w:sz w:val="24"/>
      <w:szCs w:val="24"/>
    </w:rPr>
  </w:style>
  <w:style w:type="character" w:customStyle="1" w:styleId="287">
    <w:name w:val="icontext1"/>
    <w:basedOn w:val="53"/>
    <w:qFormat/>
    <w:uiPriority w:val="0"/>
    <w:rPr>
      <w:rFonts w:ascii="Times New Roman" w:hAnsi="Times New Roman" w:eastAsia="宋体" w:cs="Times New Roman"/>
    </w:rPr>
  </w:style>
  <w:style w:type="character" w:customStyle="1" w:styleId="288">
    <w:name w:val="icontext11"/>
    <w:basedOn w:val="53"/>
    <w:qFormat/>
    <w:uiPriority w:val="0"/>
    <w:rPr>
      <w:rFonts w:ascii="Times New Roman" w:hAnsi="Times New Roman" w:eastAsia="宋体" w:cs="Times New Roman"/>
    </w:rPr>
  </w:style>
  <w:style w:type="character" w:customStyle="1" w:styleId="289">
    <w:name w:val="icontext12"/>
    <w:basedOn w:val="53"/>
    <w:qFormat/>
    <w:uiPriority w:val="0"/>
    <w:rPr>
      <w:rFonts w:ascii="Times New Roman" w:hAnsi="Times New Roman" w:eastAsia="宋体" w:cs="Times New Roman"/>
    </w:rPr>
  </w:style>
  <w:style w:type="character" w:customStyle="1" w:styleId="290">
    <w:name w:val="after"/>
    <w:basedOn w:val="53"/>
    <w:qFormat/>
    <w:uiPriority w:val="0"/>
    <w:rPr>
      <w:rFonts w:ascii="Times New Roman" w:hAnsi="Times New Roman" w:eastAsia="宋体" w:cs="Times New Roman"/>
      <w:sz w:val="0"/>
      <w:szCs w:val="0"/>
    </w:rPr>
  </w:style>
  <w:style w:type="character" w:customStyle="1" w:styleId="291">
    <w:name w:val="color_gray3"/>
    <w:basedOn w:val="53"/>
    <w:qFormat/>
    <w:uiPriority w:val="0"/>
    <w:rPr>
      <w:rFonts w:ascii="Times New Roman" w:hAnsi="Times New Roman" w:eastAsia="宋体" w:cs="Times New Roman"/>
      <w:color w:val="999999"/>
    </w:rPr>
  </w:style>
  <w:style w:type="character" w:customStyle="1" w:styleId="292">
    <w:name w:val="drapbtn"/>
    <w:basedOn w:val="53"/>
    <w:qFormat/>
    <w:uiPriority w:val="0"/>
    <w:rPr>
      <w:rFonts w:ascii="Times New Roman" w:hAnsi="Times New Roman" w:eastAsia="宋体" w:cs="Times New Roman"/>
    </w:rPr>
  </w:style>
  <w:style w:type="character" w:customStyle="1" w:styleId="293">
    <w:name w:val="cdropleft"/>
    <w:basedOn w:val="53"/>
    <w:qFormat/>
    <w:uiPriority w:val="0"/>
    <w:rPr>
      <w:rFonts w:ascii="Times New Roman" w:hAnsi="Times New Roman" w:eastAsia="宋体" w:cs="Times New Roman"/>
    </w:rPr>
  </w:style>
  <w:style w:type="character" w:customStyle="1" w:styleId="294">
    <w:name w:val="active6"/>
    <w:basedOn w:val="53"/>
    <w:qFormat/>
    <w:uiPriority w:val="0"/>
    <w:rPr>
      <w:rFonts w:ascii="Times New Roman" w:hAnsi="Times New Roman" w:eastAsia="宋体" w:cs="Times New Roman"/>
      <w:color w:val="00FF00"/>
      <w:shd w:val="clear" w:color="auto" w:fill="111111"/>
    </w:rPr>
  </w:style>
  <w:style w:type="character" w:customStyle="1" w:styleId="295">
    <w:name w:val="tmpztreemove_arrow"/>
    <w:basedOn w:val="53"/>
    <w:qFormat/>
    <w:uiPriority w:val="0"/>
    <w:rPr>
      <w:rFonts w:ascii="Times New Roman" w:hAnsi="Times New Roman" w:eastAsia="宋体" w:cs="Times New Roman"/>
    </w:rPr>
  </w:style>
  <w:style w:type="character" w:customStyle="1" w:styleId="296">
    <w:name w:val="moreaction32"/>
    <w:basedOn w:val="53"/>
    <w:qFormat/>
    <w:uiPriority w:val="0"/>
    <w:rPr>
      <w:rFonts w:ascii="Times New Roman" w:hAnsi="Times New Roman" w:eastAsia="宋体" w:cs="Times New Roman"/>
    </w:rPr>
  </w:style>
  <w:style w:type="character" w:customStyle="1" w:styleId="297">
    <w:name w:val="icontext2"/>
    <w:basedOn w:val="53"/>
    <w:qFormat/>
    <w:uiPriority w:val="0"/>
    <w:rPr>
      <w:rFonts w:ascii="Times New Roman" w:hAnsi="Times New Roman" w:eastAsia="宋体" w:cs="Times New Roman"/>
    </w:rPr>
  </w:style>
  <w:style w:type="character" w:customStyle="1" w:styleId="298">
    <w:name w:val="icontext3"/>
    <w:basedOn w:val="53"/>
    <w:qFormat/>
    <w:uiPriority w:val="0"/>
    <w:rPr>
      <w:rFonts w:ascii="Times New Roman" w:hAnsi="Times New Roman" w:eastAsia="宋体" w:cs="Times New Roman"/>
    </w:rPr>
  </w:style>
  <w:style w:type="character" w:customStyle="1" w:styleId="299">
    <w:name w:val="iconline2"/>
    <w:basedOn w:val="53"/>
    <w:qFormat/>
    <w:uiPriority w:val="0"/>
    <w:rPr>
      <w:rFonts w:ascii="Times New Roman" w:hAnsi="Times New Roman" w:eastAsia="宋体" w:cs="Times New Roman"/>
    </w:rPr>
  </w:style>
  <w:style w:type="character" w:customStyle="1" w:styleId="300">
    <w:name w:val="iconline21"/>
    <w:basedOn w:val="53"/>
    <w:qFormat/>
    <w:uiPriority w:val="0"/>
    <w:rPr>
      <w:rFonts w:ascii="Times New Roman" w:hAnsi="Times New Roman" w:eastAsia="宋体" w:cs="Times New Roman"/>
    </w:rPr>
  </w:style>
  <w:style w:type="character" w:customStyle="1" w:styleId="301">
    <w:name w:val="choosename"/>
    <w:basedOn w:val="53"/>
    <w:qFormat/>
    <w:uiPriority w:val="0"/>
    <w:rPr>
      <w:rFonts w:ascii="Times New Roman" w:hAnsi="Times New Roman" w:eastAsia="宋体" w:cs="Times New Roman"/>
    </w:rPr>
  </w:style>
  <w:style w:type="character" w:customStyle="1" w:styleId="302">
    <w:name w:val="estimate_gray"/>
    <w:basedOn w:val="53"/>
    <w:qFormat/>
    <w:uiPriority w:val="0"/>
    <w:rPr>
      <w:rFonts w:ascii="Times New Roman" w:hAnsi="Times New Roman" w:eastAsia="宋体" w:cs="Times New Roman"/>
    </w:rPr>
  </w:style>
  <w:style w:type="character" w:customStyle="1" w:styleId="303">
    <w:name w:val="estimate_gray1"/>
    <w:basedOn w:val="53"/>
    <w:qFormat/>
    <w:uiPriority w:val="0"/>
    <w:rPr>
      <w:rFonts w:ascii="Times New Roman" w:hAnsi="Times New Roman" w:eastAsia="宋体" w:cs="Times New Roman"/>
      <w:color w:val="FFFFFF"/>
    </w:rPr>
  </w:style>
  <w:style w:type="character" w:customStyle="1" w:styleId="304">
    <w:name w:val="design_class"/>
    <w:basedOn w:val="53"/>
    <w:qFormat/>
    <w:uiPriority w:val="0"/>
    <w:rPr>
      <w:rFonts w:ascii="Times New Roman" w:hAnsi="Times New Roman" w:eastAsia="宋体" w:cs="Times New Roman"/>
    </w:rPr>
  </w:style>
  <w:style w:type="character" w:customStyle="1" w:styleId="305">
    <w:name w:val="xdrichtextbox2"/>
    <w:basedOn w:val="53"/>
    <w:qFormat/>
    <w:uiPriority w:val="0"/>
    <w:rPr>
      <w:rFonts w:ascii="Times New Roman" w:hAnsi="Times New Roman" w:eastAsia="宋体" w:cs="Times New Roman"/>
    </w:rPr>
  </w:style>
  <w:style w:type="character" w:customStyle="1" w:styleId="306">
    <w:name w:val="cy"/>
    <w:basedOn w:val="53"/>
    <w:qFormat/>
    <w:uiPriority w:val="0"/>
    <w:rPr>
      <w:rFonts w:ascii="Times New Roman" w:hAnsi="Times New Roman" w:eastAsia="宋体" w:cs="Times New Roman"/>
    </w:rPr>
  </w:style>
  <w:style w:type="character" w:customStyle="1" w:styleId="307">
    <w:name w:val="edit_class"/>
    <w:basedOn w:val="53"/>
    <w:qFormat/>
    <w:uiPriority w:val="0"/>
    <w:rPr>
      <w:rFonts w:ascii="Times New Roman" w:hAnsi="Times New Roman" w:eastAsia="宋体" w:cs="Times New Roman"/>
    </w:rPr>
  </w:style>
  <w:style w:type="character" w:customStyle="1" w:styleId="308">
    <w:name w:val="ico16"/>
    <w:basedOn w:val="53"/>
    <w:qFormat/>
    <w:uiPriority w:val="0"/>
    <w:rPr>
      <w:rFonts w:ascii="Times New Roman" w:hAnsi="Times New Roman" w:eastAsia="宋体" w:cs="Times New Roman"/>
    </w:rPr>
  </w:style>
  <w:style w:type="character" w:customStyle="1" w:styleId="309">
    <w:name w:val="ico161"/>
    <w:basedOn w:val="53"/>
    <w:qFormat/>
    <w:uiPriority w:val="0"/>
    <w:rPr>
      <w:rFonts w:ascii="Times New Roman" w:hAnsi="Times New Roman" w:eastAsia="宋体" w:cs="Times New Roman"/>
    </w:rPr>
  </w:style>
  <w:style w:type="character" w:customStyle="1" w:styleId="310">
    <w:name w:val="ico162"/>
    <w:basedOn w:val="53"/>
    <w:qFormat/>
    <w:uiPriority w:val="0"/>
    <w:rPr>
      <w:rFonts w:ascii="Times New Roman" w:hAnsi="Times New Roman" w:eastAsia="宋体" w:cs="Times New Roman"/>
    </w:rPr>
  </w:style>
  <w:style w:type="character" w:customStyle="1" w:styleId="311">
    <w:name w:val="hilite6"/>
    <w:basedOn w:val="53"/>
    <w:qFormat/>
    <w:uiPriority w:val="0"/>
    <w:rPr>
      <w:rFonts w:ascii="Times New Roman" w:hAnsi="Times New Roman" w:eastAsia="宋体" w:cs="Times New Roman"/>
      <w:color w:val="FFFFFF"/>
      <w:shd w:val="clear" w:color="auto" w:fill="666666"/>
    </w:rPr>
  </w:style>
  <w:style w:type="character" w:customStyle="1" w:styleId="312">
    <w:name w:val="button4"/>
    <w:basedOn w:val="53"/>
    <w:qFormat/>
    <w:uiPriority w:val="0"/>
    <w:rPr>
      <w:rFonts w:ascii="Times New Roman" w:hAnsi="Times New Roman" w:eastAsia="宋体" w:cs="Times New Roman"/>
    </w:rPr>
  </w:style>
  <w:style w:type="character" w:customStyle="1" w:styleId="313">
    <w:name w:val="xdrichtextbox"/>
    <w:basedOn w:val="53"/>
    <w:qFormat/>
    <w:uiPriority w:val="0"/>
    <w:rPr>
      <w:rFonts w:ascii="Times New Roman" w:hAnsi="Times New Roman" w:eastAsia="宋体" w:cs="Times New Roman"/>
      <w:color w:val="auto"/>
      <w:sz w:val="18"/>
      <w:szCs w:val="18"/>
      <w:u w:val="none"/>
      <w:bdr w:val="single" w:color="DCDCDC" w:sz="8" w:space="0"/>
      <w:shd w:val="clear" w:color="auto" w:fill="auto"/>
    </w:rPr>
  </w:style>
  <w:style w:type="character" w:customStyle="1" w:styleId="314">
    <w:name w:val="hover42"/>
    <w:basedOn w:val="53"/>
    <w:qFormat/>
    <w:uiPriority w:val="0"/>
    <w:rPr>
      <w:rFonts w:ascii="Times New Roman" w:hAnsi="Times New Roman" w:eastAsia="宋体" w:cs="Times New Roman"/>
      <w:color w:val="FFFFFF"/>
    </w:rPr>
  </w:style>
  <w:style w:type="character" w:customStyle="1" w:styleId="315">
    <w:name w:val="正文文本缩进 字符"/>
    <w:basedOn w:val="53"/>
    <w:link w:val="3"/>
    <w:semiHidden/>
    <w:qFormat/>
    <w:uiPriority w:val="99"/>
    <w:rPr>
      <w:rFonts w:ascii="Times New Roman" w:hAnsi="Times New Roman" w:eastAsia="宋体" w:cs="Times New Roman"/>
    </w:rPr>
  </w:style>
  <w:style w:type="paragraph" w:customStyle="1" w:styleId="316">
    <w:name w:val="Revision"/>
    <w:hidden/>
    <w:semiHidden/>
    <w:qFormat/>
    <w:uiPriority w:val="99"/>
    <w:rPr>
      <w:rFonts w:ascii="Times New Roman" w:hAnsi="Times New Roman"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jpeg"/><Relationship Id="rId18" Type="http://schemas.openxmlformats.org/officeDocument/2006/relationships/theme" Target="theme/theme1.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55</Pages>
  <Words>6242</Words>
  <Characters>6396</Characters>
  <Lines>186</Lines>
  <Paragraphs>52</Paragraphs>
  <TotalTime>21</TotalTime>
  <ScaleCrop>false</ScaleCrop>
  <LinksUpToDate>false</LinksUpToDate>
  <CharactersWithSpaces>6597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2020-09-27T04:06:00Z</dcterms:created>
  <dc:creator>Jeo Xie</dc:creator>
  <cp:lastModifiedBy> </cp:lastModifiedBy>
  <cp:lastPrinted>2026-04-15T03:26:00Z</cp:lastPrinted>
  <dcterms:modified xsi:type="dcterms:W3CDTF">2026-04-15T07:41:09Z</dcterms:modified>
  <dc:title>第1章 </dc:title>
  <cp:revision>258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D6072494E3514BEDBC3B112407649586</vt:lpwstr>
  </property>
  <property fmtid="{D5CDD505-2E9C-101B-9397-08002B2CF9AE}" pid="4" name="commondata">
    <vt:lpwstr>eyJoZGlkIjoiYjdjNGY2NGRkMWViYjU5M2JjMzEyYWU0ODA0ZWRkNDUifQ==</vt:lpwstr>
  </property>
  <property fmtid="{D5CDD505-2E9C-101B-9397-08002B2CF9AE}" pid="5" name="KSOTemplateDocerSaveRecord">
    <vt:lpwstr>eyJoZGlkIjoiN2ZmNGE0NjRjYTU2OTJjMjE3ZjcyYmQ3ZmYzYmY2NjciLCJ1c2VySWQiOiIxNjEyMzQ1MDU4In0=</vt:lpwstr>
  </property>
</Properties>
</file>