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60" w:name="_GoBack"/>
      <w:bookmarkEnd w:id="60"/>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为提升公司档案室的空间利用效率和档案管理现代化水平，</w:t>
      </w:r>
      <w:r>
        <w:rPr>
          <w:rFonts w:hint="eastAsia" w:ascii="仿宋" w:hAnsi="仿宋" w:eastAsia="仿宋"/>
          <w:sz w:val="32"/>
          <w:szCs w:val="32"/>
          <w:highlight w:val="none"/>
        </w:rPr>
        <w:t>拟采购公司档案室手动密集架及气体灭</w:t>
      </w:r>
      <w:r>
        <w:rPr>
          <w:rFonts w:hint="eastAsia" w:ascii="仿宋" w:hAnsi="仿宋" w:eastAsia="仿宋"/>
          <w:sz w:val="32"/>
          <w:szCs w:val="32"/>
          <w:highlight w:val="none"/>
          <w:lang w:val="en-US" w:eastAsia="zh-CN"/>
        </w:rPr>
        <w:t>火装置</w:t>
      </w:r>
      <w:r>
        <w:rPr>
          <w:rFonts w:hint="eastAsia" w:ascii="仿宋" w:hAnsi="仿宋" w:eastAsia="仿宋"/>
          <w:sz w:val="32"/>
          <w:szCs w:val="32"/>
          <w:highlight w:val="none"/>
        </w:rPr>
        <w:t>，现将相关情况介绍如下：</w:t>
      </w:r>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1"/>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东莞市海心沙资源综合利用中心环保热电厂档案室手动密集架及气体灭火装置</w:t>
      </w:r>
      <w:r>
        <w:rPr>
          <w:rFonts w:hint="eastAsia" w:eastAsia="仿宋"/>
          <w:sz w:val="32"/>
          <w:szCs w:val="32"/>
          <w:highlight w:val="none"/>
          <w:lang w:val="en-US" w:eastAsia="zh-CN"/>
        </w:rPr>
        <w:t>采购</w:t>
      </w:r>
      <w:r>
        <w:rPr>
          <w:rFonts w:hint="eastAsia" w:eastAsia="仿宋"/>
          <w:sz w:val="32"/>
          <w:szCs w:val="32"/>
          <w:highlight w:val="none"/>
          <w:lang w:eastAsia="zh-CN"/>
        </w:rPr>
        <w:t>项目</w:t>
      </w:r>
    </w:p>
    <w:p w14:paraId="39358250">
      <w:pPr>
        <w:pStyle w:val="31"/>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本项目的货物、</w:t>
      </w:r>
      <w:r>
        <w:rPr>
          <w:rFonts w:eastAsia="仿宋"/>
          <w:sz w:val="32"/>
          <w:szCs w:val="32"/>
          <w:highlight w:val="none"/>
        </w:rPr>
        <w:t>包装、保管、供货、运输、</w:t>
      </w:r>
      <w:r>
        <w:rPr>
          <w:rFonts w:hint="eastAsia" w:eastAsia="仿宋"/>
          <w:sz w:val="32"/>
          <w:szCs w:val="32"/>
          <w:highlight w:val="none"/>
          <w:lang w:val="en-US" w:eastAsia="zh-CN"/>
        </w:rPr>
        <w:t>安装、</w:t>
      </w:r>
      <w:r>
        <w:rPr>
          <w:rFonts w:eastAsia="仿宋"/>
          <w:sz w:val="32"/>
          <w:szCs w:val="32"/>
          <w:highlight w:val="none"/>
        </w:rPr>
        <w:t>提供技术资料、质量保证及售后服务等内容。</w:t>
      </w: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网站（http://www.dshuanbao.com.cn/）发布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36BC1440">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eastAsia="zh-CN"/>
        </w:rPr>
        <w:t>响应人</w:t>
      </w:r>
      <w:r>
        <w:rPr>
          <w:rFonts w:ascii="仿宋" w:hAnsi="仿宋" w:eastAsia="仿宋"/>
          <w:sz w:val="32"/>
          <w:szCs w:val="32"/>
          <w:highlight w:val="none"/>
        </w:rPr>
        <w:t>必须是具有独立承担民事责任能力的企业或事业单位法人或其它组织。</w:t>
      </w:r>
      <w:r>
        <w:rPr>
          <w:rFonts w:hint="eastAsia" w:ascii="仿宋" w:hAnsi="仿宋" w:eastAsia="仿宋"/>
          <w:sz w:val="32"/>
          <w:szCs w:val="32"/>
          <w:highlight w:val="none"/>
          <w:lang w:eastAsia="zh-CN"/>
        </w:rPr>
        <w:t>【</w:t>
      </w:r>
      <w:r>
        <w:rPr>
          <w:rFonts w:ascii="仿宋" w:hAnsi="仿宋" w:eastAsia="仿宋"/>
          <w:sz w:val="32"/>
          <w:szCs w:val="32"/>
          <w:highlight w:val="none"/>
        </w:rPr>
        <w:t>提供《营业执照》复印件（加盖公章）或《事业单位法人证书》复印件（加盖公章）或其他主体证书复印件（加盖公章）</w:t>
      </w:r>
      <w:r>
        <w:rPr>
          <w:rFonts w:hint="eastAsia" w:ascii="仿宋" w:hAnsi="仿宋" w:eastAsia="仿宋"/>
          <w:sz w:val="32"/>
          <w:szCs w:val="32"/>
          <w:highlight w:val="none"/>
          <w:lang w:eastAsia="zh-CN"/>
        </w:rPr>
        <w:t>】</w:t>
      </w:r>
    </w:p>
    <w:p w14:paraId="14FE0FB8">
      <w:pPr>
        <w:spacing w:line="36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必须具有20</w:t>
      </w:r>
      <w:r>
        <w:rPr>
          <w:rFonts w:hint="eastAsia" w:ascii="仿宋" w:hAnsi="仿宋" w:eastAsia="仿宋"/>
          <w:sz w:val="32"/>
          <w:szCs w:val="32"/>
          <w:highlight w:val="none"/>
          <w:lang w:val="en-US" w:eastAsia="zh-CN"/>
        </w:rPr>
        <w:t>23年1月1日</w:t>
      </w:r>
      <w:r>
        <w:rPr>
          <w:rFonts w:hint="eastAsia" w:ascii="仿宋" w:hAnsi="仿宋" w:eastAsia="仿宋"/>
          <w:sz w:val="32"/>
          <w:szCs w:val="32"/>
          <w:highlight w:val="none"/>
        </w:rPr>
        <w:t>起至今</w:t>
      </w:r>
      <w:r>
        <w:rPr>
          <w:rFonts w:hint="eastAsia" w:ascii="仿宋" w:hAnsi="仿宋" w:eastAsia="仿宋"/>
          <w:sz w:val="32"/>
          <w:szCs w:val="32"/>
          <w:highlight w:val="none"/>
          <w:lang w:val="en-US" w:eastAsia="zh-CN"/>
        </w:rPr>
        <w:t>类似项目</w:t>
      </w:r>
      <w:r>
        <w:rPr>
          <w:rFonts w:hint="eastAsia" w:ascii="仿宋" w:hAnsi="仿宋" w:eastAsia="仿宋"/>
          <w:sz w:val="32"/>
          <w:szCs w:val="32"/>
          <w:highlight w:val="none"/>
        </w:rPr>
        <w:t>供货</w:t>
      </w:r>
      <w:r>
        <w:rPr>
          <w:rFonts w:hint="eastAsia" w:ascii="仿宋" w:hAnsi="仿宋" w:eastAsia="仿宋"/>
          <w:sz w:val="32"/>
          <w:szCs w:val="32"/>
          <w:highlight w:val="none"/>
          <w:lang w:val="en-US" w:eastAsia="zh-CN"/>
        </w:rPr>
        <w:t>及安装</w:t>
      </w:r>
      <w:r>
        <w:rPr>
          <w:rFonts w:hint="eastAsia" w:ascii="仿宋" w:hAnsi="仿宋" w:eastAsia="仿宋"/>
          <w:sz w:val="32"/>
          <w:szCs w:val="32"/>
          <w:highlight w:val="none"/>
        </w:rPr>
        <w:t>的经验</w:t>
      </w:r>
      <w:r>
        <w:rPr>
          <w:rFonts w:hint="eastAsia" w:ascii="仿宋" w:hAnsi="仿宋" w:eastAsia="仿宋"/>
          <w:sz w:val="32"/>
          <w:szCs w:val="32"/>
          <w:highlight w:val="none"/>
          <w:lang w:eastAsia="zh-CN"/>
        </w:rPr>
        <w:t>。【按合同签订时间为准，须提供合同关键页复印件（包含但不限于合同首页、合同金额页、合同签字页等）、对应业绩项目合同期内任意一期已开具的发票</w:t>
      </w:r>
      <w:r>
        <w:rPr>
          <w:rFonts w:hint="eastAsia" w:ascii="仿宋" w:hAnsi="仿宋" w:eastAsia="仿宋"/>
          <w:sz w:val="32"/>
          <w:szCs w:val="32"/>
          <w:highlight w:val="none"/>
          <w:lang w:val="en-US" w:eastAsia="zh-CN"/>
        </w:rPr>
        <w:t>证明材料</w:t>
      </w:r>
      <w:r>
        <w:rPr>
          <w:rFonts w:hint="eastAsia" w:ascii="仿宋" w:hAnsi="仿宋" w:eastAsia="仿宋"/>
          <w:sz w:val="32"/>
          <w:szCs w:val="32"/>
          <w:highlight w:val="none"/>
          <w:lang w:eastAsia="zh-CN"/>
        </w:rPr>
        <w:t>加盖公章】</w:t>
      </w:r>
    </w:p>
    <w:p w14:paraId="79BF7637">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3、响应人对</w:t>
      </w:r>
      <w:r>
        <w:rPr>
          <w:rFonts w:hint="eastAsia" w:ascii="Times New Roman" w:hAnsi="Times New Roman" w:eastAsia="仿宋_GB2312"/>
          <w:sz w:val="32"/>
          <w:szCs w:val="32"/>
        </w:rPr>
        <w:t>气体灭火装置</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安装需具有消防设施工程专业承包资质或委托有资质的单位实施</w:t>
      </w:r>
      <w:r>
        <w:rPr>
          <w:rFonts w:hint="eastAsia" w:ascii="Times New Roman" w:hAnsi="Times New Roman" w:eastAsia="仿宋_GB2312"/>
          <w:sz w:val="32"/>
          <w:szCs w:val="32"/>
          <w:lang w:eastAsia="zh-CN"/>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①如响应人具有</w:t>
      </w:r>
      <w:r>
        <w:rPr>
          <w:rFonts w:hint="eastAsia" w:ascii="Times New Roman" w:hAnsi="Times New Roman" w:eastAsia="仿宋_GB2312"/>
          <w:sz w:val="32"/>
          <w:szCs w:val="32"/>
        </w:rPr>
        <w:t>消防设施工程专业承包资质</w:t>
      </w:r>
      <w:r>
        <w:rPr>
          <w:rFonts w:hint="eastAsia" w:eastAsia="仿宋_GB2312"/>
          <w:sz w:val="32"/>
          <w:szCs w:val="32"/>
          <w:lang w:eastAsia="zh-CN"/>
        </w:rPr>
        <w:t>，</w:t>
      </w:r>
      <w:r>
        <w:rPr>
          <w:rFonts w:hint="eastAsia" w:eastAsia="仿宋_GB2312"/>
          <w:sz w:val="32"/>
          <w:szCs w:val="32"/>
          <w:lang w:val="en-US" w:eastAsia="zh-CN"/>
        </w:rPr>
        <w:t>须</w:t>
      </w:r>
      <w:r>
        <w:rPr>
          <w:rFonts w:hint="eastAsia" w:ascii="Times New Roman" w:hAnsi="Times New Roman" w:eastAsia="仿宋_GB2312"/>
          <w:sz w:val="32"/>
          <w:szCs w:val="32"/>
        </w:rPr>
        <w:t>提供</w:t>
      </w:r>
      <w:r>
        <w:rPr>
          <w:rFonts w:hint="eastAsia" w:eastAsia="仿宋_GB2312"/>
          <w:sz w:val="32"/>
          <w:szCs w:val="32"/>
          <w:lang w:val="en-US" w:eastAsia="zh-CN"/>
        </w:rPr>
        <w:t>响应人</w:t>
      </w:r>
      <w:r>
        <w:rPr>
          <w:rFonts w:hint="eastAsia" w:ascii="Times New Roman" w:hAnsi="Times New Roman" w:eastAsia="仿宋_GB2312"/>
          <w:sz w:val="32"/>
          <w:szCs w:val="32"/>
        </w:rPr>
        <w:t>相关资质证书</w:t>
      </w:r>
      <w:r>
        <w:rPr>
          <w:rFonts w:hint="eastAsia" w:eastAsia="仿宋_GB2312"/>
          <w:sz w:val="32"/>
          <w:szCs w:val="32"/>
          <w:lang w:val="en-US" w:eastAsia="zh-CN"/>
        </w:rPr>
        <w:t>复印件并加盖公章；②如响应人不具备上述资质，须提供</w:t>
      </w:r>
      <w:r>
        <w:rPr>
          <w:rFonts w:hint="eastAsia" w:ascii="Times New Roman" w:hAnsi="Times New Roman" w:eastAsia="仿宋_GB2312"/>
          <w:sz w:val="32"/>
          <w:szCs w:val="32"/>
        </w:rPr>
        <w:t>委托有资质的单位实施气体灭火装置安装</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承诺函</w:t>
      </w:r>
      <w:r>
        <w:rPr>
          <w:rFonts w:hint="eastAsia" w:ascii="仿宋" w:hAnsi="仿宋" w:eastAsia="仿宋"/>
          <w:sz w:val="32"/>
          <w:szCs w:val="32"/>
          <w:highlight w:val="none"/>
          <w:lang w:eastAsia="zh-CN"/>
        </w:rPr>
        <w:t>】</w:t>
      </w:r>
    </w:p>
    <w:p w14:paraId="148D0DC6">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4、响应人须提供报价截止日前6个月内任意1个月依法缴纳税收及无欠税的证明材料。如依法免税的，须提供相</w:t>
      </w:r>
    </w:p>
    <w:p w14:paraId="30EF0DD3">
      <w:pPr>
        <w:pStyle w:val="6"/>
        <w:rPr>
          <w:rFonts w:hint="default"/>
          <w:lang w:val="en-US" w:eastAsia="zh-CN"/>
        </w:rPr>
      </w:pPr>
      <w:r>
        <w:rPr>
          <w:rFonts w:hint="eastAsia" w:ascii="仿宋" w:hAnsi="仿宋" w:eastAsia="仿宋"/>
          <w:sz w:val="32"/>
          <w:szCs w:val="32"/>
          <w:highlight w:val="none"/>
          <w:lang w:val="en-US" w:eastAsia="zh-CN"/>
        </w:rPr>
        <w:t>应证明材料。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证明材料须加盖公章</w:t>
      </w:r>
      <w:r>
        <w:rPr>
          <w:rFonts w:hint="eastAsia" w:ascii="仿宋" w:hAnsi="仿宋" w:eastAsia="仿宋"/>
          <w:sz w:val="32"/>
          <w:szCs w:val="32"/>
          <w:highlight w:val="none"/>
          <w:lang w:eastAsia="zh-CN"/>
        </w:rPr>
        <w:t>】</w:t>
      </w:r>
    </w:p>
    <w:p w14:paraId="6A9998DF">
      <w:pPr>
        <w:spacing w:before="156"/>
        <w:ind w:firstLine="627" w:firstLineChars="196"/>
        <w:rPr>
          <w:rFonts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4A1F3EC3">
      <w:pPr>
        <w:pStyle w:val="6"/>
        <w:rPr>
          <w:highlight w:val="none"/>
        </w:rPr>
      </w:pP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w:t>
      </w:r>
      <w:r>
        <w:rPr>
          <w:rFonts w:hint="eastAsia" w:ascii="仿宋" w:hAnsi="仿宋" w:eastAsia="仿宋"/>
          <w:b w:val="0"/>
          <w:bCs w:val="0"/>
          <w:sz w:val="32"/>
          <w:szCs w:val="32"/>
          <w:highlight w:val="none"/>
        </w:rPr>
        <w:t>采购清单</w:t>
      </w:r>
      <w:bookmarkEnd w:id="5"/>
      <w:r>
        <w:rPr>
          <w:rFonts w:hint="eastAsia" w:ascii="仿宋" w:hAnsi="仿宋" w:eastAsia="仿宋"/>
          <w:b w:val="0"/>
          <w:bCs w:val="0"/>
          <w:sz w:val="32"/>
          <w:szCs w:val="32"/>
          <w:highlight w:val="none"/>
        </w:rPr>
        <w:t>及品质要求详见附件八《</w:t>
      </w:r>
      <w:r>
        <w:rPr>
          <w:rFonts w:hint="eastAsia" w:eastAsia="仿宋"/>
          <w:sz w:val="32"/>
          <w:szCs w:val="32"/>
          <w:highlight w:val="none"/>
          <w:lang w:eastAsia="zh-CN"/>
        </w:rPr>
        <w:t>东莞市海心沙资源综合利用中心环保热电厂档案室手动密集架及气体灭火装置</w:t>
      </w:r>
      <w:r>
        <w:rPr>
          <w:rFonts w:hint="eastAsia" w:eastAsia="仿宋"/>
          <w:sz w:val="32"/>
          <w:szCs w:val="32"/>
          <w:highlight w:val="none"/>
          <w:lang w:val="en-US" w:eastAsia="zh-CN"/>
        </w:rPr>
        <w:t>采购</w:t>
      </w:r>
      <w:r>
        <w:rPr>
          <w:rFonts w:hint="eastAsia" w:eastAsia="仿宋"/>
          <w:sz w:val="32"/>
          <w:szCs w:val="32"/>
          <w:highlight w:val="none"/>
          <w:lang w:eastAsia="zh-CN"/>
        </w:rPr>
        <w:t>项目</w:t>
      </w:r>
      <w:r>
        <w:rPr>
          <w:rFonts w:hint="eastAsia" w:eastAsia="仿宋"/>
          <w:sz w:val="32"/>
          <w:szCs w:val="32"/>
          <w:highlight w:val="none"/>
          <w:lang w:val="en-US" w:eastAsia="zh-CN"/>
        </w:rPr>
        <w:t>需求书</w:t>
      </w:r>
      <w:r>
        <w:rPr>
          <w:rFonts w:hint="eastAsia" w:ascii="仿宋" w:hAnsi="仿宋" w:eastAsia="仿宋"/>
          <w:b w:val="0"/>
          <w:bCs w:val="0"/>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所有物资必须符合采购清单内的材质、性能、规格、工艺等要求；且均为合格产品，来源合法。若有品牌要求，</w:t>
      </w:r>
      <w:r>
        <w:rPr>
          <w:rFonts w:hint="eastAsia" w:eastAsia="仿宋_GB2312"/>
          <w:sz w:val="32"/>
          <w:szCs w:val="32"/>
          <w:highlight w:val="none"/>
          <w:lang w:eastAsia="zh-CN"/>
        </w:rPr>
        <w:t>响应人</w:t>
      </w:r>
      <w:r>
        <w:rPr>
          <w:rFonts w:hint="eastAsia" w:eastAsia="仿宋_GB2312"/>
          <w:sz w:val="32"/>
          <w:szCs w:val="32"/>
          <w:highlight w:val="none"/>
        </w:rPr>
        <w:t>须保证所供货物为品牌正品，</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供货前或供货时，采购人有权要求</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出具品牌授权证明材料；</w:t>
      </w:r>
      <w:r>
        <w:rPr>
          <w:rFonts w:hint="eastAsia" w:eastAsia="仿宋_GB2312"/>
          <w:sz w:val="32"/>
          <w:szCs w:val="32"/>
          <w:highlight w:val="none"/>
        </w:rPr>
        <w:t>若无具体品牌要求，在满足规格型号的条件下，可选择国产优质品牌，符合国家或行业标准。</w:t>
      </w:r>
    </w:p>
    <w:p w14:paraId="56AC163B">
      <w:pPr>
        <w:spacing w:line="600" w:lineRule="exact"/>
        <w:ind w:firstLine="640" w:firstLineChars="200"/>
        <w:rPr>
          <w:highlight w:val="none"/>
        </w:rPr>
      </w:pPr>
      <w:r>
        <w:rPr>
          <w:rFonts w:hint="eastAsia" w:eastAsia="仿宋_GB2312"/>
          <w:sz w:val="32"/>
          <w:szCs w:val="32"/>
          <w:highlight w:val="none"/>
        </w:rPr>
        <w:t>（三）货物必须为全新的合格产品，带有出厂凭证，设备型号需符合采购人</w:t>
      </w:r>
      <w:r>
        <w:rPr>
          <w:rFonts w:hint="eastAsia" w:eastAsia="仿宋_GB2312"/>
          <w:b/>
          <w:bCs/>
          <w:sz w:val="32"/>
          <w:szCs w:val="32"/>
          <w:highlight w:val="none"/>
        </w:rPr>
        <w:t>附件八《东莞市海心沙资源综合利用中心环保热电厂档案室手动密集架及气体灭火装置采购项目需求书》</w:t>
      </w:r>
      <w:r>
        <w:rPr>
          <w:rFonts w:hint="eastAsia" w:eastAsia="仿宋_GB2312"/>
          <w:sz w:val="32"/>
          <w:szCs w:val="32"/>
          <w:highlight w:val="none"/>
        </w:rPr>
        <w:t>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rPr>
        <w:t>有义务配合采购人进行货品真伪验证（供货时出具合格有效的出厂证明、合格证、检测证明等相关文件）。</w:t>
      </w:r>
      <w:r>
        <w:rPr>
          <w:rFonts w:hint="eastAsia" w:eastAsia="仿宋_GB2312"/>
          <w:sz w:val="32"/>
          <w:szCs w:val="32"/>
          <w:highlight w:val="none"/>
          <w:lang w:val="en-US" w:eastAsia="zh-CN"/>
        </w:rPr>
        <w:t>成交人</w:t>
      </w:r>
      <w:r>
        <w:rPr>
          <w:rFonts w:hint="eastAsia" w:ascii="Times New Roman" w:hAnsi="Times New Roman" w:eastAsia="仿宋_GB2312" w:cs="Times New Roman"/>
          <w:sz w:val="32"/>
          <w:szCs w:val="32"/>
          <w:highlight w:val="none"/>
        </w:rPr>
        <w:t>严禁提供假冒伪劣、盗版、山寨、仿冒或产权不明等不合格货物，如采购人发现货不对板的、质量与价格严重不相符的情况，将按本项目采购文件、合同等相关文件对成交人进行处罚。</w:t>
      </w:r>
    </w:p>
    <w:p w14:paraId="4CF37EE7">
      <w:pPr>
        <w:spacing w:line="600" w:lineRule="exact"/>
        <w:ind w:firstLine="640" w:firstLineChars="200"/>
        <w:rPr>
          <w:highlight w:val="none"/>
        </w:rPr>
      </w:pPr>
      <w:r>
        <w:rPr>
          <w:rFonts w:hint="eastAsia" w:eastAsia="仿宋_GB2312"/>
          <w:sz w:val="32"/>
          <w:szCs w:val="32"/>
          <w:highlight w:val="none"/>
        </w:rPr>
        <w:t>（四）货物完成供货后自验收合格之日起整体质保5年（质保期内免费维修或更换，包含药剂补充）。</w:t>
      </w:r>
    </w:p>
    <w:p w14:paraId="26708748">
      <w:pPr>
        <w:numPr>
          <w:ilvl w:val="255"/>
          <w:numId w:val="0"/>
        </w:num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（五）如采购人所要求货物品牌对应型号已停产或已更换型号编号，</w:t>
      </w:r>
      <w:r>
        <w:rPr>
          <w:rFonts w:hint="eastAsia" w:eastAsia="仿宋_GB2312"/>
          <w:sz w:val="32"/>
          <w:szCs w:val="32"/>
          <w:highlight w:val="none"/>
          <w:lang w:eastAsia="zh-CN"/>
        </w:rPr>
        <w:t>响应人</w:t>
      </w:r>
      <w:r>
        <w:rPr>
          <w:rFonts w:hint="eastAsia" w:eastAsia="仿宋_GB2312"/>
          <w:sz w:val="32"/>
          <w:szCs w:val="32"/>
          <w:highlight w:val="none"/>
        </w:rPr>
        <w:t>可提供同品牌、同等或更优参数、同材质、满足采购人</w:t>
      </w:r>
      <w:r>
        <w:rPr>
          <w:rFonts w:hint="eastAsia" w:eastAsia="仿宋_GB2312"/>
          <w:sz w:val="32"/>
          <w:szCs w:val="32"/>
          <w:highlight w:val="none"/>
          <w:lang w:val="en-US" w:eastAsia="zh-CN"/>
        </w:rPr>
        <w:t>机械尺寸、</w:t>
      </w:r>
      <w:r>
        <w:rPr>
          <w:rFonts w:hint="eastAsia" w:eastAsia="仿宋_GB2312"/>
          <w:sz w:val="32"/>
          <w:szCs w:val="32"/>
          <w:highlight w:val="none"/>
        </w:rPr>
        <w:t>使用需求</w:t>
      </w:r>
      <w:r>
        <w:rPr>
          <w:rFonts w:hint="eastAsia" w:eastAsia="仿宋_GB2312"/>
          <w:sz w:val="32"/>
          <w:szCs w:val="32"/>
          <w:highlight w:val="none"/>
          <w:lang w:val="en-US" w:eastAsia="zh-CN"/>
        </w:rPr>
        <w:t>及必须匹配采购人原设备、原配件</w:t>
      </w:r>
      <w:r>
        <w:rPr>
          <w:rFonts w:hint="eastAsia" w:eastAsia="仿宋_GB2312"/>
          <w:sz w:val="32"/>
          <w:szCs w:val="32"/>
          <w:highlight w:val="none"/>
        </w:rPr>
        <w:t>的其他型号替代品</w:t>
      </w:r>
      <w:r>
        <w:rPr>
          <w:rFonts w:hint="eastAsia" w:eastAsia="仿宋_GB2312"/>
          <w:sz w:val="32"/>
          <w:szCs w:val="32"/>
          <w:highlight w:val="none"/>
          <w:lang w:eastAsia="zh-CN"/>
        </w:rPr>
        <w:t>。</w:t>
      </w:r>
      <w:r>
        <w:rPr>
          <w:rFonts w:hint="eastAsia" w:eastAsia="仿宋_GB2312"/>
          <w:sz w:val="32"/>
          <w:szCs w:val="32"/>
          <w:highlight w:val="none"/>
          <w:lang w:val="en-US" w:eastAsia="zh-CN"/>
        </w:rPr>
        <w:t>如更新型号</w:t>
      </w:r>
      <w:r>
        <w:rPr>
          <w:rFonts w:hint="eastAsia" w:eastAsia="仿宋_GB2312"/>
          <w:sz w:val="32"/>
          <w:szCs w:val="32"/>
          <w:highlight w:val="none"/>
        </w:rPr>
        <w:t>替代品</w:t>
      </w:r>
      <w:r>
        <w:rPr>
          <w:rFonts w:hint="eastAsia" w:eastAsia="仿宋_GB2312"/>
          <w:sz w:val="32"/>
          <w:szCs w:val="32"/>
          <w:highlight w:val="none"/>
          <w:lang w:val="en-US" w:eastAsia="zh-CN"/>
        </w:rPr>
        <w:t>必须增加其他设备或配件才能匹配采购人原有设备使用的，响应人必须以成套设备作为替代品，</w:t>
      </w:r>
      <w:r>
        <w:rPr>
          <w:rFonts w:hint="eastAsia" w:eastAsia="仿宋_GB2312"/>
          <w:sz w:val="32"/>
          <w:szCs w:val="32"/>
          <w:highlight w:val="none"/>
        </w:rPr>
        <w:t>并备注说明情况。</w:t>
      </w:r>
    </w:p>
    <w:p w14:paraId="50B45960">
      <w:pPr>
        <w:numPr>
          <w:ilvl w:val="255"/>
          <w:numId w:val="0"/>
        </w:numPr>
        <w:spacing w:line="360" w:lineRule="auto"/>
        <w:ind w:firstLine="640" w:firstLineChars="200"/>
        <w:rPr>
          <w:rFonts w:hint="eastAsia" w:eastAsia="仿宋_GB2312"/>
          <w:sz w:val="32"/>
          <w:szCs w:val="32"/>
          <w:highlight w:val="none"/>
          <w:lang w:eastAsia="zh-CN"/>
        </w:rPr>
      </w:pPr>
      <w:r>
        <w:rPr>
          <w:rFonts w:hint="eastAsia" w:eastAsia="仿宋_GB2312"/>
          <w:sz w:val="32"/>
          <w:szCs w:val="32"/>
          <w:highlight w:val="none"/>
        </w:rPr>
        <w:t>采购人有权要求成交人提供</w:t>
      </w:r>
      <w:r>
        <w:rPr>
          <w:rFonts w:hint="eastAsia" w:eastAsia="仿宋_GB2312"/>
          <w:sz w:val="32"/>
          <w:szCs w:val="32"/>
          <w:highlight w:val="none"/>
          <w:lang w:val="en-US" w:eastAsia="zh-CN"/>
        </w:rPr>
        <w:t>上</w:t>
      </w:r>
      <w:r>
        <w:rPr>
          <w:rFonts w:hint="eastAsia" w:eastAsia="仿宋_GB2312"/>
          <w:sz w:val="32"/>
          <w:szCs w:val="32"/>
          <w:highlight w:val="none"/>
        </w:rPr>
        <w:t>述相关佐证资料，如经采购人核实成交人所报货物不符合前述要求的，采购人有权取消成交人成交资格</w:t>
      </w:r>
      <w:r>
        <w:rPr>
          <w:rFonts w:hint="eastAsia" w:eastAsia="仿宋_GB2312"/>
          <w:sz w:val="32"/>
          <w:szCs w:val="32"/>
          <w:highlight w:val="none"/>
          <w:lang w:eastAsia="zh-CN"/>
        </w:rPr>
        <w:t>。</w:t>
      </w:r>
    </w:p>
    <w:p w14:paraId="72AEC523">
      <w:pPr>
        <w:numPr>
          <w:ilvl w:val="255"/>
          <w:numId w:val="0"/>
        </w:numPr>
        <w:spacing w:line="360" w:lineRule="auto"/>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（六）如经采购人核实响应人所报偏离不符合采购人需求及实际运营要求的，采购人有权取消成交人中标资格。</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七）</w:t>
      </w:r>
      <w:r>
        <w:rPr>
          <w:rFonts w:hint="eastAsia" w:ascii="仿宋" w:hAnsi="仿宋" w:eastAsia="仿宋" w:cs="仿宋"/>
          <w:b/>
          <w:bCs/>
          <w:color w:val="000000" w:themeColor="text1"/>
          <w:sz w:val="32"/>
          <w:szCs w:val="32"/>
          <w:lang w:val="en-US" w:eastAsia="zh-CN"/>
          <w14:textFill>
            <w14:solidFill>
              <w14:schemeClr w14:val="tx1"/>
            </w14:solidFill>
          </w14:textFill>
        </w:rPr>
        <w:t>对项目内容或现场踏勘如有疑问，可咨询项目负责人张小姐15019013190。</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43218F2F">
      <w:pPr>
        <w:spacing w:line="276"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自合同签订</w:t>
      </w:r>
      <w:r>
        <w:rPr>
          <w:rFonts w:hint="eastAsia" w:ascii="仿宋" w:hAnsi="仿宋" w:eastAsia="仿宋"/>
          <w:sz w:val="32"/>
          <w:szCs w:val="32"/>
          <w:highlight w:val="none"/>
          <w:lang w:val="en-US" w:eastAsia="zh-CN"/>
        </w:rPr>
        <w:t>之日</w:t>
      </w:r>
      <w:r>
        <w:rPr>
          <w:rFonts w:hint="eastAsia" w:ascii="仿宋" w:hAnsi="仿宋" w:eastAsia="仿宋"/>
          <w:sz w:val="32"/>
          <w:szCs w:val="32"/>
          <w:highlight w:val="none"/>
        </w:rPr>
        <w:t>起30个日历日内完成</w:t>
      </w:r>
      <w:r>
        <w:rPr>
          <w:rFonts w:hint="eastAsia" w:ascii="仿宋" w:hAnsi="仿宋" w:eastAsia="仿宋"/>
          <w:sz w:val="32"/>
          <w:szCs w:val="32"/>
          <w:highlight w:val="none"/>
          <w:lang w:val="en-US" w:eastAsia="zh-CN"/>
        </w:rPr>
        <w:t>本项目</w:t>
      </w:r>
      <w:r>
        <w:rPr>
          <w:rFonts w:hint="eastAsia" w:ascii="仿宋" w:hAnsi="仿宋" w:eastAsia="仿宋"/>
          <w:sz w:val="32"/>
          <w:szCs w:val="32"/>
          <w:highlight w:val="none"/>
        </w:rPr>
        <w:t>供货及安装调试。</w:t>
      </w:r>
    </w:p>
    <w:p w14:paraId="13FD0BF8">
      <w:pPr>
        <w:spacing w:line="360" w:lineRule="auto"/>
        <w:ind w:firstLine="643" w:firstLineChars="200"/>
        <w:outlineLvl w:val="1"/>
        <w:rPr>
          <w:rFonts w:ascii="仿宋" w:hAnsi="仿宋" w:eastAsia="仿宋" w:cs="仿宋"/>
          <w:sz w:val="32"/>
          <w:szCs w:val="32"/>
          <w:highlight w:val="none"/>
        </w:rPr>
      </w:pPr>
      <w:bookmarkStart w:id="8" w:name="_Toc5169_WPSOffice_Level1"/>
      <w:r>
        <w:rPr>
          <w:rFonts w:hint="eastAsia" w:ascii="仿宋" w:hAnsi="仿宋" w:eastAsia="仿宋"/>
          <w:b/>
          <w:bCs/>
          <w:sz w:val="32"/>
          <w:szCs w:val="32"/>
          <w:highlight w:val="none"/>
        </w:rPr>
        <w:t>六、报价保证金</w:t>
      </w:r>
      <w:bookmarkEnd w:id="8"/>
    </w:p>
    <w:p w14:paraId="14EFC9E9">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1、开标结束后，成交人需缴纳中标金额的2%作为报价保证金到采购人银行账户，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5"/>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3F4139C5">
      <w:pPr>
        <w:spacing w:line="360" w:lineRule="auto"/>
        <w:ind w:firstLine="640" w:firstLineChars="200"/>
        <w:outlineLvl w:val="1"/>
        <w:rPr>
          <w:rFonts w:hint="eastAsia" w:ascii="Times New Roman" w:hAnsi="Times New Roman" w:eastAsia="仿宋_GB2312" w:cs="Times New Roman"/>
          <w:color w:val="000000"/>
          <w:sz w:val="32"/>
          <w:szCs w:val="32"/>
          <w:lang w:val="en-US" w:eastAsia="zh-CN"/>
        </w:rPr>
      </w:pPr>
      <w:bookmarkStart w:id="10" w:name="_Hlk63759280"/>
      <w:bookmarkStart w:id="11" w:name="_Hlk57795626"/>
      <w:r>
        <w:rPr>
          <w:rFonts w:hint="eastAsia" w:ascii="Times New Roman" w:hAnsi="Times New Roman" w:eastAsia="仿宋_GB2312" w:cs="Times New Roman"/>
          <w:color w:val="000000"/>
          <w:sz w:val="32"/>
          <w:szCs w:val="32"/>
          <w:lang w:val="en-US" w:eastAsia="zh-CN"/>
        </w:rPr>
        <w:t>合同签订完成后，成交人完成本项目供货和安装调试，并经双方共同验收合格后，成交人提交合同价款100%的增值税专用发票及请款资料，采购人在收到有效资料的三十个日历日内支付至合同价款的95%</w:t>
      </w:r>
    </w:p>
    <w:p w14:paraId="3981E605">
      <w:pPr>
        <w:spacing w:line="360" w:lineRule="auto"/>
        <w:ind w:firstLine="640" w:firstLineChars="200"/>
        <w:outlineLvl w:val="1"/>
        <w:rPr>
          <w:rFonts w:hint="default" w:ascii="仿宋" w:hAnsi="仿宋" w:eastAsia="仿宋"/>
          <w:sz w:val="32"/>
          <w:szCs w:val="32"/>
          <w:highlight w:val="none"/>
          <w:lang w:val="en-US" w:eastAsia="zh-CN"/>
        </w:rPr>
      </w:pPr>
      <w:r>
        <w:rPr>
          <w:rFonts w:hint="eastAsia" w:eastAsia="仿宋_GB2312"/>
          <w:color w:val="000000"/>
          <w:sz w:val="32"/>
          <w:szCs w:val="32"/>
        </w:rPr>
        <w:t>剩余合同总价的5%为质保金，质保期满后，</w:t>
      </w:r>
      <w:r>
        <w:rPr>
          <w:rFonts w:hint="eastAsia" w:eastAsia="仿宋_GB2312"/>
          <w:color w:val="000000"/>
          <w:sz w:val="32"/>
          <w:szCs w:val="32"/>
          <w:lang w:val="en-US" w:eastAsia="zh-CN"/>
        </w:rPr>
        <w:t>响应人</w:t>
      </w:r>
      <w:r>
        <w:rPr>
          <w:rFonts w:hint="eastAsia" w:eastAsia="仿宋_GB2312"/>
          <w:color w:val="000000"/>
          <w:sz w:val="32"/>
          <w:szCs w:val="32"/>
        </w:rPr>
        <w:t>提交请款资料，</w:t>
      </w:r>
      <w:r>
        <w:rPr>
          <w:rFonts w:hint="eastAsia" w:eastAsia="仿宋_GB2312"/>
          <w:color w:val="000000"/>
          <w:sz w:val="32"/>
          <w:szCs w:val="32"/>
          <w:lang w:val="en-US" w:eastAsia="zh-CN"/>
        </w:rPr>
        <w:t>采购人</w:t>
      </w:r>
      <w:r>
        <w:rPr>
          <w:rFonts w:hint="eastAsia" w:eastAsia="仿宋_GB2312"/>
          <w:color w:val="000000"/>
          <w:sz w:val="32"/>
          <w:szCs w:val="32"/>
        </w:rPr>
        <w:t>在收到有效资料的三十个日历日内完成支付。</w:t>
      </w:r>
    </w:p>
    <w:bookmarkEnd w:id="10"/>
    <w:bookmarkEnd w:id="11"/>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3668D592">
      <w:pPr>
        <w:spacing w:before="156" w:line="600" w:lineRule="exact"/>
        <w:ind w:firstLine="640" w:firstLineChars="200"/>
        <w:rPr>
          <w:rFonts w:hint="eastAsia" w:ascii="仿宋" w:hAnsi="仿宋" w:eastAsia="仿宋_GB2312"/>
          <w:b/>
          <w:bCs/>
          <w:sz w:val="32"/>
          <w:szCs w:val="32"/>
          <w:highlight w:val="none"/>
          <w:lang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98,722.00</w:t>
      </w:r>
      <w:r>
        <w:rPr>
          <w:rFonts w:hint="eastAsia" w:eastAsia="仿宋_GB2312"/>
          <w:color w:val="000000"/>
          <w:sz w:val="32"/>
          <w:szCs w:val="32"/>
        </w:rPr>
        <w:t>元</w:t>
      </w:r>
      <w:r>
        <w:rPr>
          <w:rFonts w:hint="eastAsia" w:eastAsia="仿宋_GB2312"/>
          <w:color w:val="000000"/>
          <w:sz w:val="32"/>
          <w:szCs w:val="32"/>
          <w:lang w:eastAsia="zh-CN"/>
        </w:rPr>
        <w:t>，其中:手动密集架</w:t>
      </w:r>
      <w:r>
        <w:rPr>
          <w:rFonts w:hint="eastAsia" w:eastAsia="仿宋_GB2312"/>
          <w:color w:val="000000"/>
          <w:sz w:val="32"/>
          <w:szCs w:val="32"/>
        </w:rPr>
        <w:t>¥</w:t>
      </w:r>
      <w:r>
        <w:rPr>
          <w:rFonts w:hint="eastAsia" w:eastAsia="仿宋_GB2312"/>
          <w:color w:val="000000"/>
          <w:sz w:val="32"/>
          <w:szCs w:val="32"/>
          <w:lang w:eastAsia="zh-CN"/>
        </w:rPr>
        <w:t>70</w:t>
      </w:r>
      <w:r>
        <w:rPr>
          <w:rFonts w:hint="eastAsia" w:eastAsia="仿宋_GB2312"/>
          <w:color w:val="000000"/>
          <w:sz w:val="32"/>
          <w:szCs w:val="32"/>
          <w:lang w:val="en-US" w:eastAsia="zh-CN"/>
        </w:rPr>
        <w:t>,</w:t>
      </w:r>
      <w:r>
        <w:rPr>
          <w:rFonts w:hint="eastAsia" w:eastAsia="仿宋_GB2312"/>
          <w:color w:val="000000"/>
          <w:sz w:val="32"/>
          <w:szCs w:val="32"/>
          <w:lang w:eastAsia="zh-CN"/>
        </w:rPr>
        <w:t>899</w:t>
      </w:r>
      <w:r>
        <w:rPr>
          <w:rFonts w:hint="eastAsia" w:eastAsia="仿宋_GB2312"/>
          <w:color w:val="000000"/>
          <w:sz w:val="32"/>
          <w:szCs w:val="32"/>
          <w:lang w:val="en-US" w:eastAsia="zh-CN"/>
        </w:rPr>
        <w:t>.00</w:t>
      </w:r>
      <w:r>
        <w:rPr>
          <w:rFonts w:hint="eastAsia" w:eastAsia="仿宋_GB2312"/>
          <w:color w:val="000000"/>
          <w:sz w:val="32"/>
          <w:szCs w:val="32"/>
          <w:lang w:eastAsia="zh-CN"/>
        </w:rPr>
        <w:t>元;气体灭火装置</w:t>
      </w:r>
      <w:r>
        <w:rPr>
          <w:rFonts w:hint="eastAsia" w:eastAsia="仿宋_GB2312"/>
          <w:color w:val="000000"/>
          <w:sz w:val="32"/>
          <w:szCs w:val="32"/>
        </w:rPr>
        <w:t>¥</w:t>
      </w:r>
      <w:r>
        <w:rPr>
          <w:rFonts w:hint="eastAsia" w:eastAsia="仿宋_GB2312"/>
          <w:color w:val="000000"/>
          <w:sz w:val="32"/>
          <w:szCs w:val="32"/>
          <w:lang w:eastAsia="zh-CN"/>
        </w:rPr>
        <w:t>27</w:t>
      </w:r>
      <w:r>
        <w:rPr>
          <w:rFonts w:hint="eastAsia" w:eastAsia="仿宋_GB2312"/>
          <w:color w:val="000000"/>
          <w:sz w:val="32"/>
          <w:szCs w:val="32"/>
          <w:lang w:val="en-US" w:eastAsia="zh-CN"/>
        </w:rPr>
        <w:t>,</w:t>
      </w:r>
      <w:r>
        <w:rPr>
          <w:rFonts w:hint="eastAsia" w:eastAsia="仿宋_GB2312"/>
          <w:color w:val="000000"/>
          <w:sz w:val="32"/>
          <w:szCs w:val="32"/>
          <w:lang w:eastAsia="zh-CN"/>
        </w:rPr>
        <w:t>823</w:t>
      </w:r>
      <w:r>
        <w:rPr>
          <w:rFonts w:hint="eastAsia" w:eastAsia="仿宋_GB2312"/>
          <w:color w:val="000000"/>
          <w:sz w:val="32"/>
          <w:szCs w:val="32"/>
          <w:lang w:val="en-US" w:eastAsia="zh-CN"/>
        </w:rPr>
        <w:t>.00</w:t>
      </w:r>
      <w:r>
        <w:rPr>
          <w:rFonts w:hint="eastAsia" w:eastAsia="仿宋_GB2312"/>
          <w:color w:val="000000"/>
          <w:sz w:val="32"/>
          <w:szCs w:val="32"/>
          <w:lang w:eastAsia="zh-CN"/>
        </w:rPr>
        <w:t>元。</w:t>
      </w:r>
    </w:p>
    <w:p w14:paraId="0DC9BFF6">
      <w:pPr>
        <w:spacing w:before="156"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本项目</w:t>
      </w:r>
      <w:bookmarkStart w:id="12" w:name="_Hlk38315765"/>
      <w:r>
        <w:rPr>
          <w:rFonts w:hint="eastAsia" w:ascii="Times New Roman" w:hAnsi="Times New Roman" w:eastAsia="仿宋_GB2312" w:cs="Times New Roman"/>
          <w:color w:val="000000"/>
          <w:sz w:val="32"/>
          <w:szCs w:val="32"/>
        </w:rPr>
        <w:t>为固定</w:t>
      </w:r>
      <w:r>
        <w:rPr>
          <w:rFonts w:hint="eastAsia" w:ascii="Times New Roman" w:hAnsi="Times New Roman" w:eastAsia="仿宋_GB2312" w:cs="Times New Roman"/>
          <w:color w:val="000000"/>
          <w:sz w:val="32"/>
          <w:szCs w:val="32"/>
          <w:lang w:val="en-US" w:eastAsia="zh-CN"/>
        </w:rPr>
        <w:t>总价</w:t>
      </w:r>
      <w:r>
        <w:rPr>
          <w:rFonts w:hint="eastAsia" w:ascii="Times New Roman" w:hAnsi="Times New Roman" w:eastAsia="仿宋_GB2312" w:cs="Times New Roman"/>
          <w:color w:val="000000"/>
          <w:sz w:val="32"/>
          <w:szCs w:val="32"/>
        </w:rPr>
        <w:t>包干，报价包含货物、税费、人工费、装卸费、运费、</w:t>
      </w:r>
      <w:r>
        <w:rPr>
          <w:rFonts w:hint="eastAsia" w:ascii="Times New Roman" w:hAnsi="Times New Roman" w:eastAsia="仿宋_GB2312" w:cs="Times New Roman"/>
          <w:color w:val="000000"/>
          <w:sz w:val="32"/>
          <w:szCs w:val="32"/>
          <w:lang w:val="en-US" w:eastAsia="zh-CN"/>
        </w:rPr>
        <w:t>安装费、</w:t>
      </w:r>
      <w:r>
        <w:rPr>
          <w:rFonts w:hint="eastAsia" w:ascii="Times New Roman" w:hAnsi="Times New Roman" w:eastAsia="仿宋_GB2312" w:cs="Times New Roman"/>
          <w:color w:val="000000"/>
          <w:sz w:val="32"/>
          <w:szCs w:val="32"/>
        </w:rPr>
        <w:t>服务费等一切为满足项目实施可能产生的费用。</w:t>
      </w:r>
      <w:bookmarkEnd w:id="12"/>
      <w:r>
        <w:rPr>
          <w:rFonts w:hint="eastAsia" w:ascii="Times New Roman" w:hAnsi="Times New Roman" w:eastAsia="仿宋_GB2312" w:cs="Times New Roman"/>
          <w:color w:val="000000"/>
          <w:sz w:val="32"/>
          <w:szCs w:val="32"/>
        </w:rPr>
        <w:t>报价人所报价格不得高于采购限价。</w:t>
      </w:r>
    </w:p>
    <w:p w14:paraId="1FF2516E">
      <w:pPr>
        <w:spacing w:line="360" w:lineRule="auto"/>
        <w:ind w:firstLine="643" w:firstLineChars="200"/>
        <w:outlineLvl w:val="1"/>
        <w:rPr>
          <w:rFonts w:ascii="仿宋" w:hAnsi="仿宋" w:eastAsia="仿宋"/>
          <w:b/>
          <w:bCs/>
          <w:sz w:val="32"/>
          <w:szCs w:val="32"/>
          <w:highlight w:val="none"/>
        </w:rPr>
      </w:pPr>
      <w:bookmarkStart w:id="13" w:name="_Toc6431_WPSOffice_Level1"/>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3"/>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开标结束后由我司招标成本部将相关询价情况报我司招标采购工作小组审定，由我司招标采购工作小组定标。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bookmarkStart w:id="14" w:name="_Toc17260_WPSOffice_Level1"/>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4"/>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val="en-US"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val="en-US" w:eastAsia="zh-CN"/>
        </w:rPr>
        <w:t>响应</w:t>
      </w:r>
      <w:r>
        <w:rPr>
          <w:rFonts w:ascii="仿宋" w:hAnsi="仿宋" w:eastAsia="仿宋"/>
          <w:b/>
          <w:bCs/>
          <w:sz w:val="32"/>
          <w:szCs w:val="32"/>
          <w:highlight w:val="none"/>
        </w:rPr>
        <w:t>文件的组成部分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本项资料如有不全，则作无效</w:t>
      </w:r>
      <w:r>
        <w:rPr>
          <w:rFonts w:hint="eastAsia" w:ascii="仿宋" w:hAnsi="仿宋" w:eastAsia="仿宋"/>
          <w:b/>
          <w:bCs/>
          <w:sz w:val="32"/>
          <w:szCs w:val="32"/>
          <w:highlight w:val="none"/>
          <w:lang w:val="en-US" w:eastAsia="zh-CN"/>
        </w:rPr>
        <w:t>报价</w:t>
      </w:r>
      <w:r>
        <w:rPr>
          <w:rFonts w:hint="eastAsia" w:ascii="仿宋" w:hAnsi="仿宋" w:eastAsia="仿宋"/>
          <w:b/>
          <w:bCs/>
          <w:sz w:val="32"/>
          <w:szCs w:val="32"/>
          <w:highlight w:val="none"/>
        </w:rPr>
        <w:t>处理）</w:t>
      </w:r>
    </w:p>
    <w:p w14:paraId="68470619">
      <w:pPr>
        <w:numPr>
          <w:ilvl w:val="0"/>
          <w:numId w:val="1"/>
        </w:numPr>
        <w:spacing w:line="360" w:lineRule="auto"/>
        <w:ind w:left="-10" w:leftChars="0" w:firstLine="640" w:firstLineChars="0"/>
        <w:outlineLvl w:val="1"/>
        <w:rPr>
          <w:rFonts w:ascii="仿宋" w:hAnsi="仿宋" w:eastAsia="仿宋"/>
          <w:sz w:val="32"/>
          <w:szCs w:val="32"/>
          <w:highlight w:val="none"/>
        </w:rPr>
      </w:pPr>
      <w:bookmarkStart w:id="15"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5"/>
    </w:p>
    <w:p w14:paraId="0599D299">
      <w:pPr>
        <w:spacing w:line="360" w:lineRule="auto"/>
        <w:ind w:firstLine="640" w:firstLineChars="200"/>
        <w:outlineLvl w:val="1"/>
        <w:rPr>
          <w:rFonts w:ascii="仿宋" w:hAnsi="仿宋" w:eastAsia="仿宋"/>
          <w:sz w:val="32"/>
          <w:szCs w:val="32"/>
          <w:highlight w:val="none"/>
        </w:rPr>
      </w:pPr>
      <w:bookmarkStart w:id="16"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7936618E">
      <w:pPr>
        <w:spacing w:line="360" w:lineRule="auto"/>
        <w:ind w:firstLine="640" w:firstLineChars="200"/>
        <w:outlineLvl w:val="1"/>
        <w:rPr>
          <w:rFonts w:ascii="仿宋" w:hAnsi="仿宋" w:eastAsia="仿宋"/>
          <w:sz w:val="32"/>
          <w:szCs w:val="32"/>
          <w:highlight w:val="none"/>
        </w:rPr>
      </w:pPr>
      <w:bookmarkStart w:id="17"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并加盖公章（法定代表人本人参加</w:t>
      </w:r>
      <w:r>
        <w:rPr>
          <w:rFonts w:hint="eastAsia" w:eastAsia="仿宋_GB2312"/>
          <w:color w:val="000000" w:themeColor="text1"/>
          <w:sz w:val="32"/>
          <w:szCs w:val="32"/>
          <w:highlight w:val="none"/>
          <w:lang w:val="en-US" w:eastAsia="zh-CN"/>
          <w14:textFill>
            <w14:solidFill>
              <w14:schemeClr w14:val="tx1"/>
            </w14:solidFill>
          </w14:textFill>
        </w:rPr>
        <w:t>报价</w:t>
      </w:r>
      <w:r>
        <w:rPr>
          <w:rFonts w:hint="eastAsia" w:eastAsia="仿宋_GB2312"/>
          <w:color w:val="000000" w:themeColor="text1"/>
          <w:sz w:val="32"/>
          <w:szCs w:val="32"/>
          <w:highlight w:val="none"/>
          <w14:textFill>
            <w14:solidFill>
              <w14:schemeClr w14:val="tx1"/>
            </w14:solidFill>
          </w14:textFill>
        </w:rPr>
        <w:t>活动不需提供）</w:t>
      </w:r>
      <w:r>
        <w:rPr>
          <w:rFonts w:ascii="仿宋" w:hAnsi="仿宋" w:eastAsia="仿宋"/>
          <w:sz w:val="32"/>
          <w:szCs w:val="32"/>
          <w:highlight w:val="none"/>
        </w:rPr>
        <w:t>；</w:t>
      </w:r>
      <w:bookmarkEnd w:id="17"/>
    </w:p>
    <w:p w14:paraId="326DD7D9">
      <w:pPr>
        <w:spacing w:line="360" w:lineRule="auto"/>
        <w:ind w:firstLine="640" w:firstLineChars="200"/>
        <w:outlineLvl w:val="1"/>
        <w:rPr>
          <w:rFonts w:ascii="仿宋" w:hAnsi="仿宋" w:eastAsia="仿宋"/>
          <w:sz w:val="32"/>
          <w:szCs w:val="32"/>
          <w:highlight w:val="none"/>
        </w:rPr>
      </w:pPr>
      <w:bookmarkStart w:id="18" w:name="_Toc5169_WPSOffice_Level2"/>
      <w:r>
        <w:rPr>
          <w:rFonts w:ascii="仿宋" w:hAnsi="仿宋" w:eastAsia="仿宋"/>
          <w:sz w:val="32"/>
          <w:szCs w:val="32"/>
          <w:highlight w:val="none"/>
        </w:rPr>
        <w:t>4、</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8"/>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31F5041B">
      <w:pPr>
        <w:pStyle w:val="15"/>
        <w:spacing w:after="0"/>
        <w:ind w:left="0" w:leftChars="0" w:firstLine="0" w:firstLineChars="0"/>
        <w:rPr>
          <w:rFonts w:hint="eastAsia" w:eastAsia="仿宋_GB2312"/>
          <w:lang w:val="en-US" w:eastAsia="zh-CN"/>
        </w:rPr>
      </w:pPr>
      <w:r>
        <w:rPr>
          <w:rFonts w:hint="eastAsia" w:eastAsia="仿宋"/>
          <w:lang w:val="en-US" w:eastAsia="zh-CN"/>
        </w:rPr>
        <w:t xml:space="preserve">     </w:t>
      </w:r>
      <w:r>
        <w:rPr>
          <w:rFonts w:hint="eastAsia" w:ascii="仿宋" w:hAnsi="仿宋" w:eastAsia="仿宋" w:cs="仿宋"/>
          <w:sz w:val="32"/>
          <w:szCs w:val="32"/>
          <w:lang w:val="en-US" w:eastAsia="zh-CN"/>
        </w:rPr>
        <w:t xml:space="preserve"> 6、</w:t>
      </w:r>
      <w:r>
        <w:rPr>
          <w:rFonts w:hint="eastAsia" w:ascii="仿宋" w:hAnsi="仿宋" w:eastAsia="仿宋"/>
          <w:sz w:val="32"/>
          <w:szCs w:val="32"/>
          <w:highlight w:val="none"/>
          <w:lang w:val="en-US" w:eastAsia="zh-CN"/>
        </w:rPr>
        <w:t>响应人</w:t>
      </w:r>
      <w:r>
        <w:rPr>
          <w:rFonts w:hint="eastAsia" w:ascii="Times New Roman" w:hAnsi="Times New Roman" w:eastAsia="仿宋_GB2312"/>
          <w:sz w:val="32"/>
          <w:szCs w:val="32"/>
        </w:rPr>
        <w:t>具有</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消防设施工程专业承包资质或</w:t>
      </w:r>
      <w:r>
        <w:rPr>
          <w:rFonts w:hint="eastAsia" w:ascii="Times New Roman" w:hAnsi="Times New Roman" w:eastAsia="仿宋_GB2312"/>
          <w:sz w:val="32"/>
          <w:szCs w:val="32"/>
          <w:lang w:val="en-US" w:eastAsia="zh-CN"/>
        </w:rPr>
        <w:t>委托</w:t>
      </w:r>
      <w:r>
        <w:rPr>
          <w:rFonts w:hint="eastAsia" w:ascii="Times New Roman" w:hAnsi="Times New Roman" w:eastAsia="仿宋_GB2312"/>
          <w:sz w:val="32"/>
          <w:szCs w:val="32"/>
        </w:rPr>
        <w:t>有</w:t>
      </w:r>
      <w:r>
        <w:rPr>
          <w:rFonts w:hint="eastAsia" w:ascii="Times New Roman" w:hAnsi="Times New Roman" w:eastAsia="仿宋_GB2312"/>
          <w:sz w:val="32"/>
          <w:szCs w:val="32"/>
          <w:lang w:val="en-US" w:eastAsia="zh-CN"/>
        </w:rPr>
        <w:t>该</w:t>
      </w:r>
      <w:r>
        <w:rPr>
          <w:rFonts w:hint="eastAsia" w:ascii="Times New Roman" w:hAnsi="Times New Roman" w:eastAsia="仿宋_GB2312"/>
          <w:sz w:val="32"/>
          <w:szCs w:val="32"/>
        </w:rPr>
        <w:t>资质的单位实施</w:t>
      </w:r>
      <w:r>
        <w:rPr>
          <w:rFonts w:hint="eastAsia" w:ascii="Times New Roman" w:hAnsi="Times New Roman" w:eastAsia="仿宋_GB2312"/>
          <w:sz w:val="32"/>
          <w:szCs w:val="32"/>
          <w:lang w:val="en-US" w:eastAsia="zh-CN"/>
        </w:rPr>
        <w:t>本项目的承诺函</w:t>
      </w:r>
      <w:r>
        <w:rPr>
          <w:rFonts w:hint="eastAsia" w:ascii="Times New Roman" w:hAnsi="Times New Roman" w:eastAsia="仿宋_GB2312"/>
          <w:sz w:val="32"/>
          <w:szCs w:val="32"/>
          <w:lang w:eastAsia="zh-CN"/>
        </w:rPr>
        <w:t>。（</w:t>
      </w:r>
      <w:r>
        <w:rPr>
          <w:rFonts w:hint="eastAsia" w:ascii="仿宋" w:hAnsi="仿宋" w:eastAsia="仿宋"/>
          <w:sz w:val="32"/>
          <w:szCs w:val="32"/>
          <w:highlight w:val="none"/>
        </w:rPr>
        <w:t>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r>
        <w:rPr>
          <w:rFonts w:hint="eastAsia" w:ascii="Times New Roman" w:hAnsi="Times New Roman" w:eastAsia="仿宋_GB2312"/>
          <w:sz w:val="32"/>
          <w:szCs w:val="32"/>
          <w:lang w:eastAsia="zh-CN"/>
        </w:rPr>
        <w:t>）</w:t>
      </w:r>
    </w:p>
    <w:p w14:paraId="614E304C">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7、响应人报价截止日前6个月内任意1个月依法缴纳税收证明材料。如依法免税的，须提供相应证明材料。(证明材料须加盖公章)</w:t>
      </w:r>
    </w:p>
    <w:p w14:paraId="72792A54">
      <w:pPr>
        <w:pStyle w:val="14"/>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8、响应人无欠税证明材料（在全国统一规范电子税务局平台开具，证明材料须加盖公章）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9</w:t>
      </w:r>
      <w:r>
        <w:rPr>
          <w:rFonts w:hint="default" w:ascii="Times New Roman" w:hAnsi="Times New Roman" w:eastAsia="仿宋" w:cs="Times New Roman"/>
          <w:b w:val="0"/>
          <w:bCs w:val="0"/>
          <w:sz w:val="32"/>
          <w:szCs w:val="32"/>
          <w:highlight w:val="none"/>
        </w:rPr>
        <w:t>、</w:t>
      </w:r>
      <w:bookmarkStart w:id="19" w:name="_Toc6431_WPSOffice_Level2"/>
      <w:r>
        <w:rPr>
          <w:rFonts w:hint="default" w:ascii="Times New Roman" w:hAnsi="Times New Roman" w:eastAsia="仿宋" w:cs="Times New Roman"/>
          <w:sz w:val="32"/>
          <w:szCs w:val="32"/>
          <w:highlight w:val="none"/>
        </w:rPr>
        <w:t>本项目询价文件要求或</w:t>
      </w:r>
      <w:r>
        <w:rPr>
          <w:rFonts w:hint="eastAsia" w:eastAsia="仿宋" w:cs="Times New Roman"/>
          <w:sz w:val="32"/>
          <w:szCs w:val="32"/>
          <w:highlight w:val="none"/>
          <w:lang w:val="en-US" w:eastAsia="zh-CN"/>
        </w:rPr>
        <w:t>响应</w:t>
      </w:r>
      <w:r>
        <w:rPr>
          <w:rFonts w:hint="default" w:ascii="Times New Roman" w:hAnsi="Times New Roman" w:eastAsia="仿宋" w:cs="Times New Roman"/>
          <w:sz w:val="32"/>
          <w:szCs w:val="32"/>
          <w:highlight w:val="none"/>
        </w:rPr>
        <w:t>人认为应补充的其他资料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9"/>
    </w:p>
    <w:p w14:paraId="4FCB9CBB">
      <w:pPr>
        <w:spacing w:line="360" w:lineRule="auto"/>
        <w:ind w:firstLine="640" w:firstLineChars="200"/>
        <w:outlineLvl w:val="1"/>
        <w:rPr>
          <w:rFonts w:hint="eastAsia" w:ascii="Times New Roman" w:hAnsi="Times New Roman" w:eastAsia="仿宋" w:cs="Times New Roman"/>
          <w:sz w:val="32"/>
          <w:szCs w:val="32"/>
          <w:highlight w:val="none"/>
        </w:rPr>
      </w:pPr>
      <w:bookmarkStart w:id="20" w:name="_Toc17260_WPSOffice_Level2"/>
      <w:r>
        <w:rPr>
          <w:rFonts w:hint="eastAsia" w:eastAsia="仿宋" w:cs="Times New Roman"/>
          <w:sz w:val="32"/>
          <w:szCs w:val="32"/>
          <w:highlight w:val="none"/>
          <w:lang w:val="en-US" w:eastAsia="zh-CN"/>
        </w:rPr>
        <w:t>10</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响应承诺函</w:t>
      </w:r>
      <w:r>
        <w:rPr>
          <w:rFonts w:hint="eastAsia" w:ascii="Times New Roman" w:hAnsi="Times New Roman" w:eastAsia="仿宋" w:cs="Times New Roman"/>
          <w:sz w:val="32"/>
          <w:szCs w:val="32"/>
          <w:highlight w:val="none"/>
        </w:rPr>
        <w:t>（模板，详见附件</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加盖公章</w:t>
      </w:r>
      <w:r>
        <w:rPr>
          <w:rFonts w:hint="eastAsia" w:ascii="Times New Roman" w:hAnsi="Times New Roman" w:eastAsia="仿宋" w:cs="Times New Roman"/>
          <w:sz w:val="32"/>
          <w:szCs w:val="32"/>
          <w:highlight w:val="none"/>
        </w:rPr>
        <w:t>）</w:t>
      </w:r>
    </w:p>
    <w:p w14:paraId="755CD1FA">
      <w:pPr>
        <w:spacing w:line="360" w:lineRule="auto"/>
        <w:ind w:firstLine="640" w:firstLineChars="200"/>
        <w:outlineLvl w:val="1"/>
        <w:rPr>
          <w:rFonts w:hint="eastAsia" w:ascii="Times New Roman" w:hAnsi="Times New Roman" w:eastAsia="仿宋" w:cs="Times New Roman"/>
          <w:sz w:val="32"/>
          <w:szCs w:val="32"/>
          <w:highlight w:val="none"/>
        </w:rPr>
      </w:pPr>
      <w:r>
        <w:rPr>
          <w:rFonts w:hint="eastAsia" w:ascii="仿宋" w:hAnsi="仿宋" w:eastAsia="仿宋" w:cs="仿宋"/>
          <w:sz w:val="32"/>
          <w:szCs w:val="32"/>
          <w:highlight w:val="none"/>
          <w:lang w:val="en-US" w:eastAsia="zh-CN"/>
        </w:rPr>
        <w:t>11</w:t>
      </w:r>
      <w:r>
        <w:rPr>
          <w:rFonts w:hint="eastAsia"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rPr>
        <w:t>投标人未到场声明（</w:t>
      </w:r>
      <w:r>
        <w:rPr>
          <w:rFonts w:hint="eastAsia" w:ascii="Times New Roman" w:hAnsi="Times New Roman" w:eastAsia="仿宋" w:cs="Times New Roman"/>
          <w:sz w:val="32"/>
          <w:szCs w:val="32"/>
          <w:highlight w:val="none"/>
          <w:lang w:val="en-US" w:eastAsia="zh-CN"/>
        </w:rPr>
        <w:t>未参与现场开标必须提供</w:t>
      </w:r>
      <w:r>
        <w:rPr>
          <w:rFonts w:hint="eastAsia" w:ascii="Times New Roman" w:hAnsi="Times New Roman" w:eastAsia="仿宋" w:cs="Times New Roman"/>
          <w:sz w:val="32"/>
          <w:szCs w:val="32"/>
          <w:highlight w:val="none"/>
        </w:rPr>
        <w:t>，详见附件）</w:t>
      </w:r>
      <w:bookmarkEnd w:id="20"/>
      <w:r>
        <w:rPr>
          <w:rFonts w:hint="eastAsia" w:ascii="Times New Roman" w:hAnsi="Times New Roman" w:eastAsia="仿宋" w:cs="Times New Roman"/>
          <w:sz w:val="32"/>
          <w:szCs w:val="32"/>
          <w:highlight w:val="none"/>
        </w:rPr>
        <w:t>。</w:t>
      </w:r>
    </w:p>
    <w:p w14:paraId="29C451FA">
      <w:pPr>
        <w:spacing w:line="360" w:lineRule="auto"/>
        <w:ind w:firstLine="640" w:firstLineChars="200"/>
        <w:outlineLvl w:val="1"/>
        <w:rPr>
          <w:rFonts w:hint="eastAsia"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响应人</w:t>
      </w:r>
      <w:r>
        <w:rPr>
          <w:rFonts w:hint="eastAsia" w:ascii="Times New Roman" w:hAnsi="Times New Roman" w:eastAsia="仿宋" w:cs="Times New Roman"/>
          <w:sz w:val="32"/>
          <w:szCs w:val="32"/>
          <w:highlight w:val="none"/>
        </w:rPr>
        <w:t>须严格按照采购人提供的表单格式及要求</w:t>
      </w:r>
      <w:r>
        <w:rPr>
          <w:rFonts w:hint="eastAsia" w:ascii="Times New Roman" w:hAnsi="Times New Roman" w:eastAsia="仿宋" w:cs="Times New Roman"/>
          <w:sz w:val="32"/>
          <w:szCs w:val="32"/>
          <w:highlight w:val="none"/>
          <w:lang w:val="en-US" w:eastAsia="zh-CN"/>
        </w:rPr>
        <w:t>报价</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按文件模板要求签字、盖章。</w:t>
      </w:r>
      <w:r>
        <w:rPr>
          <w:rFonts w:hint="eastAsia" w:ascii="Times New Roman" w:hAnsi="Times New Roman" w:eastAsia="仿宋" w:cs="Times New Roman"/>
          <w:sz w:val="32"/>
          <w:szCs w:val="32"/>
          <w:highlight w:val="none"/>
        </w:rPr>
        <w:t>响应文件必须装订或胶装成册，正本必须每页加盖公章，副本可使用正本复印件</w:t>
      </w:r>
      <w:r>
        <w:rPr>
          <w:rFonts w:hint="eastAsia" w:ascii="Times New Roman" w:hAnsi="Times New Roman" w:eastAsia="仿宋" w:cs="Times New Roman"/>
          <w:sz w:val="32"/>
          <w:szCs w:val="32"/>
          <w:highlight w:val="none"/>
          <w:lang w:val="en-US" w:eastAsia="zh-CN"/>
        </w:rPr>
        <w:t>但必须</w:t>
      </w:r>
      <w:r>
        <w:rPr>
          <w:rFonts w:hint="eastAsia" w:ascii="Times New Roman" w:hAnsi="Times New Roman" w:eastAsia="仿宋" w:cs="Times New Roman"/>
          <w:sz w:val="32"/>
          <w:szCs w:val="32"/>
          <w:highlight w:val="none"/>
        </w:rPr>
        <w:t>于封面及骑缝处加盖公章。</w:t>
      </w:r>
    </w:p>
    <w:p w14:paraId="2EC68654">
      <w:pPr>
        <w:pStyle w:val="6"/>
      </w:pPr>
    </w:p>
    <w:p w14:paraId="5AA8AC72">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6"/>
        <w:ind w:firstLine="640" w:firstLineChars="200"/>
        <w:rPr>
          <w:rFonts w:ascii="仿宋" w:hAnsi="仿宋" w:eastAsia="仿宋"/>
          <w:sz w:val="32"/>
          <w:szCs w:val="32"/>
          <w:highlight w:val="none"/>
        </w:rPr>
      </w:pPr>
      <w:bookmarkStart w:id="21" w:name="_Toc406_WPSOffice_Level1"/>
      <w:r>
        <w:rPr>
          <w:rFonts w:hint="eastAsia" w:ascii="仿宋" w:hAnsi="仿宋" w:eastAsia="仿宋"/>
          <w:sz w:val="32"/>
          <w:szCs w:val="32"/>
          <w:highlight w:val="none"/>
        </w:rPr>
        <w:t>1、正本一份、副本一份。</w:t>
      </w:r>
    </w:p>
    <w:p w14:paraId="7F481FCE">
      <w:pPr>
        <w:pStyle w:val="6"/>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w:t>
      </w:r>
      <w:r>
        <w:rPr>
          <w:rFonts w:hint="eastAsia" w:ascii="仿宋" w:hAnsi="仿宋" w:eastAsia="仿宋"/>
          <w:sz w:val="32"/>
          <w:szCs w:val="32"/>
          <w:highlight w:val="none"/>
          <w:lang w:val="en-US" w:eastAsia="zh-CN"/>
        </w:rPr>
        <w:t>正本</w:t>
      </w:r>
      <w:r>
        <w:rPr>
          <w:rFonts w:hint="eastAsia" w:ascii="仿宋" w:hAnsi="仿宋" w:eastAsia="仿宋"/>
          <w:sz w:val="32"/>
          <w:szCs w:val="32"/>
          <w:highlight w:val="none"/>
        </w:rPr>
        <w:t>必须为盖章原件，公章、私章或签字不得为彩色/黑白的打印件/复印件。</w:t>
      </w:r>
    </w:p>
    <w:p w14:paraId="3D6D8669">
      <w:pPr>
        <w:pStyle w:val="6"/>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因未粘贴密封文件袋封面而导致无法辨认采购项目的，对报价造成影响的风险由响应人自行承担。</w:t>
      </w:r>
    </w:p>
    <w:p w14:paraId="7B4985C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响应文件必须密封完好，装有响应文件的文件袋须贴有密封条，于骑缝处加盖企业公章。不得以快递文件袋作为密封。</w:t>
      </w:r>
      <w:r>
        <w:rPr>
          <w:rFonts w:hint="eastAsia" w:ascii="仿宋" w:hAnsi="仿宋" w:eastAsia="仿宋"/>
          <w:sz w:val="32"/>
          <w:szCs w:val="32"/>
          <w:highlight w:val="none"/>
          <w:lang w:val="en-US" w:eastAsia="zh-CN"/>
        </w:rPr>
        <w:t>响应文件未按要求密封（或破损）的，由响应人自行承担由此造成的风险。</w:t>
      </w:r>
    </w:p>
    <w:p w14:paraId="449C1BE6">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21"/>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3</w:t>
      </w:r>
      <w:r>
        <w:rPr>
          <w:rFonts w:ascii="仿宋" w:hAnsi="仿宋" w:eastAsia="仿宋"/>
          <w:sz w:val="32"/>
          <w:szCs w:val="32"/>
          <w:highlight w:val="none"/>
        </w:rPr>
        <w:t>月</w:t>
      </w:r>
      <w:r>
        <w:rPr>
          <w:rFonts w:hint="eastAsia" w:ascii="仿宋" w:hAnsi="仿宋" w:eastAsia="仿宋"/>
          <w:sz w:val="32"/>
          <w:szCs w:val="32"/>
          <w:highlight w:val="none"/>
          <w:lang w:val="en-US" w:eastAsia="zh-CN"/>
        </w:rPr>
        <w:t>24</w:t>
      </w:r>
      <w:r>
        <w:rPr>
          <w:rFonts w:ascii="仿宋" w:hAnsi="仿宋" w:eastAsia="仿宋"/>
          <w:sz w:val="32"/>
          <w:szCs w:val="32"/>
          <w:highlight w:val="none"/>
        </w:rPr>
        <w:t>日（星期</w:t>
      </w:r>
      <w:r>
        <w:rPr>
          <w:rFonts w:hint="eastAsia" w:ascii="仿宋" w:hAnsi="仿宋" w:eastAsia="仿宋"/>
          <w:sz w:val="32"/>
          <w:szCs w:val="32"/>
          <w:highlight w:val="none"/>
          <w:lang w:val="en-US"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val="en-US" w:eastAsia="zh-CN"/>
        </w:rPr>
        <w:t>响应</w:t>
      </w:r>
      <w:r>
        <w:rPr>
          <w:rFonts w:hint="eastAsia" w:eastAsia="仿宋_GB2312"/>
          <w:sz w:val="32"/>
          <w:szCs w:val="32"/>
          <w:highlight w:val="none"/>
        </w:rPr>
        <w:t>人可选择现场递交报价文件或邮寄报价文件，其中：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现场递交报价文件</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文件并参加开标会议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人提交</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文件地址：东莞市麻涌镇大步村海心沙岛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6"/>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文件</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人自负，因快递派件人员无工作证等原因（如顺丰即日达）造成快递派件问题的责任由</w:t>
      </w:r>
      <w:r>
        <w:rPr>
          <w:rFonts w:hint="eastAsia" w:ascii="仿宋" w:hAnsi="仿宋" w:eastAsia="仿宋"/>
          <w:sz w:val="32"/>
          <w:szCs w:val="32"/>
          <w:highlight w:val="none"/>
          <w:lang w:val="en-US" w:eastAsia="zh-CN"/>
        </w:rPr>
        <w:t>响应</w:t>
      </w:r>
      <w:r>
        <w:rPr>
          <w:rFonts w:hint="eastAsia" w:ascii="仿宋" w:hAnsi="仿宋" w:eastAsia="仿宋"/>
          <w:sz w:val="32"/>
          <w:szCs w:val="32"/>
          <w:highlight w:val="none"/>
        </w:rPr>
        <w:t>人自负，开标时间后送达的响应文件无效。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2"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2）成交人将本项目转让给他人，或者在报价文件中未说明，且未经采购人同意，将中标项目分包给他人。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提供虚假报价文件或虚假补充文件。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22"/>
    </w:p>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3 </w:t>
      </w:r>
      <w:r>
        <w:rPr>
          <w:rFonts w:hint="eastAsia" w:eastAsia="仿宋_GB2312"/>
          <w:sz w:val="32"/>
          <w:szCs w:val="32"/>
          <w:highlight w:val="none"/>
        </w:rPr>
        <w:t>月</w:t>
      </w:r>
      <w:r>
        <w:rPr>
          <w:rFonts w:hint="eastAsia" w:eastAsia="仿宋_GB2312"/>
          <w:sz w:val="32"/>
          <w:szCs w:val="32"/>
          <w:highlight w:val="none"/>
          <w:lang w:val="en-US" w:eastAsia="zh-CN"/>
        </w:rPr>
        <w:t>16</w:t>
      </w:r>
      <w:r>
        <w:rPr>
          <w:rFonts w:hint="eastAsia" w:eastAsia="仿宋_GB2312"/>
          <w:sz w:val="32"/>
          <w:szCs w:val="32"/>
          <w:highlight w:val="none"/>
        </w:rPr>
        <w:t>日</w:t>
      </w:r>
    </w:p>
    <w:p w14:paraId="3DFFCC91">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29"/>
        <w:numPr>
          <w:ilvl w:val="0"/>
          <w:numId w:val="2"/>
        </w:numPr>
        <w:spacing w:line="360" w:lineRule="auto"/>
        <w:ind w:firstLineChars="0"/>
        <w:outlineLvl w:val="1"/>
        <w:rPr>
          <w:rFonts w:ascii="仿宋" w:hAnsi="仿宋" w:eastAsia="仿宋"/>
          <w:b/>
          <w:bCs/>
          <w:sz w:val="28"/>
          <w:szCs w:val="44"/>
          <w:highlight w:val="none"/>
        </w:rPr>
      </w:pPr>
      <w:bookmarkStart w:id="23" w:name="_Toc7977_WPSOffice_Level1"/>
      <w:bookmarkStart w:id="24" w:name="_Hlk524442005"/>
      <w:r>
        <w:rPr>
          <w:rFonts w:hint="eastAsia" w:ascii="仿宋" w:hAnsi="仿宋" w:eastAsia="仿宋"/>
          <w:b/>
          <w:bCs/>
          <w:sz w:val="28"/>
          <w:szCs w:val="44"/>
          <w:highlight w:val="none"/>
        </w:rPr>
        <w:t>密封文件袋封面</w:t>
      </w:r>
      <w:bookmarkEnd w:id="23"/>
    </w:p>
    <w:p w14:paraId="1CF07756">
      <w:pPr>
        <w:pStyle w:val="29"/>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5" w:name="_Toc406_WPSOffice_Level2"/>
    </w:p>
    <w:bookmarkEnd w:id="25"/>
    <w:p w14:paraId="098BEC49">
      <w:pPr>
        <w:jc w:val="center"/>
        <w:rPr>
          <w:rFonts w:hint="eastAsia" w:ascii="仿宋" w:hAnsi="仿宋" w:eastAsia="仿宋"/>
          <w:b/>
          <w:bCs/>
          <w:sz w:val="52"/>
          <w:szCs w:val="52"/>
          <w:highlight w:val="none"/>
          <w:lang w:eastAsia="zh-CN"/>
        </w:rPr>
      </w:pPr>
      <w:bookmarkStart w:id="26" w:name="_Toc21841_WPSOffice_Level2"/>
      <w:r>
        <w:rPr>
          <w:rFonts w:hint="eastAsia" w:ascii="仿宋" w:hAnsi="仿宋" w:eastAsia="仿宋"/>
          <w:b/>
          <w:bCs/>
          <w:sz w:val="52"/>
          <w:szCs w:val="52"/>
          <w:highlight w:val="none"/>
          <w:lang w:eastAsia="zh-CN"/>
        </w:rPr>
        <w:t>东莞市海心沙资源综合利用中心环保热电厂档案室手动密集架及气体灭火装置采购项目</w:t>
      </w:r>
    </w:p>
    <w:p w14:paraId="150B2C2B">
      <w:pPr>
        <w:jc w:val="center"/>
        <w:rPr>
          <w:rFonts w:ascii="仿宋" w:hAnsi="仿宋" w:eastAsia="仿宋"/>
          <w:b/>
          <w:bCs/>
          <w:sz w:val="52"/>
          <w:szCs w:val="52"/>
          <w:highlight w:val="none"/>
        </w:rPr>
      </w:pPr>
      <w:r>
        <w:rPr>
          <w:rFonts w:hint="eastAsia" w:ascii="仿宋" w:hAnsi="仿宋" w:eastAsia="仿宋"/>
          <w:b/>
          <w:bCs/>
          <w:sz w:val="52"/>
          <w:szCs w:val="52"/>
          <w:highlight w:val="none"/>
          <w:lang w:val="en-US" w:eastAsia="zh-CN"/>
        </w:rPr>
        <w:t>响应</w:t>
      </w:r>
      <w:r>
        <w:rPr>
          <w:rFonts w:hint="eastAsia" w:ascii="仿宋" w:hAnsi="仿宋" w:eastAsia="仿宋"/>
          <w:b/>
          <w:bCs/>
          <w:sz w:val="52"/>
          <w:szCs w:val="52"/>
          <w:highlight w:val="none"/>
        </w:rPr>
        <w:t>文件</w:t>
      </w:r>
      <w:bookmarkEnd w:id="26"/>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29"/>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29"/>
        <w:numPr>
          <w:ilvl w:val="0"/>
          <w:numId w:val="2"/>
        </w:numPr>
        <w:spacing w:line="360" w:lineRule="auto"/>
        <w:ind w:firstLineChars="0"/>
        <w:outlineLvl w:val="1"/>
        <w:rPr>
          <w:rFonts w:ascii="仿宋" w:hAnsi="仿宋" w:eastAsia="仿宋"/>
          <w:b/>
          <w:bCs/>
          <w:sz w:val="28"/>
          <w:szCs w:val="44"/>
          <w:highlight w:val="none"/>
        </w:rPr>
      </w:pPr>
      <w:bookmarkStart w:id="27" w:name="_Toc25465_WPSOffice_Level1"/>
      <w:r>
        <w:rPr>
          <w:rFonts w:ascii="仿宋" w:hAnsi="仿宋" w:eastAsia="仿宋"/>
          <w:b/>
          <w:bCs/>
          <w:sz w:val="28"/>
          <w:szCs w:val="44"/>
          <w:highlight w:val="none"/>
        </w:rPr>
        <w:t>报价函</w:t>
      </w:r>
      <w:bookmarkEnd w:id="27"/>
    </w:p>
    <w:p w14:paraId="5B2512F7">
      <w:pPr>
        <w:spacing w:line="360" w:lineRule="auto"/>
        <w:jc w:val="center"/>
        <w:rPr>
          <w:rFonts w:ascii="仿宋" w:hAnsi="仿宋" w:eastAsia="仿宋"/>
          <w:sz w:val="44"/>
          <w:szCs w:val="44"/>
          <w:highlight w:val="none"/>
        </w:rPr>
      </w:pPr>
      <w:bookmarkStart w:id="28" w:name="_Toc7726_WPSOffice_Level1"/>
      <w:r>
        <w:rPr>
          <w:rFonts w:ascii="仿宋" w:hAnsi="仿宋" w:eastAsia="仿宋"/>
          <w:sz w:val="44"/>
          <w:szCs w:val="44"/>
          <w:highlight w:val="none"/>
        </w:rPr>
        <w:t>报价函</w:t>
      </w:r>
      <w:bookmarkEnd w:id="28"/>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ascii="仿宋" w:hAnsi="仿宋" w:eastAsia="仿宋"/>
          <w:sz w:val="32"/>
          <w:szCs w:val="32"/>
          <w:highlight w:val="none"/>
        </w:rPr>
        <w:t>东莞市海心沙资源综合利用中心环保热电厂档案室手动密集架及气体灭火装置采购项目，</w:t>
      </w:r>
      <w:r>
        <w:rPr>
          <w:rFonts w:ascii="仿宋" w:hAnsi="仿宋" w:eastAsia="仿宋"/>
          <w:sz w:val="32"/>
          <w:szCs w:val="32"/>
          <w:highlight w:val="none"/>
        </w:rPr>
        <w:t>我司愿意</w:t>
      </w:r>
      <w:r>
        <w:rPr>
          <w:rFonts w:hint="eastAsia" w:ascii="仿宋" w:hAnsi="仿宋" w:eastAsia="仿宋"/>
          <w:sz w:val="32"/>
          <w:szCs w:val="32"/>
          <w:highlight w:val="none"/>
          <w:lang w:val="en-US" w:eastAsia="zh-CN"/>
        </w:rPr>
        <w:t>按</w:t>
      </w:r>
      <w:r>
        <w:rPr>
          <w:rFonts w:ascii="仿宋" w:hAnsi="仿宋" w:eastAsia="仿宋"/>
          <w:sz w:val="32"/>
          <w:szCs w:val="32"/>
          <w:highlight w:val="none"/>
        </w:rPr>
        <w:t>价税合计人民币xxxx元（大写），</w:t>
      </w:r>
      <w:r>
        <w:rPr>
          <w:rFonts w:ascii="Calibri" w:hAnsi="Calibri" w:eastAsia="仿宋" w:cs="Calibri"/>
          <w:sz w:val="32"/>
          <w:szCs w:val="32"/>
          <w:highlight w:val="none"/>
        </w:rPr>
        <w:t>¥</w:t>
      </w:r>
      <w:r>
        <w:rPr>
          <w:rFonts w:ascii="仿宋" w:hAnsi="仿宋" w:eastAsia="仿宋"/>
          <w:sz w:val="32"/>
          <w:szCs w:val="32"/>
          <w:highlight w:val="none"/>
        </w:rPr>
        <w:t>xxx.00（小写）</w:t>
      </w:r>
      <w:r>
        <w:rPr>
          <w:rFonts w:hint="eastAsia" w:ascii="仿宋" w:hAnsi="仿宋" w:eastAsia="仿宋"/>
          <w:sz w:val="32"/>
          <w:szCs w:val="32"/>
          <w:highlight w:val="none"/>
          <w:lang w:val="en-US" w:eastAsia="zh-CN"/>
        </w:rPr>
        <w:t>提供全部供货及安装服务</w:t>
      </w:r>
      <w:r>
        <w:rPr>
          <w:rFonts w:ascii="仿宋" w:hAnsi="仿宋" w:eastAsia="仿宋"/>
          <w:sz w:val="32"/>
          <w:szCs w:val="32"/>
          <w:highlight w:val="none"/>
        </w:rPr>
        <w:t>。</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22027BCB">
      <w:pPr>
        <w:widowControl/>
        <w:jc w:val="left"/>
        <w:rPr>
          <w:rFonts w:ascii="仿宋" w:hAnsi="仿宋" w:eastAsia="仿宋"/>
          <w:sz w:val="44"/>
          <w:szCs w:val="44"/>
          <w:highlight w:val="none"/>
        </w:rPr>
      </w:pPr>
      <w:bookmarkStart w:id="29" w:name="_Toc20373_WPSOffice_Level1"/>
      <w:r>
        <w:rPr>
          <w:rFonts w:ascii="仿宋" w:hAnsi="仿宋" w:eastAsia="仿宋"/>
          <w:sz w:val="44"/>
          <w:szCs w:val="44"/>
          <w:highlight w:val="none"/>
        </w:rPr>
        <w:br w:type="page"/>
      </w:r>
    </w:p>
    <w:bookmarkEnd w:id="29"/>
    <w:p w14:paraId="719DAA1E">
      <w:pPr>
        <w:pStyle w:val="29"/>
        <w:numPr>
          <w:ilvl w:val="0"/>
          <w:numId w:val="2"/>
        </w:numPr>
        <w:spacing w:line="360" w:lineRule="auto"/>
        <w:ind w:firstLineChars="0"/>
        <w:outlineLvl w:val="1"/>
        <w:rPr>
          <w:rFonts w:ascii="仿宋" w:hAnsi="仿宋" w:eastAsia="仿宋"/>
          <w:b/>
          <w:bCs/>
          <w:sz w:val="28"/>
          <w:szCs w:val="44"/>
          <w:highlight w:val="none"/>
        </w:rPr>
      </w:pPr>
      <w:bookmarkStart w:id="30" w:name="_Toc28030_WPSOffice_Level1"/>
      <w:r>
        <w:rPr>
          <w:rFonts w:ascii="仿宋" w:hAnsi="仿宋" w:eastAsia="仿宋"/>
          <w:b/>
          <w:bCs/>
          <w:sz w:val="28"/>
          <w:szCs w:val="44"/>
          <w:highlight w:val="none"/>
        </w:rPr>
        <w:t>法人证明</w:t>
      </w:r>
      <w:bookmarkEnd w:id="30"/>
    </w:p>
    <w:p w14:paraId="6D8A4052">
      <w:pPr>
        <w:spacing w:line="360" w:lineRule="auto"/>
        <w:jc w:val="center"/>
        <w:rPr>
          <w:rFonts w:ascii="仿宋" w:hAnsi="仿宋" w:eastAsia="仿宋"/>
          <w:b/>
          <w:bCs/>
          <w:sz w:val="32"/>
          <w:szCs w:val="32"/>
          <w:highlight w:val="none"/>
        </w:rPr>
      </w:pPr>
      <w:bookmarkStart w:id="31" w:name="_Toc7977_WPSOffice_Level2"/>
      <w:r>
        <w:rPr>
          <w:rFonts w:ascii="仿宋" w:hAnsi="仿宋" w:eastAsia="仿宋"/>
          <w:b/>
          <w:bCs/>
          <w:sz w:val="32"/>
          <w:szCs w:val="32"/>
          <w:highlight w:val="none"/>
        </w:rPr>
        <w:t>法定代表人身份证明书</w:t>
      </w:r>
      <w:bookmarkEnd w:id="31"/>
    </w:p>
    <w:p w14:paraId="3A6B3DCD">
      <w:pPr>
        <w:spacing w:line="360" w:lineRule="auto"/>
        <w:rPr>
          <w:rFonts w:ascii="仿宋" w:hAnsi="仿宋" w:eastAsia="仿宋"/>
          <w:sz w:val="32"/>
          <w:szCs w:val="32"/>
          <w:highlight w:val="none"/>
        </w:rPr>
      </w:pPr>
    </w:p>
    <w:p w14:paraId="5D54C5A3">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2" w:name="_Toc384752807"/>
    </w:p>
    <w:p w14:paraId="2E3273DC">
      <w:pPr>
        <w:pStyle w:val="29"/>
        <w:numPr>
          <w:ilvl w:val="0"/>
          <w:numId w:val="2"/>
        </w:numPr>
        <w:spacing w:line="360" w:lineRule="auto"/>
        <w:ind w:firstLineChars="0"/>
        <w:outlineLvl w:val="1"/>
        <w:rPr>
          <w:rFonts w:ascii="仿宋" w:hAnsi="仿宋" w:eastAsia="仿宋"/>
          <w:b/>
          <w:bCs/>
          <w:sz w:val="28"/>
          <w:szCs w:val="44"/>
          <w:highlight w:val="none"/>
        </w:rPr>
      </w:pPr>
      <w:bookmarkStart w:id="33" w:name="_Toc14680_WPSOffice_Level1"/>
      <w:r>
        <w:rPr>
          <w:rFonts w:ascii="仿宋" w:hAnsi="仿宋" w:eastAsia="仿宋"/>
          <w:b/>
          <w:bCs/>
          <w:sz w:val="28"/>
          <w:szCs w:val="44"/>
          <w:highlight w:val="none"/>
        </w:rPr>
        <w:t>法人授权书</w:t>
      </w:r>
      <w:bookmarkEnd w:id="33"/>
    </w:p>
    <w:p w14:paraId="2C224505">
      <w:pPr>
        <w:widowControl/>
        <w:spacing w:line="360" w:lineRule="auto"/>
        <w:jc w:val="center"/>
        <w:rPr>
          <w:rFonts w:ascii="仿宋" w:hAnsi="仿宋" w:eastAsia="仿宋"/>
          <w:sz w:val="32"/>
          <w:szCs w:val="32"/>
          <w:highlight w:val="none"/>
        </w:rPr>
      </w:pPr>
      <w:bookmarkStart w:id="34" w:name="_Toc25465_WPSOffice_Level2"/>
      <w:r>
        <w:rPr>
          <w:rFonts w:ascii="仿宋" w:hAnsi="仿宋" w:eastAsia="仿宋"/>
          <w:b/>
          <w:sz w:val="32"/>
          <w:szCs w:val="32"/>
          <w:highlight w:val="none"/>
        </w:rPr>
        <w:t>授权委托书</w:t>
      </w:r>
      <w:bookmarkEnd w:id="32"/>
      <w:bookmarkEnd w:id="34"/>
    </w:p>
    <w:p w14:paraId="0D5F1435">
      <w:pPr>
        <w:pStyle w:val="22"/>
        <w:spacing w:line="360" w:lineRule="auto"/>
        <w:ind w:firstLine="0" w:firstLineChars="0"/>
        <w:rPr>
          <w:rFonts w:ascii="仿宋" w:hAnsi="仿宋" w:eastAsia="仿宋" w:cs="Times New Roman"/>
          <w:sz w:val="32"/>
          <w:szCs w:val="32"/>
          <w:highlight w:val="none"/>
        </w:rPr>
      </w:pPr>
    </w:p>
    <w:p w14:paraId="1B9D8365">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ascii="仿宋" w:hAnsi="仿宋" w:eastAsia="仿宋"/>
          <w:sz w:val="32"/>
          <w:szCs w:val="32"/>
          <w:highlight w:val="none"/>
          <w:u w:val="single"/>
        </w:rPr>
        <w:t>东莞市海心沙资源综合利用中心环保热电厂档案室手动密集架及气体灭火装置采购项目</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w:t>
      </w:r>
      <w:r>
        <w:rPr>
          <w:rFonts w:hint="eastAsia" w:ascii="仿宋" w:hAnsi="仿宋" w:eastAsia="仿宋" w:cs="Times New Roman"/>
          <w:sz w:val="32"/>
          <w:szCs w:val="32"/>
          <w:highlight w:val="none"/>
          <w:lang w:val="en-US" w:eastAsia="zh-CN"/>
        </w:rPr>
        <w:t>安装</w:t>
      </w:r>
      <w:r>
        <w:rPr>
          <w:rFonts w:hint="eastAsia" w:ascii="仿宋" w:hAnsi="仿宋" w:eastAsia="仿宋" w:cs="Times New Roman"/>
          <w:sz w:val="32"/>
          <w:szCs w:val="32"/>
          <w:highlight w:val="none"/>
        </w:rPr>
        <w:t>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2"/>
        <w:spacing w:line="360" w:lineRule="auto"/>
        <w:ind w:firstLine="659"/>
        <w:rPr>
          <w:rFonts w:ascii="仿宋" w:hAnsi="仿宋" w:eastAsia="仿宋" w:cs="Times New Roman"/>
          <w:sz w:val="32"/>
          <w:szCs w:val="32"/>
          <w:highlight w:val="none"/>
        </w:rPr>
      </w:pPr>
    </w:p>
    <w:p w14:paraId="4762D2D9">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2"/>
        <w:spacing w:line="360" w:lineRule="auto"/>
        <w:ind w:firstLine="659"/>
        <w:rPr>
          <w:rFonts w:ascii="仿宋" w:hAnsi="仿宋" w:eastAsia="仿宋" w:cs="Times New Roman"/>
          <w:sz w:val="32"/>
          <w:szCs w:val="32"/>
          <w:highlight w:val="none"/>
        </w:rPr>
      </w:pPr>
    </w:p>
    <w:p w14:paraId="74271D35">
      <w:pPr>
        <w:pStyle w:val="22"/>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2"/>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2"/>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2"/>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29"/>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5" w:name="_Toc28985_WPSOffice_Level1"/>
      <w:bookmarkStart w:id="36" w:name="OLE_LINK11"/>
      <w:r>
        <w:rPr>
          <w:rFonts w:hint="eastAsia" w:ascii="仿宋" w:hAnsi="仿宋" w:eastAsia="仿宋"/>
          <w:b/>
          <w:bCs/>
          <w:sz w:val="28"/>
          <w:szCs w:val="44"/>
          <w:highlight w:val="none"/>
        </w:rPr>
        <w:t>投标人未到场声明</w:t>
      </w:r>
      <w:bookmarkEnd w:id="35"/>
    </w:p>
    <w:bookmarkEnd w:id="36"/>
    <w:p w14:paraId="0C52BB00">
      <w:pPr>
        <w:pStyle w:val="29"/>
        <w:ind w:firstLine="0" w:firstLineChars="0"/>
        <w:jc w:val="center"/>
        <w:outlineLvl w:val="1"/>
        <w:rPr>
          <w:rFonts w:eastAsia="仿宋_GB2312"/>
          <w:b/>
          <w:sz w:val="32"/>
          <w:szCs w:val="32"/>
          <w:highlight w:val="none"/>
        </w:rPr>
      </w:pPr>
      <w:bookmarkStart w:id="37" w:name="_Toc7726_WPSOffice_Level2"/>
      <w:r>
        <w:rPr>
          <w:rFonts w:ascii="仿宋_GB2312" w:eastAsia="仿宋_GB2312"/>
          <w:b/>
          <w:sz w:val="32"/>
          <w:szCs w:val="32"/>
          <w:highlight w:val="none"/>
        </w:rPr>
        <w:t>投标人未到场声明</w:t>
      </w:r>
      <w:bookmarkEnd w:id="37"/>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w:t>
      </w:r>
      <w:r>
        <w:rPr>
          <w:rFonts w:hint="eastAsia" w:eastAsia="仿宋_GB2312"/>
          <w:sz w:val="32"/>
          <w:szCs w:val="32"/>
          <w:highlight w:val="none"/>
          <w:u w:val="single"/>
        </w:rPr>
        <w:t>东莞市海心沙资源综合利用中心环保热电厂档案室手动密集架及气体灭火装置采购项目</w:t>
      </w:r>
      <w:r>
        <w:rPr>
          <w:rFonts w:hint="eastAsia" w:eastAsia="仿宋_GB2312"/>
          <w:sz w:val="32"/>
          <w:szCs w:val="32"/>
          <w:highlight w:val="none"/>
        </w:rPr>
        <w:t>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rFonts w:hint="eastAsia" w:ascii="Times New Roman" w:hAnsi="Times New Roman"/>
          <w:color w:val="000000"/>
          <w:sz w:val="32"/>
          <w:szCs w:val="32"/>
          <w:highlight w:val="none"/>
          <w:u w:val="single"/>
        </w:rPr>
        <w:t>东莞市海心沙资源综合利用中心环保热电厂档案室手动密集架及气体灭火装置采购项目</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2"/>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2"/>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2"/>
        <w:ind w:firstLine="0" w:firstLineChars="0"/>
        <w:jc w:val="left"/>
        <w:rPr>
          <w:rFonts w:ascii="Times New Roman" w:hAnsi="Times New Roman"/>
          <w:color w:val="000000"/>
          <w:sz w:val="32"/>
          <w:szCs w:val="32"/>
          <w:highlight w:val="none"/>
        </w:rPr>
      </w:pPr>
    </w:p>
    <w:p w14:paraId="63355FA8">
      <w:pPr>
        <w:rPr>
          <w:rFonts w:ascii="仿宋" w:hAnsi="仿宋" w:eastAsia="仿宋"/>
          <w:sz w:val="32"/>
          <w:szCs w:val="32"/>
          <w:highlight w:val="none"/>
        </w:rPr>
      </w:pPr>
    </w:p>
    <w:p w14:paraId="33A1DF36">
      <w:pPr>
        <w:rPr>
          <w:rFonts w:ascii="仿宋" w:hAnsi="仿宋" w:eastAsia="仿宋"/>
          <w:sz w:val="32"/>
          <w:szCs w:val="32"/>
          <w:highlight w:val="none"/>
        </w:rPr>
      </w:pPr>
    </w:p>
    <w:p w14:paraId="7AF0027B">
      <w:pPr>
        <w:rPr>
          <w:rFonts w:ascii="仿宋" w:hAnsi="仿宋" w:eastAsia="仿宋"/>
          <w:sz w:val="32"/>
          <w:szCs w:val="32"/>
          <w:highlight w:val="none"/>
        </w:rPr>
      </w:pPr>
    </w:p>
    <w:p w14:paraId="65861CBC">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rPr>
        <w:t>气体灭火装置安装的承诺</w:t>
      </w:r>
      <w:r>
        <w:rPr>
          <w:rFonts w:hint="eastAsia" w:eastAsia="仿宋_GB2312"/>
          <w:b/>
          <w:color w:val="000000"/>
          <w:sz w:val="32"/>
          <w:szCs w:val="32"/>
          <w:highlight w:val="none"/>
          <w:lang w:val="en-US" w:eastAsia="zh-CN"/>
        </w:rPr>
        <w:t>函</w:t>
      </w:r>
    </w:p>
    <w:p w14:paraId="595A74AA">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FF33097">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rFonts w:hint="eastAsia" w:ascii="Times New Roman" w:hAnsi="Times New Roman"/>
          <w:color w:val="000000"/>
          <w:sz w:val="32"/>
          <w:szCs w:val="32"/>
          <w:highlight w:val="none"/>
          <w:u w:val="single"/>
        </w:rPr>
        <w:t>东莞市海心沙资源综合利用中心环保热电厂档案室手动密集架及气体灭火装置采购项目</w:t>
      </w:r>
      <w:r>
        <w:rPr>
          <w:rFonts w:hint="eastAsia" w:ascii="Times New Roman" w:hAnsi="Times New Roman" w:eastAsia="仿宋_GB2312"/>
          <w:sz w:val="32"/>
          <w:szCs w:val="32"/>
        </w:rPr>
        <w:t>气体灭火装置安装</w:t>
      </w:r>
      <w:r>
        <w:rPr>
          <w:rFonts w:hint="eastAsia" w:ascii="Times New Roman" w:hAnsi="Times New Roman" w:eastAsia="仿宋_GB2312"/>
          <w:sz w:val="32"/>
          <w:szCs w:val="32"/>
          <w:lang w:val="en-US" w:eastAsia="zh-CN"/>
        </w:rPr>
        <w:t>的</w:t>
      </w:r>
      <w:r>
        <w:rPr>
          <w:rFonts w:hint="eastAsia" w:ascii="Times New Roman" w:hAnsi="Times New Roman"/>
          <w:color w:val="000000"/>
          <w:sz w:val="32"/>
          <w:szCs w:val="32"/>
          <w:highlight w:val="none"/>
          <w:u w:val="none"/>
          <w:lang w:val="en-US" w:eastAsia="zh-CN"/>
        </w:rPr>
        <w:t>响应</w:t>
      </w:r>
      <w:r>
        <w:rPr>
          <w:rFonts w:hint="eastAsia" w:ascii="Times New Roman" w:hAnsi="Times New Roman"/>
          <w:color w:val="000000"/>
          <w:sz w:val="32"/>
          <w:szCs w:val="32"/>
          <w:highlight w:val="none"/>
        </w:rPr>
        <w:t>，作出以下承诺：</w:t>
      </w:r>
    </w:p>
    <w:p w14:paraId="5E982304">
      <w:pPr>
        <w:pStyle w:val="22"/>
        <w:ind w:firstLine="659"/>
        <w:rPr>
          <w:rFonts w:ascii="Times New Roman" w:hAnsi="Times New Roman"/>
          <w:color w:val="000000"/>
          <w:sz w:val="32"/>
          <w:szCs w:val="32"/>
          <w:highlight w:val="none"/>
        </w:rPr>
      </w:pPr>
      <w:r>
        <w:rPr>
          <w:rFonts w:hint="eastAsia" w:ascii="Times New Roman" w:hAnsi="Times New Roman" w:eastAsia="仿宋_GB2312"/>
          <w:sz w:val="32"/>
          <w:szCs w:val="32"/>
        </w:rPr>
        <w:t>实施</w:t>
      </w:r>
      <w:r>
        <w:rPr>
          <w:rFonts w:hint="eastAsia" w:ascii="Times New Roman" w:hAnsi="Times New Roman" w:eastAsia="仿宋_GB2312"/>
          <w:sz w:val="32"/>
          <w:szCs w:val="32"/>
          <w:lang w:val="en-US" w:eastAsia="zh-CN"/>
        </w:rPr>
        <w:t>本项目气体灭火装置安装</w:t>
      </w:r>
      <w:r>
        <w:rPr>
          <w:rFonts w:hint="eastAsia" w:ascii="Times New Roman" w:hAnsi="Times New Roman"/>
          <w:sz w:val="32"/>
          <w:szCs w:val="32"/>
          <w:lang w:val="en-US" w:eastAsia="zh-CN"/>
        </w:rPr>
        <w:t>的单位具有</w:t>
      </w:r>
      <w:r>
        <w:rPr>
          <w:rFonts w:hint="eastAsia" w:ascii="Times New Roman" w:hAnsi="Times New Roman" w:eastAsia="仿宋_GB2312"/>
          <w:sz w:val="32"/>
          <w:szCs w:val="32"/>
        </w:rPr>
        <w:t>消防设施工程专业承包资质</w:t>
      </w:r>
      <w:r>
        <w:rPr>
          <w:rFonts w:hint="eastAsia" w:ascii="Times New Roman" w:hAnsi="Times New Roman"/>
          <w:color w:val="000000"/>
          <w:sz w:val="32"/>
          <w:szCs w:val="32"/>
          <w:highlight w:val="none"/>
        </w:rPr>
        <w:t>。并承诺如不满足采购人需求，采购人有权取消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38740A1C">
      <w:pPr>
        <w:pStyle w:val="22"/>
        <w:ind w:firstLine="659"/>
        <w:rPr>
          <w:rFonts w:ascii="Times New Roman" w:hAnsi="Times New Roman"/>
          <w:color w:val="000000"/>
          <w:sz w:val="32"/>
          <w:szCs w:val="32"/>
          <w:highlight w:val="none"/>
        </w:rPr>
      </w:pPr>
    </w:p>
    <w:p w14:paraId="1CB1EC90">
      <w:pPr>
        <w:jc w:val="left"/>
        <w:rPr>
          <w:rFonts w:eastAsia="仿宋"/>
          <w:color w:val="000000"/>
          <w:sz w:val="32"/>
          <w:szCs w:val="32"/>
          <w:highlight w:val="none"/>
        </w:rPr>
      </w:pPr>
    </w:p>
    <w:p w14:paraId="682F7643">
      <w:pPr>
        <w:jc w:val="left"/>
        <w:rPr>
          <w:rFonts w:eastAsia="仿宋"/>
          <w:color w:val="000000"/>
          <w:sz w:val="32"/>
          <w:szCs w:val="32"/>
          <w:highlight w:val="none"/>
        </w:rPr>
      </w:pPr>
    </w:p>
    <w:p w14:paraId="0F79D9E4">
      <w:pPr>
        <w:jc w:val="left"/>
        <w:rPr>
          <w:rFonts w:eastAsia="仿宋"/>
          <w:color w:val="000000"/>
          <w:sz w:val="32"/>
          <w:szCs w:val="32"/>
          <w:highlight w:val="none"/>
        </w:rPr>
      </w:pPr>
    </w:p>
    <w:p w14:paraId="443DDB13">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469BEEA">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6F228248">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70BEC452">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0005D78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2C28E760">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4"/>
    <w:p w14:paraId="4686913B">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1061C16F">
      <w:pPr>
        <w:spacing w:line="360" w:lineRule="auto"/>
        <w:ind w:firstLine="480" w:firstLineChars="200"/>
        <w:rPr>
          <w:sz w:val="24"/>
          <w:szCs w:val="24"/>
          <w:highlight w:val="none"/>
        </w:rPr>
      </w:pPr>
      <w:r>
        <w:rPr>
          <w:rFonts w:hint="eastAsia"/>
          <w:sz w:val="24"/>
          <w:szCs w:val="24"/>
          <w:highlight w:val="none"/>
        </w:rPr>
        <w:t>甲方合同编号：</w:t>
      </w:r>
      <w:r>
        <w:rPr>
          <w:sz w:val="24"/>
          <w:szCs w:val="24"/>
          <w:highlight w:val="none"/>
        </w:rPr>
        <w:t xml:space="preserve"> </w:t>
      </w:r>
    </w:p>
    <w:p w14:paraId="3C5E88E8">
      <w:pPr>
        <w:spacing w:line="360" w:lineRule="auto"/>
        <w:ind w:firstLine="480" w:firstLineChars="200"/>
        <w:rPr>
          <w:sz w:val="24"/>
          <w:szCs w:val="24"/>
          <w:highlight w:val="none"/>
        </w:rPr>
      </w:pPr>
      <w:r>
        <w:rPr>
          <w:rFonts w:hint="eastAsia"/>
          <w:sz w:val="24"/>
          <w:szCs w:val="24"/>
          <w:highlight w:val="none"/>
        </w:rPr>
        <w:t>乙方合同编号：</w:t>
      </w:r>
    </w:p>
    <w:p w14:paraId="31A76FC8">
      <w:pPr>
        <w:spacing w:line="360" w:lineRule="auto"/>
        <w:rPr>
          <w:rFonts w:eastAsia="仿宋_GB2312"/>
          <w:b/>
          <w:sz w:val="32"/>
          <w:szCs w:val="32"/>
          <w:highlight w:val="none"/>
        </w:rPr>
      </w:pPr>
    </w:p>
    <w:p w14:paraId="76C589F7">
      <w:pPr>
        <w:spacing w:line="360" w:lineRule="auto"/>
        <w:jc w:val="center"/>
        <w:rPr>
          <w:b/>
          <w:sz w:val="32"/>
          <w:szCs w:val="32"/>
          <w:highlight w:val="none"/>
        </w:rPr>
      </w:pPr>
      <w:r>
        <w:rPr>
          <w:rFonts w:hint="eastAsia" w:eastAsia="仿宋_GB2312"/>
          <w:b/>
          <w:sz w:val="32"/>
          <w:szCs w:val="32"/>
          <w:highlight w:val="none"/>
        </w:rPr>
        <w:t>东莞市海心沙资源综合利用中心环保热电厂档案室手动密集架及气体灭火装置采购项目合同</w:t>
      </w:r>
    </w:p>
    <w:p w14:paraId="7DAF6B17">
      <w:pPr>
        <w:spacing w:line="360" w:lineRule="auto"/>
        <w:rPr>
          <w:sz w:val="24"/>
          <w:szCs w:val="24"/>
          <w:highlight w:val="none"/>
        </w:rPr>
      </w:pPr>
      <w:r>
        <w:rPr>
          <w:sz w:val="24"/>
          <w:szCs w:val="24"/>
          <w:highlight w:val="none"/>
        </w:rPr>
        <w:t xml:space="preserve">                                                             </w:t>
      </w:r>
    </w:p>
    <w:p w14:paraId="15CC739A">
      <w:pPr>
        <w:spacing w:line="360" w:lineRule="auto"/>
        <w:ind w:firstLine="480" w:firstLineChars="200"/>
        <w:rPr>
          <w:bCs/>
          <w:kern w:val="0"/>
          <w:sz w:val="24"/>
          <w:szCs w:val="24"/>
          <w:highlight w:val="none"/>
        </w:rPr>
      </w:pPr>
      <w:r>
        <w:rPr>
          <w:rFonts w:hint="eastAsia"/>
          <w:bCs/>
          <w:kern w:val="0"/>
          <w:sz w:val="24"/>
          <w:szCs w:val="24"/>
          <w:highlight w:val="none"/>
        </w:rPr>
        <w:t>甲方：</w:t>
      </w:r>
      <w:r>
        <w:rPr>
          <w:bCs/>
          <w:kern w:val="0"/>
          <w:sz w:val="24"/>
          <w:szCs w:val="24"/>
          <w:highlight w:val="none"/>
        </w:rPr>
        <w:t xml:space="preserve"> </w:t>
      </w:r>
      <w:r>
        <w:rPr>
          <w:rFonts w:hint="eastAsia"/>
          <w:bCs/>
          <w:kern w:val="0"/>
          <w:sz w:val="24"/>
          <w:szCs w:val="24"/>
          <w:highlight w:val="none"/>
        </w:rPr>
        <w:t>东莞市新东元环保投资有限公司</w:t>
      </w:r>
      <w:r>
        <w:rPr>
          <w:bCs/>
          <w:kern w:val="0"/>
          <w:sz w:val="24"/>
          <w:szCs w:val="24"/>
          <w:highlight w:val="none"/>
        </w:rPr>
        <w:t xml:space="preserve"> </w:t>
      </w:r>
    </w:p>
    <w:p w14:paraId="7916C0E5">
      <w:pPr>
        <w:spacing w:line="360" w:lineRule="auto"/>
        <w:ind w:firstLine="480" w:firstLineChars="200"/>
        <w:rPr>
          <w:bCs/>
          <w:kern w:val="0"/>
          <w:sz w:val="24"/>
          <w:szCs w:val="24"/>
          <w:highlight w:val="none"/>
        </w:rPr>
      </w:pPr>
      <w:r>
        <w:rPr>
          <w:rFonts w:hint="eastAsia"/>
          <w:bCs/>
          <w:kern w:val="0"/>
          <w:sz w:val="24"/>
          <w:szCs w:val="24"/>
          <w:highlight w:val="none"/>
        </w:rPr>
        <w:t>乙方：</w:t>
      </w:r>
      <w:r>
        <w:rPr>
          <w:bCs/>
          <w:kern w:val="0"/>
          <w:sz w:val="24"/>
          <w:szCs w:val="24"/>
          <w:highlight w:val="none"/>
        </w:rPr>
        <w:t xml:space="preserve"> </w:t>
      </w:r>
    </w:p>
    <w:p w14:paraId="6C11A91B">
      <w:pPr>
        <w:spacing w:line="360" w:lineRule="auto"/>
        <w:ind w:firstLine="480" w:firstLineChars="200"/>
        <w:rPr>
          <w:sz w:val="24"/>
          <w:szCs w:val="24"/>
          <w:highlight w:val="none"/>
        </w:rPr>
      </w:pPr>
      <w:r>
        <w:rPr>
          <w:sz w:val="24"/>
          <w:szCs w:val="24"/>
          <w:highlight w:val="none"/>
        </w:rPr>
        <w:t xml:space="preserve"> </w:t>
      </w:r>
    </w:p>
    <w:p w14:paraId="6AA28CB9">
      <w:pPr>
        <w:spacing w:line="360" w:lineRule="auto"/>
        <w:ind w:firstLine="480" w:firstLineChars="200"/>
        <w:rPr>
          <w:sz w:val="24"/>
          <w:szCs w:val="24"/>
          <w:highlight w:val="none"/>
        </w:rPr>
      </w:pPr>
      <w:r>
        <w:rPr>
          <w:rFonts w:hint="eastAsia"/>
          <w:sz w:val="24"/>
          <w:szCs w:val="24"/>
          <w:highlight w:val="none"/>
        </w:rPr>
        <w:t>根据《中华人民共和国民法典》及其他有关法律、法规，遵循平等、自愿、公平和诚实信用的原则，甲乙双方就</w:t>
      </w:r>
      <w:r>
        <w:rPr>
          <w:rFonts w:hint="eastAsia"/>
          <w:sz w:val="24"/>
          <w:szCs w:val="24"/>
          <w:highlight w:val="none"/>
          <w:u w:val="single"/>
        </w:rPr>
        <w:t>东莞市海心沙资源综合利用中心环保热电厂档案室手动密集架及气体灭火装置采购项目</w:t>
      </w:r>
      <w:r>
        <w:rPr>
          <w:rFonts w:hint="eastAsia"/>
          <w:sz w:val="24"/>
          <w:szCs w:val="24"/>
          <w:highlight w:val="none"/>
        </w:rPr>
        <w:t>的相关供货及服务事宜协商一致，特订立本合同，由甲乙双方共同遵守履行。</w:t>
      </w:r>
    </w:p>
    <w:p w14:paraId="05D0F0E6">
      <w:pPr>
        <w:spacing w:line="360" w:lineRule="auto"/>
        <w:ind w:firstLine="482" w:firstLineChars="200"/>
        <w:rPr>
          <w:b/>
          <w:sz w:val="24"/>
          <w:szCs w:val="24"/>
          <w:highlight w:val="none"/>
        </w:rPr>
      </w:pPr>
      <w:bookmarkStart w:id="38" w:name="_Toc16526_WPSOffice_Level1"/>
      <w:r>
        <w:rPr>
          <w:rFonts w:hint="eastAsia"/>
          <w:b/>
          <w:sz w:val="24"/>
          <w:szCs w:val="24"/>
          <w:highlight w:val="none"/>
        </w:rPr>
        <w:t>一、合同价款及要求</w:t>
      </w:r>
      <w:bookmarkEnd w:id="38"/>
    </w:p>
    <w:p w14:paraId="1E51FC61">
      <w:pPr>
        <w:spacing w:line="360" w:lineRule="auto"/>
        <w:ind w:firstLine="480" w:firstLineChars="200"/>
        <w:rPr>
          <w:sz w:val="24"/>
          <w:szCs w:val="24"/>
          <w:highlight w:val="none"/>
        </w:rPr>
      </w:pPr>
      <w:r>
        <w:rPr>
          <w:rFonts w:hint="eastAsia"/>
          <w:sz w:val="24"/>
          <w:szCs w:val="24"/>
          <w:highlight w:val="none"/>
        </w:rPr>
        <w:t>本合同</w:t>
      </w:r>
      <w:r>
        <w:rPr>
          <w:rFonts w:hint="eastAsia"/>
          <w:sz w:val="24"/>
          <w:szCs w:val="24"/>
          <w:highlight w:val="none"/>
          <w:lang w:val="en-US" w:eastAsia="zh-CN"/>
        </w:rPr>
        <w:t>固定总价</w:t>
      </w:r>
      <w:r>
        <w:rPr>
          <w:rFonts w:hint="eastAsia"/>
          <w:sz w:val="24"/>
          <w:szCs w:val="24"/>
          <w:highlight w:val="none"/>
        </w:rPr>
        <w:t>包干，合同总价</w:t>
      </w:r>
      <w:r>
        <w:rPr>
          <w:rFonts w:hint="eastAsia"/>
          <w:sz w:val="24"/>
          <w:szCs w:val="24"/>
          <w:highlight w:val="none"/>
          <w:lang w:val="en-US" w:eastAsia="zh-CN"/>
        </w:rPr>
        <w:t>¥</w:t>
      </w:r>
      <w:r>
        <w:rPr>
          <w:rFonts w:hint="eastAsia"/>
          <w:sz w:val="24"/>
          <w:szCs w:val="24"/>
          <w:highlight w:val="none"/>
          <w:u w:val="single"/>
          <w:lang w:val="en-US" w:eastAsia="zh-CN"/>
        </w:rPr>
        <w:t xml:space="preserve">       </w:t>
      </w:r>
      <w:r>
        <w:rPr>
          <w:rFonts w:hint="eastAsia"/>
          <w:sz w:val="24"/>
          <w:szCs w:val="24"/>
          <w:highlight w:val="none"/>
          <w:lang w:val="en-US" w:eastAsia="zh-CN"/>
        </w:rPr>
        <w:t>元</w:t>
      </w:r>
      <w:r>
        <w:rPr>
          <w:rFonts w:hint="eastAsia"/>
          <w:sz w:val="24"/>
          <w:szCs w:val="24"/>
          <w:highlight w:val="none"/>
          <w:lang w:eastAsia="zh-CN"/>
        </w:rPr>
        <w:t>，</w:t>
      </w:r>
      <w:r>
        <w:rPr>
          <w:rFonts w:hint="eastAsia"/>
          <w:sz w:val="24"/>
          <w:szCs w:val="24"/>
          <w:highlight w:val="none"/>
        </w:rPr>
        <w:t>其中增值税税率为</w:t>
      </w:r>
      <w:r>
        <w:rPr>
          <w:sz w:val="24"/>
          <w:szCs w:val="24"/>
          <w:highlight w:val="none"/>
        </w:rPr>
        <w:t xml:space="preserve">   %</w:t>
      </w:r>
      <w:r>
        <w:rPr>
          <w:rFonts w:hint="eastAsia"/>
          <w:sz w:val="24"/>
          <w:szCs w:val="24"/>
          <w:highlight w:val="none"/>
        </w:rPr>
        <w:t>。合同</w:t>
      </w:r>
      <w:r>
        <w:rPr>
          <w:rFonts w:hint="eastAsia"/>
          <w:sz w:val="24"/>
          <w:szCs w:val="24"/>
          <w:highlight w:val="none"/>
          <w:lang w:val="en-US" w:eastAsia="zh-CN"/>
        </w:rPr>
        <w:t>价格</w:t>
      </w:r>
      <w:r>
        <w:rPr>
          <w:rFonts w:hint="eastAsia"/>
          <w:sz w:val="24"/>
          <w:szCs w:val="24"/>
          <w:highlight w:val="none"/>
        </w:rPr>
        <w:t>含货物、税费、运费、装卸、人工费</w:t>
      </w:r>
      <w:r>
        <w:rPr>
          <w:rFonts w:hint="eastAsia"/>
          <w:sz w:val="24"/>
          <w:szCs w:val="24"/>
          <w:highlight w:val="none"/>
          <w:lang w:eastAsia="zh-CN"/>
        </w:rPr>
        <w:t>、</w:t>
      </w:r>
      <w:r>
        <w:rPr>
          <w:rFonts w:hint="eastAsia"/>
          <w:sz w:val="24"/>
          <w:szCs w:val="24"/>
          <w:highlight w:val="none"/>
          <w:lang w:val="en-US" w:eastAsia="zh-CN"/>
        </w:rPr>
        <w:t>安装费</w:t>
      </w:r>
      <w:r>
        <w:rPr>
          <w:rFonts w:hint="eastAsia"/>
          <w:sz w:val="24"/>
          <w:szCs w:val="24"/>
          <w:highlight w:val="none"/>
        </w:rPr>
        <w:t>以及乙方履行本合同下的其他义务所应收取的全部费用。货物具体要求详见合同附件</w:t>
      </w:r>
      <w:r>
        <w:rPr>
          <w:sz w:val="24"/>
          <w:szCs w:val="24"/>
          <w:highlight w:val="none"/>
        </w:rPr>
        <w:t>1</w:t>
      </w:r>
      <w:r>
        <w:rPr>
          <w:rFonts w:hint="eastAsia"/>
          <w:sz w:val="24"/>
          <w:szCs w:val="24"/>
          <w:highlight w:val="none"/>
        </w:rPr>
        <w:t>《报价清单》</w:t>
      </w:r>
      <w:r>
        <w:rPr>
          <w:rFonts w:hint="eastAsia"/>
          <w:sz w:val="24"/>
          <w:szCs w:val="24"/>
          <w:highlight w:val="none"/>
          <w:lang w:val="en-US" w:eastAsia="zh-CN"/>
        </w:rPr>
        <w:t>及附件2《</w:t>
      </w:r>
      <w:r>
        <w:rPr>
          <w:rFonts w:hint="eastAsia"/>
          <w:sz w:val="24"/>
          <w:szCs w:val="24"/>
          <w:highlight w:val="none"/>
          <w:u w:val="none"/>
        </w:rPr>
        <w:t>东莞市海心沙资源综合利用中心环保热电厂档案室手动密集架及气体灭火装置采购项目</w:t>
      </w:r>
      <w:r>
        <w:rPr>
          <w:rFonts w:hint="eastAsia"/>
          <w:sz w:val="24"/>
          <w:szCs w:val="24"/>
          <w:highlight w:val="none"/>
          <w:u w:val="none"/>
          <w:lang w:val="en-US" w:eastAsia="zh-CN"/>
        </w:rPr>
        <w:t>需求书</w:t>
      </w:r>
      <w:r>
        <w:rPr>
          <w:rFonts w:hint="eastAsia"/>
          <w:sz w:val="24"/>
          <w:szCs w:val="24"/>
          <w:highlight w:val="none"/>
          <w:lang w:val="en-US" w:eastAsia="zh-CN"/>
        </w:rPr>
        <w:t>》</w:t>
      </w:r>
      <w:r>
        <w:rPr>
          <w:rFonts w:hint="eastAsia"/>
          <w:sz w:val="24"/>
          <w:szCs w:val="24"/>
          <w:highlight w:val="none"/>
        </w:rPr>
        <w:t>。</w:t>
      </w:r>
    </w:p>
    <w:p w14:paraId="180B98F0">
      <w:pPr>
        <w:spacing w:line="360" w:lineRule="auto"/>
        <w:ind w:firstLine="482" w:firstLineChars="200"/>
        <w:rPr>
          <w:b/>
          <w:sz w:val="24"/>
          <w:szCs w:val="24"/>
          <w:highlight w:val="none"/>
        </w:rPr>
      </w:pPr>
      <w:bookmarkStart w:id="39" w:name="_Toc30470_WPSOffice_Level1"/>
      <w:r>
        <w:rPr>
          <w:rFonts w:hint="eastAsia"/>
          <w:b/>
          <w:sz w:val="24"/>
          <w:szCs w:val="24"/>
          <w:highlight w:val="none"/>
        </w:rPr>
        <w:t>二、交货及服务要求、时间、地点</w:t>
      </w:r>
      <w:bookmarkEnd w:id="39"/>
    </w:p>
    <w:p w14:paraId="5EEB262A">
      <w:pPr>
        <w:spacing w:line="276" w:lineRule="auto"/>
        <w:ind w:firstLine="480" w:firstLineChars="200"/>
        <w:rPr>
          <w:rFonts w:ascii="仿宋" w:hAnsi="仿宋" w:eastAsia="仿宋"/>
          <w:sz w:val="32"/>
          <w:szCs w:val="32"/>
          <w:highlight w:val="none"/>
        </w:rPr>
      </w:pPr>
      <w:r>
        <w:rPr>
          <w:rFonts w:hint="eastAsia"/>
          <w:sz w:val="24"/>
          <w:szCs w:val="24"/>
          <w:highlight w:val="none"/>
        </w:rPr>
        <w:t>（一）自合同签订之日起30个日历日内完成本项目供货及安装调试。</w:t>
      </w:r>
    </w:p>
    <w:p w14:paraId="4D6F4DFD">
      <w:pPr>
        <w:spacing w:line="360" w:lineRule="auto"/>
        <w:ind w:firstLine="480" w:firstLineChars="200"/>
        <w:rPr>
          <w:sz w:val="24"/>
          <w:szCs w:val="24"/>
          <w:highlight w:val="none"/>
        </w:rPr>
      </w:pPr>
      <w:r>
        <w:rPr>
          <w:rFonts w:hint="eastAsia"/>
          <w:sz w:val="24"/>
          <w:szCs w:val="24"/>
          <w:highlight w:val="none"/>
        </w:rPr>
        <w:t>（二）交货及服务地点：东莞市麻涌镇大步村海心沙岛。</w:t>
      </w:r>
    </w:p>
    <w:p w14:paraId="2B64FDD6">
      <w:pPr>
        <w:spacing w:line="360" w:lineRule="auto"/>
        <w:ind w:firstLine="480" w:firstLineChars="200"/>
        <w:rPr>
          <w:bCs/>
          <w:sz w:val="24"/>
          <w:szCs w:val="24"/>
          <w:highlight w:val="none"/>
        </w:rPr>
      </w:pPr>
      <w:r>
        <w:rPr>
          <w:rFonts w:hint="eastAsia"/>
          <w:sz w:val="24"/>
          <w:szCs w:val="24"/>
          <w:highlight w:val="none"/>
        </w:rPr>
        <w:t>（三）乙方所提供货物的规格、样式必须经甲方书面确认后进行供货，否则视为不合格货物予以退货，因此造成的任何损失由乙方承担。</w:t>
      </w:r>
      <w:r>
        <w:rPr>
          <w:rFonts w:hint="eastAsia"/>
          <w:bCs/>
          <w:sz w:val="24"/>
          <w:szCs w:val="24"/>
          <w:highlight w:val="none"/>
        </w:rPr>
        <w:t>如甲方对货物的采购数量及款式作适当调整，</w:t>
      </w:r>
      <w:r>
        <w:rPr>
          <w:rFonts w:hint="eastAsia"/>
          <w:sz w:val="24"/>
          <w:szCs w:val="24"/>
          <w:highlight w:val="none"/>
        </w:rPr>
        <w:t>乙方</w:t>
      </w:r>
      <w:r>
        <w:rPr>
          <w:rFonts w:hint="eastAsia"/>
          <w:bCs/>
          <w:sz w:val="24"/>
          <w:szCs w:val="24"/>
          <w:highlight w:val="none"/>
        </w:rPr>
        <w:t>在本项目货物未着手制作前应当予以配合并作相应变更。</w:t>
      </w:r>
    </w:p>
    <w:p w14:paraId="10C24D59">
      <w:pPr>
        <w:spacing w:line="360" w:lineRule="auto"/>
        <w:ind w:firstLine="480" w:firstLineChars="200"/>
        <w:rPr>
          <w:rFonts w:hint="eastAsia"/>
          <w:bCs/>
          <w:sz w:val="24"/>
          <w:szCs w:val="24"/>
          <w:highlight w:val="none"/>
        </w:rPr>
      </w:pPr>
      <w:r>
        <w:rPr>
          <w:rFonts w:hint="eastAsia"/>
          <w:sz w:val="24"/>
          <w:szCs w:val="24"/>
          <w:highlight w:val="none"/>
        </w:rPr>
        <w:t>（四）如货物</w:t>
      </w:r>
      <w:r>
        <w:rPr>
          <w:rFonts w:hint="eastAsia"/>
          <w:bCs/>
          <w:sz w:val="24"/>
          <w:szCs w:val="24"/>
          <w:highlight w:val="none"/>
        </w:rPr>
        <w:t>随附装箱清单、质量合格证明书、</w:t>
      </w:r>
      <w:r>
        <w:rPr>
          <w:rFonts w:hint="eastAsia"/>
          <w:sz w:val="24"/>
          <w:szCs w:val="24"/>
          <w:highlight w:val="none"/>
        </w:rPr>
        <w:t>图纸资料、技术文件、</w:t>
      </w:r>
      <w:r>
        <w:rPr>
          <w:rFonts w:hint="eastAsia"/>
          <w:bCs/>
          <w:sz w:val="24"/>
          <w:szCs w:val="24"/>
          <w:highlight w:val="none"/>
        </w:rPr>
        <w:t>检测报告</w:t>
      </w:r>
      <w:r>
        <w:rPr>
          <w:rFonts w:hint="eastAsia"/>
          <w:sz w:val="24"/>
          <w:szCs w:val="24"/>
          <w:highlight w:val="none"/>
        </w:rPr>
        <w:t>等</w:t>
      </w:r>
      <w:r>
        <w:rPr>
          <w:rFonts w:hint="eastAsia"/>
          <w:bCs/>
          <w:sz w:val="24"/>
          <w:szCs w:val="24"/>
          <w:highlight w:val="none"/>
        </w:rPr>
        <w:t>文件</w:t>
      </w:r>
      <w:r>
        <w:rPr>
          <w:rFonts w:hint="eastAsia"/>
          <w:sz w:val="24"/>
          <w:szCs w:val="24"/>
          <w:highlight w:val="none"/>
        </w:rPr>
        <w:t>资</w:t>
      </w:r>
      <w:r>
        <w:rPr>
          <w:rFonts w:hint="eastAsia"/>
          <w:bCs/>
          <w:sz w:val="24"/>
          <w:szCs w:val="24"/>
          <w:highlight w:val="none"/>
        </w:rPr>
        <w:t>料的，乙方应于交货时一并交付该等文件资料，并且确保该等资料有相应的、能够保证文件完好的包封。供货时</w:t>
      </w:r>
      <w:r>
        <w:rPr>
          <w:rFonts w:hint="eastAsia"/>
          <w:bCs/>
          <w:sz w:val="24"/>
          <w:szCs w:val="24"/>
          <w:highlight w:val="none"/>
          <w:lang w:val="en-US" w:eastAsia="zh-CN"/>
        </w:rPr>
        <w:t>乙方</w:t>
      </w:r>
      <w:r>
        <w:rPr>
          <w:rFonts w:hint="eastAsia"/>
          <w:bCs/>
          <w:sz w:val="24"/>
          <w:szCs w:val="24"/>
          <w:highlight w:val="none"/>
        </w:rPr>
        <w:t>有义务配合</w:t>
      </w:r>
      <w:r>
        <w:rPr>
          <w:rFonts w:hint="eastAsia"/>
          <w:bCs/>
          <w:sz w:val="24"/>
          <w:szCs w:val="24"/>
          <w:highlight w:val="none"/>
          <w:lang w:val="en-US" w:eastAsia="zh-CN"/>
        </w:rPr>
        <w:t>甲方</w:t>
      </w:r>
      <w:r>
        <w:rPr>
          <w:rFonts w:hint="eastAsia"/>
          <w:bCs/>
          <w:sz w:val="24"/>
          <w:szCs w:val="24"/>
          <w:highlight w:val="none"/>
        </w:rPr>
        <w:t>进行货品真伪验证（供货时出具合格有效的出厂证明、合格证、检测证明等相关文件）。</w:t>
      </w:r>
    </w:p>
    <w:p w14:paraId="7360E1DC">
      <w:pPr>
        <w:spacing w:line="360" w:lineRule="auto"/>
        <w:ind w:firstLine="480" w:firstLineChars="200"/>
        <w:rPr>
          <w:rFonts w:hint="eastAsia"/>
          <w:bCs/>
          <w:sz w:val="24"/>
          <w:szCs w:val="24"/>
          <w:highlight w:val="none"/>
        </w:rPr>
      </w:pPr>
      <w:r>
        <w:rPr>
          <w:rFonts w:hint="eastAsia"/>
          <w:sz w:val="24"/>
          <w:szCs w:val="24"/>
          <w:highlight w:val="none"/>
        </w:rPr>
        <w:t>（</w:t>
      </w:r>
      <w:r>
        <w:rPr>
          <w:rFonts w:hint="eastAsia"/>
          <w:sz w:val="24"/>
          <w:szCs w:val="24"/>
          <w:highlight w:val="none"/>
          <w:lang w:val="en-US" w:eastAsia="zh-CN"/>
        </w:rPr>
        <w:t>五</w:t>
      </w:r>
      <w:r>
        <w:rPr>
          <w:rFonts w:hint="eastAsia"/>
          <w:sz w:val="24"/>
          <w:szCs w:val="24"/>
          <w:highlight w:val="none"/>
        </w:rPr>
        <w:t>）</w:t>
      </w:r>
      <w:r>
        <w:rPr>
          <w:rFonts w:hint="eastAsia"/>
          <w:bCs/>
          <w:sz w:val="24"/>
          <w:szCs w:val="24"/>
          <w:highlight w:val="none"/>
        </w:rPr>
        <w:t>其他：气体灭火装置属于特种消防设备，供应商应确保所供产品具有国家消防产品认证。</w:t>
      </w:r>
    </w:p>
    <w:p w14:paraId="05AEDB54">
      <w:pPr>
        <w:spacing w:line="360" w:lineRule="auto"/>
        <w:ind w:firstLine="480" w:firstLineChars="200"/>
        <w:rPr>
          <w:bCs/>
          <w:sz w:val="24"/>
          <w:szCs w:val="24"/>
          <w:highlight w:val="none"/>
        </w:rPr>
      </w:pPr>
      <w:r>
        <w:rPr>
          <w:rFonts w:hint="eastAsia"/>
          <w:bCs/>
          <w:sz w:val="24"/>
          <w:szCs w:val="24"/>
          <w:highlight w:val="none"/>
        </w:rPr>
        <w:t>（</w:t>
      </w:r>
      <w:r>
        <w:rPr>
          <w:rFonts w:hint="eastAsia"/>
          <w:bCs/>
          <w:sz w:val="24"/>
          <w:szCs w:val="24"/>
          <w:highlight w:val="none"/>
          <w:lang w:val="en-US" w:eastAsia="zh-CN"/>
        </w:rPr>
        <w:t>六</w:t>
      </w:r>
      <w:r>
        <w:rPr>
          <w:rFonts w:hint="eastAsia"/>
          <w:bCs/>
          <w:sz w:val="24"/>
          <w:szCs w:val="24"/>
          <w:highlight w:val="none"/>
        </w:rPr>
        <w:t>）有规定有效期的产品（须注明出厂日期），必须在有效期内，且自验收合格之日起整体质保5年（质保期内免费维修或更换，包含药剂补充）。</w:t>
      </w:r>
    </w:p>
    <w:p w14:paraId="18CE1B6C">
      <w:pPr>
        <w:spacing w:line="360" w:lineRule="auto"/>
        <w:ind w:firstLine="482" w:firstLineChars="200"/>
        <w:rPr>
          <w:b/>
          <w:sz w:val="24"/>
          <w:szCs w:val="24"/>
          <w:highlight w:val="none"/>
        </w:rPr>
      </w:pPr>
      <w:bookmarkStart w:id="40" w:name="_Toc28374_WPSOffice_Level1"/>
      <w:r>
        <w:rPr>
          <w:rFonts w:hint="eastAsia"/>
          <w:b/>
          <w:sz w:val="24"/>
          <w:szCs w:val="24"/>
          <w:highlight w:val="none"/>
        </w:rPr>
        <w:t>三、付款方式</w:t>
      </w:r>
      <w:bookmarkEnd w:id="40"/>
    </w:p>
    <w:p w14:paraId="24ED200C">
      <w:pPr>
        <w:spacing w:line="360" w:lineRule="auto"/>
        <w:ind w:firstLine="480" w:firstLineChars="200"/>
        <w:outlineLvl w:val="1"/>
        <w:rPr>
          <w:rFonts w:hint="eastAsia"/>
          <w:bCs/>
          <w:sz w:val="24"/>
          <w:szCs w:val="24"/>
          <w:highlight w:val="none"/>
        </w:rPr>
      </w:pPr>
      <w:r>
        <w:rPr>
          <w:rFonts w:hint="eastAsia"/>
          <w:bCs/>
          <w:sz w:val="24"/>
          <w:szCs w:val="24"/>
          <w:highlight w:val="none"/>
        </w:rPr>
        <w:t>（一）合同签订完成后，</w:t>
      </w:r>
      <w:r>
        <w:rPr>
          <w:rFonts w:hint="eastAsia"/>
          <w:bCs/>
          <w:sz w:val="24"/>
          <w:szCs w:val="24"/>
          <w:highlight w:val="none"/>
          <w:lang w:val="en-US" w:eastAsia="zh-CN"/>
        </w:rPr>
        <w:t>乙方</w:t>
      </w:r>
      <w:r>
        <w:rPr>
          <w:rFonts w:hint="eastAsia"/>
          <w:bCs/>
          <w:sz w:val="24"/>
          <w:szCs w:val="24"/>
          <w:highlight w:val="none"/>
        </w:rPr>
        <w:t>完成本项目供货和安装调试，并经双方共同验收合格后，</w:t>
      </w:r>
      <w:r>
        <w:rPr>
          <w:rFonts w:hint="eastAsia"/>
          <w:bCs/>
          <w:sz w:val="24"/>
          <w:szCs w:val="24"/>
          <w:highlight w:val="none"/>
          <w:lang w:val="en-US" w:eastAsia="zh-CN"/>
        </w:rPr>
        <w:t>乙方</w:t>
      </w:r>
      <w:r>
        <w:rPr>
          <w:rFonts w:hint="eastAsia"/>
          <w:bCs/>
          <w:sz w:val="24"/>
          <w:szCs w:val="24"/>
          <w:highlight w:val="none"/>
        </w:rPr>
        <w:t>提交合同价款100%的增值税专用发票及请款资料，</w:t>
      </w:r>
      <w:r>
        <w:rPr>
          <w:rFonts w:hint="eastAsia"/>
          <w:bCs/>
          <w:sz w:val="24"/>
          <w:szCs w:val="24"/>
          <w:highlight w:val="none"/>
          <w:lang w:val="en-US" w:eastAsia="zh-CN"/>
        </w:rPr>
        <w:t>甲方</w:t>
      </w:r>
      <w:r>
        <w:rPr>
          <w:rFonts w:hint="eastAsia"/>
          <w:bCs/>
          <w:sz w:val="24"/>
          <w:szCs w:val="24"/>
          <w:highlight w:val="none"/>
        </w:rPr>
        <w:t>在收到有效资料的三十个日历日内支付至合同价款的95%</w:t>
      </w:r>
    </w:p>
    <w:p w14:paraId="10A1DB3C">
      <w:pPr>
        <w:spacing w:line="360" w:lineRule="auto"/>
        <w:ind w:firstLine="480" w:firstLineChars="200"/>
        <w:outlineLvl w:val="1"/>
        <w:rPr>
          <w:rFonts w:hint="eastAsia"/>
          <w:bCs/>
          <w:sz w:val="24"/>
          <w:szCs w:val="24"/>
          <w:highlight w:val="none"/>
        </w:rPr>
      </w:pPr>
      <w:r>
        <w:rPr>
          <w:rFonts w:hint="eastAsia"/>
          <w:bCs/>
          <w:sz w:val="24"/>
          <w:szCs w:val="24"/>
          <w:highlight w:val="none"/>
        </w:rPr>
        <w:t>剩余合同总价的5%为质保金，质保期满后，</w:t>
      </w:r>
      <w:r>
        <w:rPr>
          <w:rFonts w:hint="eastAsia"/>
          <w:bCs/>
          <w:sz w:val="24"/>
          <w:szCs w:val="24"/>
          <w:highlight w:val="none"/>
          <w:lang w:val="en-US" w:eastAsia="zh-CN"/>
        </w:rPr>
        <w:t>乙方</w:t>
      </w:r>
      <w:r>
        <w:rPr>
          <w:rFonts w:hint="eastAsia"/>
          <w:bCs/>
          <w:sz w:val="24"/>
          <w:szCs w:val="24"/>
          <w:highlight w:val="none"/>
        </w:rPr>
        <w:t>提交请款资料，</w:t>
      </w:r>
      <w:r>
        <w:rPr>
          <w:rFonts w:hint="eastAsia"/>
          <w:bCs/>
          <w:sz w:val="24"/>
          <w:szCs w:val="24"/>
          <w:highlight w:val="none"/>
          <w:lang w:val="en-US" w:eastAsia="zh-CN"/>
        </w:rPr>
        <w:t>甲方</w:t>
      </w:r>
      <w:r>
        <w:rPr>
          <w:rFonts w:hint="eastAsia"/>
          <w:bCs/>
          <w:sz w:val="24"/>
          <w:szCs w:val="24"/>
          <w:highlight w:val="none"/>
        </w:rPr>
        <w:t>在收到有效资料的三十个日历日内完成支付。</w:t>
      </w:r>
    </w:p>
    <w:p w14:paraId="6C41013D">
      <w:pPr>
        <w:spacing w:line="360" w:lineRule="auto"/>
        <w:ind w:firstLine="480" w:firstLineChars="200"/>
        <w:outlineLvl w:val="1"/>
        <w:rPr>
          <w:bCs/>
          <w:sz w:val="24"/>
          <w:szCs w:val="24"/>
          <w:highlight w:val="none"/>
        </w:rPr>
      </w:pPr>
      <w:r>
        <w:rPr>
          <w:rFonts w:hint="eastAsia"/>
          <w:bCs/>
          <w:sz w:val="24"/>
          <w:szCs w:val="24"/>
          <w:highlight w:val="none"/>
        </w:rPr>
        <w:t>（二）乙方缴存的履约保证金</w:t>
      </w:r>
      <w:r>
        <w:rPr>
          <w:rFonts w:hint="eastAsia"/>
          <w:bCs/>
          <w:sz w:val="24"/>
          <w:szCs w:val="24"/>
          <w:highlight w:val="none"/>
          <w:lang w:eastAsia="zh-CN"/>
        </w:rPr>
        <w:t>（</w:t>
      </w:r>
      <w:r>
        <w:rPr>
          <w:rFonts w:hint="eastAsia"/>
          <w:bCs/>
          <w:sz w:val="24"/>
          <w:szCs w:val="24"/>
          <w:highlight w:val="none"/>
          <w:lang w:val="en-US" w:eastAsia="zh-CN"/>
        </w:rPr>
        <w:t>￥  ,000.00）在本项目最后一批货到验收合格之日后，乙方没有任何违约的情况下由乙方提交退款申请，甲方在收到退款申请后30个日历日内一次性无息退回</w:t>
      </w:r>
      <w:r>
        <w:rPr>
          <w:rFonts w:hint="eastAsia"/>
          <w:bCs/>
          <w:sz w:val="24"/>
          <w:szCs w:val="24"/>
          <w:highlight w:val="none"/>
        </w:rPr>
        <w:t>。</w:t>
      </w:r>
    </w:p>
    <w:p w14:paraId="7BE64309">
      <w:pPr>
        <w:spacing w:line="360" w:lineRule="auto"/>
        <w:ind w:firstLine="480" w:firstLineChars="200"/>
        <w:rPr>
          <w:bCs/>
          <w:sz w:val="24"/>
          <w:szCs w:val="24"/>
          <w:highlight w:val="none"/>
        </w:rPr>
      </w:pPr>
      <w:r>
        <w:rPr>
          <w:rFonts w:hint="eastAsia"/>
          <w:bCs/>
          <w:sz w:val="24"/>
          <w:szCs w:val="24"/>
          <w:highlight w:val="none"/>
        </w:rPr>
        <w:t>（三）乙方的收款账户信息如下：</w:t>
      </w:r>
    </w:p>
    <w:p w14:paraId="6735E855">
      <w:pPr>
        <w:spacing w:line="360" w:lineRule="auto"/>
        <w:ind w:firstLine="480" w:firstLineChars="200"/>
        <w:rPr>
          <w:sz w:val="24"/>
          <w:szCs w:val="24"/>
          <w:highlight w:val="none"/>
        </w:rPr>
      </w:pPr>
      <w:r>
        <w:rPr>
          <w:rFonts w:hint="eastAsia"/>
          <w:sz w:val="24"/>
          <w:szCs w:val="24"/>
          <w:highlight w:val="none"/>
        </w:rPr>
        <w:t>开户银行：</w:t>
      </w:r>
    </w:p>
    <w:p w14:paraId="4A4B57B8">
      <w:pPr>
        <w:spacing w:line="360" w:lineRule="auto"/>
        <w:ind w:firstLine="480" w:firstLineChars="200"/>
        <w:rPr>
          <w:sz w:val="24"/>
          <w:szCs w:val="24"/>
          <w:highlight w:val="none"/>
        </w:rPr>
      </w:pPr>
      <w:r>
        <w:rPr>
          <w:rFonts w:hint="eastAsia"/>
          <w:sz w:val="24"/>
          <w:szCs w:val="24"/>
          <w:highlight w:val="none"/>
        </w:rPr>
        <w:t>开户行账号：</w:t>
      </w:r>
    </w:p>
    <w:p w14:paraId="3AE76A34">
      <w:pPr>
        <w:spacing w:line="360" w:lineRule="auto"/>
        <w:ind w:firstLine="480" w:firstLineChars="200"/>
        <w:rPr>
          <w:sz w:val="24"/>
          <w:szCs w:val="24"/>
          <w:highlight w:val="none"/>
        </w:rPr>
      </w:pPr>
      <w:r>
        <w:rPr>
          <w:rFonts w:hint="eastAsia"/>
          <w:sz w:val="24"/>
          <w:szCs w:val="24"/>
          <w:highlight w:val="none"/>
        </w:rPr>
        <w:t>收款单位名：</w:t>
      </w:r>
    </w:p>
    <w:p w14:paraId="04AB1EF0">
      <w:pPr>
        <w:spacing w:line="360" w:lineRule="auto"/>
        <w:ind w:firstLine="480" w:firstLineChars="200"/>
        <w:rPr>
          <w:sz w:val="24"/>
          <w:szCs w:val="24"/>
          <w:highlight w:val="none"/>
        </w:rPr>
      </w:pPr>
      <w:r>
        <w:rPr>
          <w:rFonts w:hint="eastAsia"/>
          <w:sz w:val="24"/>
          <w:szCs w:val="24"/>
          <w:highlight w:val="none"/>
        </w:rPr>
        <w:t>收款单位统一社会信用代码（纳税人识别号）：</w:t>
      </w:r>
    </w:p>
    <w:p w14:paraId="08669F47">
      <w:pPr>
        <w:spacing w:line="360" w:lineRule="auto"/>
        <w:ind w:firstLine="480" w:firstLineChars="200"/>
        <w:rPr>
          <w:bCs/>
          <w:sz w:val="24"/>
          <w:szCs w:val="24"/>
          <w:highlight w:val="none"/>
        </w:rPr>
      </w:pPr>
      <w:r>
        <w:rPr>
          <w:rFonts w:hint="eastAsia"/>
          <w:sz w:val="24"/>
          <w:szCs w:val="24"/>
          <w:highlight w:val="none"/>
        </w:rPr>
        <w:t>因乙方收款账户信息填写错误、变更账户、账户被冻结等非甲方原因，导致乙方未能收到本合同款项的，甲方不承担责任。</w:t>
      </w:r>
    </w:p>
    <w:p w14:paraId="1880C5DD">
      <w:pPr>
        <w:spacing w:line="360" w:lineRule="auto"/>
        <w:ind w:firstLine="482" w:firstLineChars="200"/>
        <w:rPr>
          <w:bCs/>
          <w:sz w:val="24"/>
          <w:szCs w:val="24"/>
          <w:highlight w:val="none"/>
        </w:rPr>
      </w:pPr>
      <w:bookmarkStart w:id="41" w:name="_Toc25644_WPSOffice_Level1"/>
      <w:r>
        <w:rPr>
          <w:rFonts w:hint="eastAsia"/>
          <w:b/>
          <w:sz w:val="24"/>
          <w:szCs w:val="24"/>
          <w:highlight w:val="none"/>
        </w:rPr>
        <w:t>四、货物的验收和服务</w:t>
      </w:r>
      <w:bookmarkEnd w:id="41"/>
    </w:p>
    <w:p w14:paraId="37119797">
      <w:pPr>
        <w:spacing w:line="360" w:lineRule="auto"/>
        <w:ind w:firstLine="480" w:firstLineChars="200"/>
        <w:rPr>
          <w:bCs/>
          <w:sz w:val="24"/>
          <w:szCs w:val="24"/>
          <w:highlight w:val="none"/>
        </w:rPr>
      </w:pPr>
      <w:r>
        <w:rPr>
          <w:rFonts w:hint="eastAsia"/>
          <w:bCs/>
          <w:sz w:val="24"/>
          <w:szCs w:val="24"/>
          <w:highlight w:val="none"/>
        </w:rPr>
        <w:t>（一）货物送达甲方指定地点后，在甲乙双方共同参加下进行验收，</w:t>
      </w:r>
      <w:r>
        <w:rPr>
          <w:rFonts w:hint="eastAsia"/>
          <w:sz w:val="24"/>
          <w:szCs w:val="24"/>
          <w:highlight w:val="none"/>
        </w:rPr>
        <w:t>询价文件、报价文件、合同、厂家货物技术标准说明及国家有关的质量和环保标准规定，均为验收依据。验收过程所发生的一切费用由乙方承担，并签署项目验收报告</w:t>
      </w:r>
      <w:r>
        <w:rPr>
          <w:rFonts w:hint="eastAsia"/>
          <w:bCs/>
          <w:sz w:val="24"/>
          <w:szCs w:val="24"/>
          <w:highlight w:val="none"/>
        </w:rPr>
        <w:t>。</w:t>
      </w:r>
    </w:p>
    <w:p w14:paraId="28123FF1">
      <w:pPr>
        <w:spacing w:line="360" w:lineRule="auto"/>
        <w:ind w:firstLine="480" w:firstLineChars="200"/>
        <w:rPr>
          <w:sz w:val="24"/>
          <w:szCs w:val="24"/>
          <w:highlight w:val="none"/>
        </w:rPr>
      </w:pPr>
      <w:r>
        <w:rPr>
          <w:rFonts w:hint="eastAsia"/>
          <w:sz w:val="24"/>
          <w:szCs w:val="24"/>
          <w:highlight w:val="none"/>
        </w:rPr>
        <w:t>（二）货物的包装均应有良好的防湿、防锈、防潮、防雨、防腐及防碰撞的措施，</w:t>
      </w:r>
      <w:r>
        <w:rPr>
          <w:rFonts w:hint="eastAsia"/>
          <w:bCs/>
          <w:sz w:val="24"/>
          <w:szCs w:val="24"/>
          <w:highlight w:val="none"/>
        </w:rPr>
        <w:t>在正常情况下能够保证货物的完好</w:t>
      </w:r>
      <w:r>
        <w:rPr>
          <w:rFonts w:hint="eastAsia"/>
          <w:sz w:val="24"/>
          <w:szCs w:val="24"/>
          <w:highlight w:val="none"/>
        </w:rPr>
        <w:t>。凡由于包装不良造成的损失和由此产生的费用均由乙方承担。</w:t>
      </w:r>
    </w:p>
    <w:p w14:paraId="400128D6">
      <w:pPr>
        <w:spacing w:line="360" w:lineRule="auto"/>
        <w:ind w:firstLine="480" w:firstLineChars="200"/>
        <w:rPr>
          <w:sz w:val="24"/>
          <w:szCs w:val="24"/>
          <w:highlight w:val="none"/>
        </w:rPr>
      </w:pPr>
      <w:r>
        <w:rPr>
          <w:rFonts w:hint="eastAsia"/>
          <w:sz w:val="24"/>
          <w:szCs w:val="24"/>
          <w:highlight w:val="none"/>
        </w:rPr>
        <w:t>（三）验收按国家有关的规定、规范进行。验收时如发现所交付的货物有短装、次品、损坏、质量不合格或不符合国家有关的规定、规范、行业标准或其它不符合本合同规定之情形者，甲方有权要求乙方立即予以更换或退货。如甲方选择更换的，乙方应在</w:t>
      </w:r>
      <w:r>
        <w:rPr>
          <w:sz w:val="24"/>
          <w:szCs w:val="24"/>
          <w:highlight w:val="none"/>
        </w:rPr>
        <w:t>10</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21345831">
      <w:pPr>
        <w:spacing w:line="360" w:lineRule="auto"/>
        <w:ind w:firstLine="480" w:firstLineChars="200"/>
        <w:rPr>
          <w:sz w:val="24"/>
          <w:szCs w:val="24"/>
          <w:highlight w:val="none"/>
        </w:rPr>
      </w:pPr>
      <w:r>
        <w:rPr>
          <w:rFonts w:hint="eastAsia"/>
          <w:sz w:val="24"/>
          <w:szCs w:val="24"/>
          <w:highlight w:val="none"/>
        </w:rPr>
        <w:t>（四）货物在验收后，如因质量问题导致在使用过程中损坏而无法正常使用，经甲乙双方确认为质量问题后，甲方有权要求乙方立即予以更换或退货。如甲方选择更换的，乙方应在</w:t>
      </w:r>
      <w:r>
        <w:rPr>
          <w:sz w:val="24"/>
          <w:szCs w:val="24"/>
          <w:highlight w:val="none"/>
        </w:rPr>
        <w:t>3</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退还已支付的费用，同时支付合同总金额</w:t>
      </w:r>
      <w:r>
        <w:rPr>
          <w:sz w:val="24"/>
          <w:szCs w:val="24"/>
          <w:highlight w:val="none"/>
        </w:rPr>
        <w:t>20%</w:t>
      </w:r>
      <w:r>
        <w:rPr>
          <w:rFonts w:hint="eastAsia"/>
          <w:sz w:val="24"/>
          <w:szCs w:val="24"/>
          <w:highlight w:val="none"/>
        </w:rPr>
        <w:t>的违约金，违约金不足以赔偿因此给甲方造成的损失的，甲方有权另行追偿。如甲乙双方对货物是否存在质量问题无法达成一致的，甲方有权聘请第三方机构进行检测，如检测结果为货物存在质量问题，则检测费用由乙方承担。</w:t>
      </w:r>
    </w:p>
    <w:p w14:paraId="2886FA51">
      <w:pPr>
        <w:spacing w:line="360" w:lineRule="auto"/>
        <w:ind w:firstLine="480" w:firstLineChars="200"/>
        <w:rPr>
          <w:sz w:val="24"/>
          <w:szCs w:val="24"/>
          <w:highlight w:val="none"/>
        </w:rPr>
      </w:pPr>
      <w:r>
        <w:rPr>
          <w:rFonts w:hint="eastAsia"/>
          <w:sz w:val="24"/>
          <w:szCs w:val="24"/>
          <w:highlight w:val="none"/>
        </w:rPr>
        <w:t>（五）货物必须具备出厂合格证，乙方保证合同货物是全新、未曾使用过的，其质量、规格及技术特征符合合同附件</w:t>
      </w:r>
      <w:r>
        <w:rPr>
          <w:sz w:val="24"/>
          <w:szCs w:val="24"/>
          <w:highlight w:val="none"/>
        </w:rPr>
        <w:t>1</w:t>
      </w:r>
      <w:r>
        <w:rPr>
          <w:rFonts w:hint="eastAsia"/>
          <w:sz w:val="24"/>
          <w:szCs w:val="24"/>
          <w:highlight w:val="none"/>
        </w:rPr>
        <w:t>的要求</w:t>
      </w:r>
      <w:r>
        <w:rPr>
          <w:rFonts w:hint="eastAsia"/>
          <w:sz w:val="24"/>
          <w:szCs w:val="24"/>
          <w:highlight w:val="none"/>
          <w:lang w:eastAsia="zh-CN"/>
        </w:rPr>
        <w:t>，</w:t>
      </w:r>
      <w:r>
        <w:rPr>
          <w:rFonts w:hint="eastAsia"/>
          <w:sz w:val="24"/>
          <w:szCs w:val="24"/>
          <w:highlight w:val="none"/>
          <w:lang w:val="en-US" w:eastAsia="zh-CN"/>
        </w:rPr>
        <w:t>乙方严禁提供假冒伪劣、盗版、山寨、仿冒或产权不明等不合格货物</w:t>
      </w:r>
      <w:r>
        <w:rPr>
          <w:rFonts w:hint="eastAsia"/>
          <w:sz w:val="24"/>
          <w:szCs w:val="24"/>
          <w:highlight w:val="none"/>
        </w:rPr>
        <w:t>。否则，甲方有权要求乙方立即予以更换或退货。如甲方选择更换的，乙方应在</w:t>
      </w:r>
      <w:r>
        <w:rPr>
          <w:sz w:val="24"/>
          <w:szCs w:val="24"/>
          <w:highlight w:val="none"/>
        </w:rPr>
        <w:t>10</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6F7F0127">
      <w:pPr>
        <w:spacing w:line="360" w:lineRule="auto"/>
        <w:ind w:firstLine="480"/>
        <w:rPr>
          <w:sz w:val="24"/>
          <w:szCs w:val="24"/>
          <w:highlight w:val="none"/>
        </w:rPr>
      </w:pPr>
      <w:r>
        <w:rPr>
          <w:rFonts w:hint="eastAsia"/>
          <w:sz w:val="24"/>
          <w:szCs w:val="24"/>
          <w:highlight w:val="none"/>
        </w:rPr>
        <w:t>（六）货物的样式、外观情况根据甲方要求，材质等符合国家或行业相关标准，且均为合格产品。</w:t>
      </w:r>
    </w:p>
    <w:p w14:paraId="68C73E87">
      <w:pPr>
        <w:spacing w:line="360" w:lineRule="auto"/>
        <w:ind w:firstLine="480"/>
        <w:rPr>
          <w:rFonts w:hint="eastAsia"/>
          <w:sz w:val="24"/>
          <w:szCs w:val="24"/>
          <w:highlight w:val="none"/>
        </w:rPr>
      </w:pPr>
      <w:r>
        <w:rPr>
          <w:rFonts w:hint="eastAsia"/>
          <w:sz w:val="24"/>
          <w:szCs w:val="24"/>
          <w:highlight w:val="none"/>
        </w:rPr>
        <w:t>（七）质保期：</w:t>
      </w:r>
      <w:r>
        <w:rPr>
          <w:rFonts w:hint="eastAsia"/>
          <w:sz w:val="24"/>
          <w:szCs w:val="24"/>
          <w:highlight w:val="none"/>
          <w:lang w:val="en-US" w:eastAsia="zh-CN"/>
        </w:rPr>
        <w:t>货物</w:t>
      </w:r>
      <w:r>
        <w:rPr>
          <w:rFonts w:hint="eastAsia"/>
          <w:sz w:val="24"/>
          <w:szCs w:val="24"/>
          <w:highlight w:val="none"/>
        </w:rPr>
        <w:t>自验收合格之日起整体质保5年（其中气体灭火装置的电控部分可提供不低于2年质保，但整体质保期按5年执行，质保期内免费维修或更换，包含药剂补充）。</w:t>
      </w:r>
    </w:p>
    <w:p w14:paraId="3E83A6E5">
      <w:pPr>
        <w:spacing w:line="360" w:lineRule="auto"/>
        <w:ind w:firstLine="482" w:firstLineChars="200"/>
        <w:rPr>
          <w:rFonts w:hint="eastAsia"/>
          <w:b/>
          <w:sz w:val="24"/>
          <w:szCs w:val="24"/>
          <w:highlight w:val="none"/>
          <w:lang w:val="en-US" w:eastAsia="zh-CN"/>
        </w:rPr>
      </w:pPr>
      <w:r>
        <w:rPr>
          <w:rFonts w:hint="eastAsia"/>
          <w:b/>
          <w:sz w:val="24"/>
          <w:szCs w:val="24"/>
          <w:highlight w:val="none"/>
          <w:lang w:val="en-US" w:eastAsia="zh-CN"/>
        </w:rPr>
        <w:t>五</w:t>
      </w:r>
      <w:r>
        <w:rPr>
          <w:rFonts w:hint="eastAsia"/>
          <w:b/>
          <w:sz w:val="24"/>
          <w:szCs w:val="24"/>
          <w:highlight w:val="none"/>
        </w:rPr>
        <w:t>、</w:t>
      </w:r>
      <w:r>
        <w:rPr>
          <w:rFonts w:hint="eastAsia"/>
          <w:b/>
          <w:sz w:val="24"/>
          <w:szCs w:val="24"/>
          <w:highlight w:val="none"/>
          <w:lang w:val="en-US" w:eastAsia="zh-CN"/>
        </w:rPr>
        <w:t>技术</w:t>
      </w:r>
      <w:r>
        <w:rPr>
          <w:rFonts w:hint="eastAsia"/>
          <w:b/>
          <w:sz w:val="24"/>
          <w:szCs w:val="24"/>
          <w:highlight w:val="none"/>
        </w:rPr>
        <w:t>服务</w:t>
      </w:r>
      <w:r>
        <w:rPr>
          <w:rFonts w:hint="eastAsia"/>
          <w:b/>
          <w:sz w:val="24"/>
          <w:szCs w:val="24"/>
          <w:highlight w:val="none"/>
          <w:lang w:val="en-US" w:eastAsia="zh-CN"/>
        </w:rPr>
        <w:t>要求</w:t>
      </w:r>
    </w:p>
    <w:p w14:paraId="517B3C4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技术指标：手动密集架及气体灭火装置的所有部件均需符合上述配置说明中的规格、材料及技术参数要求。手动密集架应符合GB/T13667.3-2013标准，气体灭火装置应符合GB50370-2005、GB50116-2013、GB50263-2007等国家标准。</w:t>
      </w:r>
    </w:p>
    <w:p w14:paraId="7D00663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（二）兼容性要求：需与公司三楼档案室现有空间布局、电源接口及消防联动系统相匹配</w:t>
      </w:r>
    </w:p>
    <w:p w14:paraId="1372AED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安装调试要求：乙方负责所有货物的运输、现场组装、调试。密集架安装需确保架体移动平稳、轻便，制动可靠，轨道平整。气体灭火装置安装需由具备消防设施工程专业承包资质的单位实施，确保系统联动正常，所有线路敷设符合消防规范。</w:t>
      </w:r>
    </w:p>
    <w:p w14:paraId="2F87A50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（四）试运行要求：安装调试完毕后，密集架需进行不少于7天的试运行，气体灭火系统需进行模拟联动测试，所有功能运行正常，无异常噪音、卡滞、误报等问题。</w:t>
      </w:r>
    </w:p>
    <w:p w14:paraId="0AB2B91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验收方法及标准：依据采购标的配置说明、设计图纸及国家相关标准进行验收。密集架验收标准同原要求；气体灭火装置需提供消防产品身份认证、型式检验报告、产品合格证。验收合格标准为：产品规格型号、数量、材质与合同一致；安装牢固，运行平稳灵活；外观无损伤、涂层均匀无瑕疵；各项功能实现正常。</w:t>
      </w:r>
    </w:p>
    <w:p w14:paraId="69D1219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（六）技术培训：乙方需对甲方使用人员进行不少于半天的现场培训，内容包括密集架的操作维护、气体灭火系统的原理、操作（包括紧急启动/停止、手自动切换）、日常检查及应急处理。</w:t>
      </w:r>
    </w:p>
    <w:p w14:paraId="419B117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（七）其他：供应商需提供完整的产品技术资料、设计图纸、设计效果图、安装图纸、操作手册及保修卡。气体灭火装置需提供药剂充装记录、压力表检验证书等。</w:t>
      </w:r>
    </w:p>
    <w:p w14:paraId="72E951B3">
      <w:pPr>
        <w:pStyle w:val="15"/>
      </w:pPr>
    </w:p>
    <w:p w14:paraId="3846CA18">
      <w:pPr>
        <w:spacing w:line="360" w:lineRule="auto"/>
        <w:ind w:firstLine="482" w:firstLineChars="200"/>
        <w:rPr>
          <w:b/>
          <w:sz w:val="24"/>
          <w:szCs w:val="24"/>
          <w:highlight w:val="none"/>
        </w:rPr>
      </w:pPr>
      <w:bookmarkStart w:id="42" w:name="_Toc8841_WPSOffice_Level1"/>
      <w:r>
        <w:rPr>
          <w:rFonts w:hint="eastAsia"/>
          <w:b/>
          <w:sz w:val="24"/>
          <w:szCs w:val="24"/>
          <w:highlight w:val="none"/>
          <w:lang w:val="en-US" w:eastAsia="zh-CN"/>
        </w:rPr>
        <w:t>六</w:t>
      </w:r>
      <w:r>
        <w:rPr>
          <w:rFonts w:hint="eastAsia"/>
          <w:b/>
          <w:sz w:val="24"/>
          <w:szCs w:val="24"/>
          <w:highlight w:val="none"/>
        </w:rPr>
        <w:t>、双方义务</w:t>
      </w:r>
      <w:bookmarkEnd w:id="42"/>
    </w:p>
    <w:p w14:paraId="55C669C3">
      <w:pPr>
        <w:spacing w:line="360" w:lineRule="auto"/>
        <w:ind w:firstLine="480" w:firstLineChars="200"/>
        <w:rPr>
          <w:sz w:val="24"/>
          <w:szCs w:val="24"/>
          <w:highlight w:val="none"/>
        </w:rPr>
      </w:pPr>
      <w:bookmarkStart w:id="43" w:name="_Toc28030_WPSOffice_Level2"/>
      <w:r>
        <w:rPr>
          <w:sz w:val="24"/>
          <w:szCs w:val="24"/>
          <w:highlight w:val="none"/>
        </w:rPr>
        <w:t>(</w:t>
      </w:r>
      <w:r>
        <w:rPr>
          <w:rFonts w:hint="eastAsia"/>
          <w:sz w:val="24"/>
          <w:szCs w:val="24"/>
          <w:highlight w:val="none"/>
        </w:rPr>
        <w:t>一</w:t>
      </w:r>
      <w:r>
        <w:rPr>
          <w:sz w:val="24"/>
          <w:szCs w:val="24"/>
          <w:highlight w:val="none"/>
        </w:rPr>
        <w:t xml:space="preserve">) </w:t>
      </w:r>
      <w:r>
        <w:rPr>
          <w:rFonts w:hint="eastAsia"/>
          <w:sz w:val="24"/>
          <w:szCs w:val="24"/>
          <w:highlight w:val="none"/>
        </w:rPr>
        <w:t>甲方义务</w:t>
      </w:r>
      <w:bookmarkEnd w:id="43"/>
    </w:p>
    <w:p w14:paraId="3112E168">
      <w:pPr>
        <w:spacing w:line="360" w:lineRule="auto"/>
        <w:ind w:firstLine="480" w:firstLineChars="200"/>
        <w:rPr>
          <w:sz w:val="24"/>
          <w:szCs w:val="24"/>
          <w:highlight w:val="none"/>
        </w:rPr>
      </w:pPr>
      <w:r>
        <w:rPr>
          <w:sz w:val="24"/>
          <w:szCs w:val="24"/>
          <w:highlight w:val="none"/>
        </w:rPr>
        <w:t>1</w:t>
      </w:r>
      <w:r>
        <w:rPr>
          <w:rFonts w:hint="eastAsia"/>
          <w:sz w:val="24"/>
          <w:szCs w:val="24"/>
          <w:highlight w:val="none"/>
        </w:rPr>
        <w:t>、负责按合同规定日期向乙方支付合同款；</w:t>
      </w:r>
    </w:p>
    <w:p w14:paraId="0729BC00">
      <w:pPr>
        <w:spacing w:line="360" w:lineRule="auto"/>
        <w:ind w:firstLine="480" w:firstLineChars="200"/>
        <w:rPr>
          <w:sz w:val="24"/>
          <w:szCs w:val="24"/>
          <w:highlight w:val="none"/>
        </w:rPr>
      </w:pPr>
      <w:r>
        <w:rPr>
          <w:sz w:val="24"/>
          <w:szCs w:val="24"/>
          <w:highlight w:val="none"/>
        </w:rPr>
        <w:t>2</w:t>
      </w:r>
      <w:r>
        <w:rPr>
          <w:rFonts w:hint="eastAsia"/>
          <w:sz w:val="24"/>
          <w:szCs w:val="24"/>
          <w:highlight w:val="none"/>
        </w:rPr>
        <w:t>、负责向乙方验收并确认货物的有关规格、产品款式、质量、安装等；</w:t>
      </w:r>
    </w:p>
    <w:p w14:paraId="1C9C3377">
      <w:pPr>
        <w:spacing w:line="360" w:lineRule="auto"/>
        <w:ind w:right="210" w:rightChars="100" w:firstLine="480" w:firstLineChars="200"/>
        <w:rPr>
          <w:sz w:val="24"/>
          <w:szCs w:val="24"/>
          <w:highlight w:val="none"/>
        </w:rPr>
      </w:pPr>
      <w:r>
        <w:rPr>
          <w:sz w:val="24"/>
          <w:szCs w:val="24"/>
          <w:highlight w:val="none"/>
        </w:rPr>
        <w:t>3</w:t>
      </w:r>
      <w:r>
        <w:rPr>
          <w:rFonts w:hint="eastAsia"/>
          <w:sz w:val="24"/>
          <w:szCs w:val="24"/>
          <w:highlight w:val="none"/>
        </w:rPr>
        <w:t>、对乙方需要确认的内容，甲方应在</w:t>
      </w:r>
      <w:r>
        <w:rPr>
          <w:sz w:val="24"/>
          <w:szCs w:val="24"/>
          <w:highlight w:val="none"/>
        </w:rPr>
        <w:t>48</w:t>
      </w:r>
      <w:r>
        <w:rPr>
          <w:rFonts w:hint="eastAsia"/>
          <w:sz w:val="24"/>
          <w:szCs w:val="24"/>
          <w:highlight w:val="none"/>
        </w:rPr>
        <w:t>小时内给以确认或提出修改意见。如在</w:t>
      </w:r>
      <w:r>
        <w:rPr>
          <w:sz w:val="24"/>
          <w:szCs w:val="24"/>
          <w:highlight w:val="none"/>
        </w:rPr>
        <w:t>48</w:t>
      </w:r>
      <w:r>
        <w:rPr>
          <w:rFonts w:hint="eastAsia"/>
          <w:sz w:val="24"/>
          <w:szCs w:val="24"/>
          <w:highlight w:val="none"/>
        </w:rPr>
        <w:t>小时内不能确认，供货时间得以顺延。</w:t>
      </w:r>
    </w:p>
    <w:p w14:paraId="5F9613BC">
      <w:pPr>
        <w:spacing w:line="360" w:lineRule="auto"/>
        <w:ind w:right="210" w:rightChars="100" w:firstLine="480" w:firstLineChars="200"/>
        <w:rPr>
          <w:sz w:val="24"/>
          <w:szCs w:val="24"/>
          <w:highlight w:val="none"/>
        </w:rPr>
      </w:pPr>
      <w:bookmarkStart w:id="44" w:name="_Toc14680_WPSOffice_Level2"/>
      <w:r>
        <w:rPr>
          <w:sz w:val="24"/>
          <w:szCs w:val="24"/>
          <w:highlight w:val="none"/>
        </w:rPr>
        <w:t>(</w:t>
      </w:r>
      <w:r>
        <w:rPr>
          <w:rFonts w:hint="eastAsia"/>
          <w:sz w:val="24"/>
          <w:szCs w:val="24"/>
          <w:highlight w:val="none"/>
        </w:rPr>
        <w:t>二</w:t>
      </w:r>
      <w:r>
        <w:rPr>
          <w:sz w:val="24"/>
          <w:szCs w:val="24"/>
          <w:highlight w:val="none"/>
        </w:rPr>
        <w:t xml:space="preserve">) </w:t>
      </w:r>
      <w:r>
        <w:rPr>
          <w:rFonts w:hint="eastAsia"/>
          <w:sz w:val="24"/>
          <w:szCs w:val="24"/>
          <w:highlight w:val="none"/>
        </w:rPr>
        <w:t>乙方义务</w:t>
      </w:r>
      <w:bookmarkEnd w:id="44"/>
    </w:p>
    <w:p w14:paraId="5D043E86">
      <w:pPr>
        <w:spacing w:line="360" w:lineRule="auto"/>
        <w:ind w:right="210" w:rightChars="100" w:firstLine="480" w:firstLineChars="200"/>
        <w:rPr>
          <w:sz w:val="24"/>
          <w:szCs w:val="24"/>
          <w:highlight w:val="none"/>
        </w:rPr>
      </w:pPr>
      <w:r>
        <w:rPr>
          <w:sz w:val="24"/>
          <w:szCs w:val="24"/>
          <w:highlight w:val="none"/>
        </w:rPr>
        <w:t>1</w:t>
      </w:r>
      <w:r>
        <w:rPr>
          <w:rFonts w:hint="eastAsia"/>
          <w:sz w:val="24"/>
          <w:szCs w:val="24"/>
          <w:highlight w:val="none"/>
        </w:rPr>
        <w:t>、乙方按本合同的约定时间及标准进行供货及服务；</w:t>
      </w:r>
    </w:p>
    <w:p w14:paraId="64C9DD7C">
      <w:pPr>
        <w:spacing w:line="360" w:lineRule="auto"/>
        <w:ind w:right="210" w:rightChars="100" w:firstLine="480" w:firstLineChars="200"/>
        <w:rPr>
          <w:sz w:val="24"/>
          <w:szCs w:val="24"/>
          <w:highlight w:val="none"/>
        </w:rPr>
      </w:pPr>
      <w:r>
        <w:rPr>
          <w:sz w:val="24"/>
          <w:szCs w:val="24"/>
          <w:highlight w:val="none"/>
        </w:rPr>
        <w:t>2</w:t>
      </w:r>
      <w:r>
        <w:rPr>
          <w:rFonts w:hint="eastAsia"/>
          <w:sz w:val="24"/>
          <w:szCs w:val="24"/>
          <w:highlight w:val="none"/>
        </w:rPr>
        <w:t>、货物应满足甲方需求及本合同的约定，具体以实物为准；</w:t>
      </w:r>
    </w:p>
    <w:p w14:paraId="6DAAED40">
      <w:pPr>
        <w:spacing w:line="360" w:lineRule="auto"/>
        <w:ind w:right="210" w:rightChars="100" w:firstLine="480" w:firstLineChars="200"/>
        <w:rPr>
          <w:sz w:val="24"/>
          <w:szCs w:val="24"/>
          <w:highlight w:val="none"/>
        </w:rPr>
      </w:pPr>
      <w:r>
        <w:rPr>
          <w:sz w:val="24"/>
          <w:szCs w:val="24"/>
          <w:highlight w:val="none"/>
        </w:rPr>
        <w:t>3</w:t>
      </w:r>
      <w:r>
        <w:rPr>
          <w:rFonts w:hint="eastAsia"/>
          <w:sz w:val="24"/>
          <w:szCs w:val="24"/>
          <w:highlight w:val="none"/>
        </w:rPr>
        <w:t>、如在验收过程中发现货物存在质量不合格、不符合有关国家或行业标准或与甲方《东莞市海心沙资源综合利用中心环保热电厂档案室手动密集架及气体灭火装置采购项目</w:t>
      </w:r>
      <w:r>
        <w:rPr>
          <w:rFonts w:hint="eastAsia"/>
          <w:sz w:val="24"/>
          <w:szCs w:val="24"/>
          <w:highlight w:val="none"/>
          <w:lang w:val="en-US" w:eastAsia="zh-CN"/>
        </w:rPr>
        <w:t>需求书</w:t>
      </w:r>
      <w:r>
        <w:rPr>
          <w:rFonts w:hint="eastAsia"/>
          <w:sz w:val="24"/>
          <w:szCs w:val="24"/>
          <w:highlight w:val="none"/>
        </w:rPr>
        <w:t>》不符等问题，乙方须按照甲方的要求在</w:t>
      </w:r>
      <w:r>
        <w:rPr>
          <w:sz w:val="24"/>
          <w:szCs w:val="24"/>
          <w:highlight w:val="none"/>
        </w:rPr>
        <w:t>10</w:t>
      </w:r>
      <w:r>
        <w:rPr>
          <w:rFonts w:hint="eastAsia"/>
          <w:sz w:val="24"/>
          <w:szCs w:val="24"/>
          <w:highlight w:val="none"/>
        </w:rPr>
        <w:t>个日历日内予以免费更换或退货，否则，乙方应按照第六条第（一）款向甲方承担违约责任。</w:t>
      </w:r>
    </w:p>
    <w:p w14:paraId="3A33A5DA">
      <w:pPr>
        <w:spacing w:line="360" w:lineRule="auto"/>
        <w:ind w:right="210" w:rightChars="100" w:firstLine="482" w:firstLineChars="200"/>
        <w:rPr>
          <w:b/>
          <w:sz w:val="24"/>
          <w:szCs w:val="24"/>
          <w:highlight w:val="none"/>
        </w:rPr>
      </w:pPr>
      <w:bookmarkStart w:id="45" w:name="_Toc11843_WPSOffice_Level1"/>
      <w:r>
        <w:rPr>
          <w:rFonts w:hint="eastAsia"/>
          <w:b/>
          <w:sz w:val="24"/>
          <w:szCs w:val="24"/>
          <w:highlight w:val="none"/>
          <w:lang w:val="en-US" w:eastAsia="zh-CN"/>
        </w:rPr>
        <w:t>七</w:t>
      </w:r>
      <w:r>
        <w:rPr>
          <w:rFonts w:hint="eastAsia"/>
          <w:b/>
          <w:sz w:val="24"/>
          <w:szCs w:val="24"/>
          <w:highlight w:val="none"/>
        </w:rPr>
        <w:t>、违约责任</w:t>
      </w:r>
      <w:bookmarkEnd w:id="45"/>
    </w:p>
    <w:p w14:paraId="7A8D28E9">
      <w:pPr>
        <w:spacing w:line="360" w:lineRule="auto"/>
        <w:ind w:right="210" w:rightChars="100" w:firstLine="480" w:firstLineChars="200"/>
        <w:rPr>
          <w:sz w:val="24"/>
          <w:szCs w:val="24"/>
          <w:highlight w:val="none"/>
        </w:rPr>
      </w:pPr>
      <w:r>
        <w:rPr>
          <w:rFonts w:hint="eastAsia"/>
          <w:sz w:val="24"/>
          <w:szCs w:val="24"/>
          <w:highlight w:val="none"/>
        </w:rPr>
        <w:t>（一）乙方未按合同约定交期按时交货、安装或交付相关的技术资料的，每逾期一天则相应应向甲方支付合同总额的</w:t>
      </w:r>
      <w:r>
        <w:rPr>
          <w:sz w:val="24"/>
          <w:szCs w:val="24"/>
          <w:highlight w:val="none"/>
        </w:rPr>
        <w:t>3‰</w:t>
      </w:r>
      <w:r>
        <w:rPr>
          <w:rFonts w:hint="eastAsia"/>
          <w:sz w:val="24"/>
          <w:szCs w:val="24"/>
          <w:highlight w:val="none"/>
        </w:rPr>
        <w:t>作为违约金，逾期达</w:t>
      </w:r>
      <w:r>
        <w:rPr>
          <w:sz w:val="24"/>
          <w:szCs w:val="24"/>
          <w:highlight w:val="none"/>
        </w:rPr>
        <w:t>20</w:t>
      </w:r>
      <w:r>
        <w:rPr>
          <w:rFonts w:hint="eastAsia"/>
          <w:sz w:val="24"/>
          <w:szCs w:val="24"/>
          <w:highlight w:val="none"/>
        </w:rPr>
        <w:t>个日历日的，甲方有权单方解除合同，没收全部履约保证金。乙方应退还已支付的货款，并另行支付合同总金额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66140F92">
      <w:pPr>
        <w:spacing w:line="360" w:lineRule="auto"/>
        <w:ind w:right="210" w:rightChars="100" w:firstLine="480" w:firstLineChars="200"/>
        <w:rPr>
          <w:sz w:val="24"/>
          <w:szCs w:val="24"/>
          <w:highlight w:val="none"/>
        </w:rPr>
      </w:pPr>
      <w:r>
        <w:rPr>
          <w:rFonts w:hint="eastAsia"/>
          <w:sz w:val="24"/>
          <w:szCs w:val="24"/>
          <w:highlight w:val="none"/>
        </w:rPr>
        <w:t>（二）甲方未按合同约定日期按时付款的，每逾期一天则相应应向乙方支付未付款总额的</w:t>
      </w:r>
      <w:r>
        <w:rPr>
          <w:sz w:val="24"/>
          <w:szCs w:val="24"/>
          <w:highlight w:val="none"/>
        </w:rPr>
        <w:t>3‰</w:t>
      </w:r>
      <w:r>
        <w:rPr>
          <w:rFonts w:hint="eastAsia"/>
          <w:sz w:val="24"/>
          <w:szCs w:val="24"/>
          <w:highlight w:val="none"/>
        </w:rPr>
        <w:t>作为违约赔偿金，逾期达</w:t>
      </w:r>
      <w:r>
        <w:rPr>
          <w:sz w:val="24"/>
          <w:szCs w:val="24"/>
          <w:highlight w:val="none"/>
        </w:rPr>
        <w:t>20</w:t>
      </w:r>
      <w:r>
        <w:rPr>
          <w:rFonts w:hint="eastAsia"/>
          <w:sz w:val="24"/>
          <w:szCs w:val="24"/>
          <w:highlight w:val="none"/>
        </w:rPr>
        <w:t>个日历日的，乙方有权单方终止合同并要求甲方赔偿一切损失。</w:t>
      </w:r>
    </w:p>
    <w:p w14:paraId="4487D06A">
      <w:pPr>
        <w:spacing w:line="360" w:lineRule="auto"/>
        <w:ind w:right="210" w:rightChars="100" w:firstLine="480" w:firstLineChars="200"/>
        <w:rPr>
          <w:rFonts w:hint="eastAsia"/>
          <w:sz w:val="24"/>
          <w:szCs w:val="24"/>
          <w:highlight w:val="none"/>
        </w:rPr>
      </w:pPr>
      <w:r>
        <w:rPr>
          <w:rFonts w:hint="eastAsia"/>
          <w:sz w:val="24"/>
          <w:szCs w:val="24"/>
          <w:highlight w:val="none"/>
        </w:rPr>
        <w:t>（三）因一方或双方遇不可抗力不能继续履行合同时，双方互免承担违约责任，可在结清已发生费用后，解除合同。</w:t>
      </w:r>
    </w:p>
    <w:p w14:paraId="0C0EEF33">
      <w:pPr>
        <w:spacing w:line="360" w:lineRule="auto"/>
        <w:ind w:right="210" w:rightChars="100" w:firstLine="482" w:firstLineChars="200"/>
        <w:rPr>
          <w:b/>
          <w:bCs/>
          <w:sz w:val="24"/>
          <w:szCs w:val="24"/>
          <w:highlight w:val="none"/>
        </w:rPr>
      </w:pPr>
      <w:bookmarkStart w:id="46" w:name="_Toc4307_WPSOffice_Level1"/>
      <w:r>
        <w:rPr>
          <w:rFonts w:hint="eastAsia"/>
          <w:b/>
          <w:bCs/>
          <w:sz w:val="24"/>
          <w:szCs w:val="24"/>
          <w:highlight w:val="none"/>
          <w:lang w:val="en-US" w:eastAsia="zh-CN"/>
        </w:rPr>
        <w:t>八</w:t>
      </w:r>
      <w:r>
        <w:rPr>
          <w:rFonts w:hint="eastAsia"/>
          <w:b/>
          <w:bCs/>
          <w:sz w:val="24"/>
          <w:szCs w:val="24"/>
          <w:highlight w:val="none"/>
        </w:rPr>
        <w:t>、不可抗力</w:t>
      </w:r>
      <w:bookmarkEnd w:id="46"/>
    </w:p>
    <w:p w14:paraId="6E42111B">
      <w:pPr>
        <w:spacing w:line="360" w:lineRule="auto"/>
        <w:ind w:right="210" w:rightChars="100" w:firstLine="480" w:firstLineChars="200"/>
        <w:rPr>
          <w:sz w:val="24"/>
          <w:szCs w:val="24"/>
          <w:highlight w:val="none"/>
        </w:rPr>
      </w:pPr>
      <w:r>
        <w:rPr>
          <w:rFonts w:hint="eastAsia"/>
          <w:sz w:val="24"/>
          <w:szCs w:val="24"/>
          <w:highlight w:val="none"/>
        </w:rPr>
        <w:t>（一）不可抗力指战争、严重火灾、洪水、台风、地震等或其它双方认定的不可抗力事件。</w:t>
      </w:r>
    </w:p>
    <w:p w14:paraId="364D96CF">
      <w:pPr>
        <w:spacing w:line="360" w:lineRule="auto"/>
        <w:ind w:right="210" w:rightChars="100" w:firstLine="480" w:firstLineChars="200"/>
        <w:rPr>
          <w:sz w:val="24"/>
          <w:szCs w:val="24"/>
          <w:highlight w:val="none"/>
        </w:rPr>
      </w:pPr>
      <w:r>
        <w:rPr>
          <w:rFonts w:hint="eastAsia"/>
          <w:sz w:val="24"/>
          <w:szCs w:val="24"/>
          <w:highlight w:val="none"/>
        </w:rPr>
        <w:t>（二）签约双方中任何一方由于不可抗力影响合同执行时，发生不可抗力一方应尽快将事故通知另一方。在此情况下，乙方仍然有责任采取必要的措施加速供货，双方应通过友好协商尽快解决本合同的执行问题。</w:t>
      </w:r>
    </w:p>
    <w:p w14:paraId="539F5F2A">
      <w:pPr>
        <w:spacing w:line="360" w:lineRule="auto"/>
        <w:ind w:firstLine="482" w:firstLineChars="200"/>
        <w:rPr>
          <w:b/>
          <w:sz w:val="24"/>
          <w:szCs w:val="24"/>
          <w:highlight w:val="none"/>
        </w:rPr>
      </w:pPr>
      <w:bookmarkStart w:id="47" w:name="_Toc2393_WPSOffice_Level1"/>
      <w:r>
        <w:rPr>
          <w:rFonts w:hint="eastAsia"/>
          <w:b/>
          <w:sz w:val="24"/>
          <w:szCs w:val="24"/>
          <w:highlight w:val="none"/>
          <w:lang w:val="en-US" w:eastAsia="zh-CN"/>
        </w:rPr>
        <w:t>九</w:t>
      </w:r>
      <w:r>
        <w:rPr>
          <w:rFonts w:hint="eastAsia"/>
          <w:b/>
          <w:sz w:val="24"/>
          <w:szCs w:val="24"/>
          <w:highlight w:val="none"/>
        </w:rPr>
        <w:t>、争议的解决</w:t>
      </w:r>
      <w:bookmarkEnd w:id="47"/>
    </w:p>
    <w:p w14:paraId="3EC9AD46">
      <w:pPr>
        <w:spacing w:line="360" w:lineRule="auto"/>
        <w:ind w:firstLine="480" w:firstLineChars="200"/>
        <w:rPr>
          <w:sz w:val="24"/>
          <w:szCs w:val="24"/>
          <w:highlight w:val="none"/>
        </w:rPr>
      </w:pPr>
      <w:r>
        <w:rPr>
          <w:rFonts w:hint="eastAsia"/>
          <w:sz w:val="24"/>
          <w:szCs w:val="24"/>
          <w:highlight w:val="none"/>
        </w:rPr>
        <w:t>因履行本合同发生的任何争议，双方本着友好互利的原则协商解决。协商不成时应向广州仲裁委员会东莞分会提起仲裁。除有争议的部分外，双方应继续履行本合同所约定的义务。</w:t>
      </w:r>
    </w:p>
    <w:p w14:paraId="450839E6">
      <w:pPr>
        <w:spacing w:line="360" w:lineRule="auto"/>
        <w:ind w:firstLine="482" w:firstLineChars="200"/>
        <w:rPr>
          <w:b/>
          <w:sz w:val="24"/>
          <w:szCs w:val="24"/>
          <w:highlight w:val="none"/>
        </w:rPr>
      </w:pPr>
      <w:bookmarkStart w:id="48" w:name="_Toc27346_WPSOffice_Level1"/>
      <w:r>
        <w:rPr>
          <w:rFonts w:hint="eastAsia"/>
          <w:b/>
          <w:sz w:val="24"/>
          <w:szCs w:val="24"/>
          <w:highlight w:val="none"/>
          <w:lang w:val="en-US" w:eastAsia="zh-CN"/>
        </w:rPr>
        <w:t>十</w:t>
      </w:r>
      <w:r>
        <w:rPr>
          <w:rFonts w:hint="eastAsia"/>
          <w:b/>
          <w:sz w:val="24"/>
          <w:szCs w:val="24"/>
          <w:highlight w:val="none"/>
        </w:rPr>
        <w:t>、其它约定</w:t>
      </w:r>
      <w:bookmarkEnd w:id="48"/>
    </w:p>
    <w:p w14:paraId="72B88A2B">
      <w:pPr>
        <w:spacing w:line="360" w:lineRule="auto"/>
        <w:ind w:firstLine="480" w:firstLineChars="200"/>
        <w:rPr>
          <w:sz w:val="24"/>
          <w:szCs w:val="24"/>
          <w:highlight w:val="none"/>
        </w:rPr>
      </w:pPr>
      <w:r>
        <w:rPr>
          <w:rFonts w:hint="eastAsia"/>
          <w:sz w:val="24"/>
          <w:szCs w:val="24"/>
          <w:highlight w:val="none"/>
        </w:rPr>
        <w:t>（一）本合同任何内容的修改，须由双方进行协商，并另行签订补充协议或书面文件，所签订的补充协议或相关合同附件均为本合同不可分割部分，与本合同具有同等法律效力。任何一方自行更改或解除合同的，按违约处理；合同中未尽事项，由双方协商另行签订补充协议。</w:t>
      </w:r>
    </w:p>
    <w:p w14:paraId="43861994">
      <w:pPr>
        <w:spacing w:line="360" w:lineRule="auto"/>
        <w:ind w:firstLine="480" w:firstLineChars="200"/>
        <w:rPr>
          <w:sz w:val="24"/>
          <w:szCs w:val="24"/>
          <w:highlight w:val="none"/>
        </w:rPr>
      </w:pPr>
      <w:r>
        <w:rPr>
          <w:rFonts w:hint="eastAsia"/>
          <w:sz w:val="24"/>
          <w:szCs w:val="24"/>
          <w:highlight w:val="none"/>
        </w:rPr>
        <w:t>（二）任何一方未经另一方的书面同意，均不得将本合同的权利、义务、利益转移给第三方。</w:t>
      </w:r>
    </w:p>
    <w:p w14:paraId="7C62BF32">
      <w:pPr>
        <w:spacing w:line="360" w:lineRule="auto"/>
        <w:ind w:firstLine="480" w:firstLineChars="200"/>
        <w:rPr>
          <w:sz w:val="24"/>
          <w:szCs w:val="24"/>
          <w:highlight w:val="none"/>
        </w:rPr>
      </w:pPr>
      <w:r>
        <w:rPr>
          <w:rFonts w:hint="eastAsia"/>
          <w:sz w:val="24"/>
          <w:szCs w:val="24"/>
          <w:highlight w:val="none"/>
        </w:rPr>
        <w:t>（三）本合同一式</w:t>
      </w:r>
      <w:r>
        <w:rPr>
          <w:rFonts w:hint="eastAsia"/>
          <w:sz w:val="24"/>
          <w:szCs w:val="24"/>
          <w:highlight w:val="none"/>
          <w:lang w:val="en-US" w:eastAsia="zh-CN"/>
        </w:rPr>
        <w:t>伍</w:t>
      </w:r>
      <w:r>
        <w:rPr>
          <w:rFonts w:hint="eastAsia"/>
          <w:sz w:val="24"/>
          <w:szCs w:val="24"/>
          <w:highlight w:val="none"/>
        </w:rPr>
        <w:t>份，甲方执</w:t>
      </w:r>
      <w:r>
        <w:rPr>
          <w:rFonts w:hint="eastAsia"/>
          <w:sz w:val="24"/>
          <w:szCs w:val="24"/>
          <w:highlight w:val="none"/>
          <w:lang w:val="en-US" w:eastAsia="zh-CN"/>
        </w:rPr>
        <w:t>叁</w:t>
      </w:r>
      <w:r>
        <w:rPr>
          <w:rFonts w:hint="eastAsia"/>
          <w:sz w:val="24"/>
          <w:szCs w:val="24"/>
          <w:highlight w:val="none"/>
        </w:rPr>
        <w:t>份、乙方执贰份。本合同双方代表签字盖章后生效，合同履行完毕后自行失效。</w:t>
      </w:r>
    </w:p>
    <w:p w14:paraId="70735320">
      <w:pPr>
        <w:spacing w:line="360" w:lineRule="auto"/>
        <w:ind w:firstLine="480" w:firstLineChars="200"/>
        <w:rPr>
          <w:sz w:val="24"/>
          <w:szCs w:val="24"/>
          <w:highlight w:val="none"/>
        </w:rPr>
      </w:pPr>
      <w:r>
        <w:rPr>
          <w:rFonts w:hint="eastAsia"/>
          <w:sz w:val="24"/>
          <w:szCs w:val="24"/>
          <w:highlight w:val="none"/>
        </w:rPr>
        <w:t>（四）本合同附件：</w:t>
      </w:r>
    </w:p>
    <w:p w14:paraId="512B3C5F">
      <w:pPr>
        <w:spacing w:line="360" w:lineRule="auto"/>
        <w:ind w:firstLine="480" w:firstLineChars="200"/>
        <w:rPr>
          <w:rFonts w:hint="eastAsia"/>
          <w:sz w:val="24"/>
          <w:szCs w:val="24"/>
          <w:highlight w:val="none"/>
        </w:rPr>
      </w:pPr>
      <w:bookmarkStart w:id="49" w:name="_Toc8760_WPSOffice_Level1"/>
      <w:r>
        <w:rPr>
          <w:rFonts w:hint="eastAsia"/>
          <w:sz w:val="24"/>
          <w:szCs w:val="24"/>
          <w:highlight w:val="none"/>
        </w:rPr>
        <w:t>附件</w:t>
      </w:r>
      <w:r>
        <w:rPr>
          <w:sz w:val="24"/>
          <w:szCs w:val="24"/>
          <w:highlight w:val="none"/>
        </w:rPr>
        <w:t>1</w:t>
      </w:r>
      <w:r>
        <w:rPr>
          <w:rFonts w:hint="eastAsia"/>
          <w:sz w:val="24"/>
          <w:szCs w:val="24"/>
          <w:highlight w:val="none"/>
        </w:rPr>
        <w:t>：《报价清单》</w:t>
      </w:r>
      <w:bookmarkEnd w:id="49"/>
    </w:p>
    <w:p w14:paraId="02A5BB6D">
      <w:pPr>
        <w:spacing w:line="360" w:lineRule="auto"/>
        <w:ind w:firstLine="480" w:firstLineChars="200"/>
        <w:rPr>
          <w:rFonts w:hint="eastAsia"/>
          <w:sz w:val="24"/>
          <w:szCs w:val="24"/>
          <w:highlight w:val="none"/>
        </w:rPr>
      </w:pPr>
      <w:r>
        <w:rPr>
          <w:rFonts w:hint="eastAsia"/>
          <w:sz w:val="24"/>
          <w:szCs w:val="24"/>
          <w:highlight w:val="none"/>
        </w:rPr>
        <w:t>附件</w:t>
      </w:r>
      <w:r>
        <w:rPr>
          <w:rFonts w:hint="eastAsia"/>
          <w:sz w:val="24"/>
          <w:szCs w:val="24"/>
          <w:highlight w:val="none"/>
          <w:lang w:val="en-US" w:eastAsia="zh-CN"/>
        </w:rPr>
        <w:t>2</w:t>
      </w:r>
      <w:r>
        <w:rPr>
          <w:rFonts w:hint="eastAsia"/>
          <w:sz w:val="24"/>
          <w:szCs w:val="24"/>
          <w:highlight w:val="none"/>
        </w:rPr>
        <w:t>：《东莞市海心沙资源综合利用中心环保热电厂档案室手动密集架及气体灭火装置采购项目</w:t>
      </w:r>
      <w:r>
        <w:rPr>
          <w:rFonts w:hint="eastAsia"/>
          <w:sz w:val="24"/>
          <w:szCs w:val="24"/>
          <w:highlight w:val="none"/>
          <w:lang w:val="en-US" w:eastAsia="zh-CN"/>
        </w:rPr>
        <w:t>需求书</w:t>
      </w:r>
      <w:r>
        <w:rPr>
          <w:rFonts w:hint="eastAsia"/>
          <w:sz w:val="24"/>
          <w:szCs w:val="24"/>
          <w:highlight w:val="none"/>
        </w:rPr>
        <w:t>》</w:t>
      </w:r>
    </w:p>
    <w:p w14:paraId="6E097DF1">
      <w:pPr>
        <w:spacing w:line="360" w:lineRule="auto"/>
        <w:ind w:firstLine="480" w:firstLineChars="200"/>
        <w:rPr>
          <w:sz w:val="24"/>
          <w:szCs w:val="24"/>
          <w:highlight w:val="none"/>
        </w:rPr>
      </w:pPr>
      <w:bookmarkStart w:id="50" w:name="_Toc29124_WPSOffice_Level1"/>
      <w:r>
        <w:rPr>
          <w:rFonts w:hint="eastAsia"/>
          <w:sz w:val="24"/>
          <w:szCs w:val="24"/>
          <w:highlight w:val="none"/>
        </w:rPr>
        <w:t>附件</w:t>
      </w:r>
      <w:r>
        <w:rPr>
          <w:rFonts w:hint="eastAsia"/>
          <w:sz w:val="24"/>
          <w:szCs w:val="24"/>
          <w:highlight w:val="none"/>
          <w:lang w:val="en-US" w:eastAsia="zh-CN"/>
        </w:rPr>
        <w:t>3</w:t>
      </w:r>
      <w:r>
        <w:rPr>
          <w:rFonts w:hint="eastAsia"/>
          <w:sz w:val="24"/>
          <w:szCs w:val="24"/>
          <w:highlight w:val="none"/>
        </w:rPr>
        <w:t>：《阳光合作协议》</w:t>
      </w:r>
      <w:bookmarkEnd w:id="50"/>
    </w:p>
    <w:p w14:paraId="1B967741">
      <w:pPr>
        <w:spacing w:line="360" w:lineRule="auto"/>
        <w:ind w:firstLine="480" w:firstLineChars="200"/>
        <w:rPr>
          <w:sz w:val="24"/>
          <w:szCs w:val="24"/>
          <w:highlight w:val="none"/>
        </w:rPr>
      </w:pPr>
    </w:p>
    <w:p w14:paraId="5DDFF55A">
      <w:pPr>
        <w:rPr>
          <w:sz w:val="24"/>
          <w:szCs w:val="24"/>
          <w:highlight w:val="none"/>
        </w:rPr>
      </w:pPr>
      <w:r>
        <w:rPr>
          <w:sz w:val="24"/>
          <w:szCs w:val="24"/>
          <w:highlight w:val="none"/>
        </w:rPr>
        <w:br w:type="page"/>
      </w:r>
    </w:p>
    <w:p w14:paraId="04166E49">
      <w:pPr>
        <w:spacing w:line="360" w:lineRule="auto"/>
        <w:rPr>
          <w:sz w:val="24"/>
          <w:szCs w:val="24"/>
          <w:highlight w:val="none"/>
        </w:rPr>
      </w:pPr>
      <w:r>
        <w:rPr>
          <w:sz w:val="24"/>
          <w:szCs w:val="24"/>
          <w:highlight w:val="none"/>
        </w:rPr>
        <w:t xml:space="preserve"> </w:t>
      </w:r>
      <w:r>
        <w:rPr>
          <w:rFonts w:hint="eastAsia"/>
          <w:sz w:val="24"/>
          <w:szCs w:val="24"/>
          <w:highlight w:val="none"/>
        </w:rPr>
        <w:t>甲方（盖章）：</w:t>
      </w:r>
      <w:r>
        <w:rPr>
          <w:sz w:val="24"/>
          <w:szCs w:val="24"/>
          <w:highlight w:val="none"/>
        </w:rPr>
        <w:t xml:space="preserve">                     </w:t>
      </w:r>
      <w:r>
        <w:rPr>
          <w:rFonts w:hint="eastAsia"/>
          <w:sz w:val="24"/>
          <w:szCs w:val="24"/>
          <w:highlight w:val="none"/>
        </w:rPr>
        <w:t>乙方（盖章）：</w:t>
      </w:r>
    </w:p>
    <w:p w14:paraId="6F14ADF5">
      <w:pPr>
        <w:spacing w:line="360" w:lineRule="auto"/>
        <w:ind w:firstLine="240" w:firstLineChars="100"/>
        <w:rPr>
          <w:sz w:val="24"/>
          <w:szCs w:val="24"/>
          <w:highlight w:val="none"/>
        </w:rPr>
      </w:pPr>
    </w:p>
    <w:p w14:paraId="6E93017C">
      <w:pPr>
        <w:spacing w:line="360" w:lineRule="auto"/>
        <w:ind w:firstLine="240" w:firstLineChars="100"/>
        <w:rPr>
          <w:sz w:val="24"/>
          <w:szCs w:val="24"/>
          <w:highlight w:val="none"/>
        </w:rPr>
      </w:pPr>
      <w:r>
        <w:rPr>
          <w:rFonts w:hint="eastAsia"/>
          <w:sz w:val="24"/>
          <w:szCs w:val="24"/>
          <w:highlight w:val="none"/>
        </w:rPr>
        <w:t>法定代表人（签章）：</w:t>
      </w:r>
      <w:r>
        <w:rPr>
          <w:sz w:val="24"/>
          <w:szCs w:val="24"/>
          <w:highlight w:val="none"/>
        </w:rPr>
        <w:t xml:space="preserve">               </w:t>
      </w:r>
      <w:r>
        <w:rPr>
          <w:rFonts w:hint="eastAsia"/>
          <w:sz w:val="24"/>
          <w:szCs w:val="24"/>
          <w:highlight w:val="none"/>
        </w:rPr>
        <w:t>法定代表人（签章）：</w:t>
      </w:r>
    </w:p>
    <w:p w14:paraId="1CDF2DAB">
      <w:pPr>
        <w:spacing w:line="360" w:lineRule="auto"/>
        <w:ind w:firstLine="240" w:firstLineChars="100"/>
        <w:rPr>
          <w:sz w:val="24"/>
          <w:szCs w:val="24"/>
          <w:highlight w:val="none"/>
        </w:rPr>
      </w:pPr>
    </w:p>
    <w:p w14:paraId="4140FB4D">
      <w:pPr>
        <w:spacing w:line="360" w:lineRule="auto"/>
        <w:ind w:firstLine="240" w:firstLineChars="100"/>
        <w:rPr>
          <w:sz w:val="24"/>
          <w:szCs w:val="24"/>
          <w:highlight w:val="none"/>
        </w:rPr>
      </w:pPr>
      <w:r>
        <w:rPr>
          <w:rFonts w:hint="eastAsia"/>
          <w:sz w:val="24"/>
          <w:szCs w:val="24"/>
          <w:highlight w:val="none"/>
        </w:rPr>
        <w:t>或授权代表人（签字）：</w:t>
      </w:r>
      <w:r>
        <w:rPr>
          <w:sz w:val="24"/>
          <w:szCs w:val="24"/>
          <w:highlight w:val="none"/>
        </w:rPr>
        <w:t xml:space="preserve">             </w:t>
      </w:r>
      <w:r>
        <w:rPr>
          <w:rFonts w:hint="eastAsia"/>
          <w:sz w:val="24"/>
          <w:szCs w:val="24"/>
          <w:highlight w:val="none"/>
        </w:rPr>
        <w:t>或授权代表人（签字）：</w:t>
      </w:r>
    </w:p>
    <w:p w14:paraId="17D8AE3C">
      <w:pPr>
        <w:spacing w:line="360" w:lineRule="auto"/>
        <w:ind w:left="4290" w:leftChars="100" w:hanging="4080" w:hangingChars="1700"/>
        <w:rPr>
          <w:sz w:val="24"/>
          <w:szCs w:val="24"/>
          <w:highlight w:val="none"/>
        </w:rPr>
      </w:pPr>
      <w:r>
        <w:rPr>
          <w:sz w:val="24"/>
          <w:szCs w:val="24"/>
          <w:highlight w:val="none"/>
        </w:rPr>
        <w:t xml:space="preserve">                                 </w:t>
      </w:r>
    </w:p>
    <w:p w14:paraId="353B04F9">
      <w:pPr>
        <w:pStyle w:val="6"/>
        <w:rPr>
          <w:b/>
          <w:bCs/>
          <w:sz w:val="24"/>
          <w:szCs w:val="24"/>
          <w:highlight w:val="none"/>
        </w:rPr>
      </w:pPr>
      <w:r>
        <w:rPr>
          <w:rFonts w:hint="eastAsia"/>
          <w:sz w:val="24"/>
          <w:szCs w:val="24"/>
          <w:highlight w:val="none"/>
        </w:rPr>
        <w:t>签约地点：东莞市</w:t>
      </w:r>
      <w:r>
        <w:rPr>
          <w:rFonts w:hint="eastAsia"/>
          <w:sz w:val="24"/>
          <w:szCs w:val="24"/>
          <w:highlight w:val="none"/>
          <w:lang w:val="en-US" w:eastAsia="zh-CN"/>
        </w:rPr>
        <w:t xml:space="preserve">                      </w:t>
      </w:r>
      <w:r>
        <w:rPr>
          <w:rFonts w:hint="eastAsia"/>
          <w:sz w:val="24"/>
          <w:szCs w:val="24"/>
          <w:highlight w:val="none"/>
        </w:rPr>
        <w:t>签订时间：</w:t>
      </w:r>
      <w:r>
        <w:rPr>
          <w:sz w:val="24"/>
          <w:szCs w:val="24"/>
          <w:highlight w:val="none"/>
        </w:rPr>
        <w:t>202</w:t>
      </w:r>
      <w:r>
        <w:rPr>
          <w:rFonts w:hint="eastAsia"/>
          <w:sz w:val="24"/>
          <w:szCs w:val="24"/>
          <w:highlight w:val="none"/>
          <w:lang w:val="en-US" w:eastAsia="zh-CN"/>
        </w:rPr>
        <w:t>6</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p>
    <w:p w14:paraId="48D4E53D">
      <w:pPr>
        <w:spacing w:line="360" w:lineRule="auto"/>
        <w:rPr>
          <w:rFonts w:hint="eastAsia"/>
          <w:b/>
          <w:bCs/>
          <w:sz w:val="24"/>
          <w:szCs w:val="24"/>
          <w:highlight w:val="none"/>
        </w:rPr>
      </w:pPr>
      <w:r>
        <w:rPr>
          <w:b/>
          <w:bCs/>
          <w:sz w:val="24"/>
          <w:szCs w:val="24"/>
          <w:highlight w:val="none"/>
        </w:rPr>
        <w:br w:type="page"/>
      </w:r>
      <w:bookmarkStart w:id="51" w:name="_Toc18006_WPSOffice_Level1"/>
      <w:r>
        <w:rPr>
          <w:rFonts w:hint="eastAsia"/>
          <w:b/>
          <w:bCs/>
          <w:sz w:val="24"/>
          <w:szCs w:val="24"/>
          <w:highlight w:val="none"/>
        </w:rPr>
        <w:t>附件</w:t>
      </w:r>
      <w:r>
        <w:rPr>
          <w:b/>
          <w:bCs/>
          <w:sz w:val="24"/>
          <w:szCs w:val="24"/>
          <w:highlight w:val="none"/>
        </w:rPr>
        <w:t>1</w:t>
      </w:r>
      <w:r>
        <w:rPr>
          <w:rFonts w:hint="eastAsia"/>
          <w:b/>
          <w:bCs/>
          <w:sz w:val="24"/>
          <w:szCs w:val="24"/>
          <w:highlight w:val="none"/>
        </w:rPr>
        <w:t>：《报价清单》</w:t>
      </w:r>
      <w:bookmarkEnd w:id="51"/>
      <w:r>
        <w:rPr>
          <w:rFonts w:hint="eastAsia"/>
          <w:b/>
          <w:bCs/>
          <w:sz w:val="24"/>
          <w:szCs w:val="24"/>
          <w:highlight w:val="none"/>
        </w:rPr>
        <w:t>　</w:t>
      </w:r>
    </w:p>
    <w:p w14:paraId="2AD1D155">
      <w:pPr>
        <w:spacing w:line="240" w:lineRule="auto"/>
        <w:rPr>
          <w:rFonts w:hint="eastAsia"/>
          <w:b/>
          <w:bCs/>
          <w:sz w:val="24"/>
          <w:szCs w:val="24"/>
          <w:highlight w:val="none"/>
        </w:rPr>
      </w:pPr>
    </w:p>
    <w:p w14:paraId="3E0CCC41">
      <w:pPr>
        <w:spacing w:line="240" w:lineRule="auto"/>
        <w:rPr>
          <w:rFonts w:hint="eastAsia"/>
          <w:b/>
          <w:bCs/>
          <w:sz w:val="24"/>
          <w:szCs w:val="24"/>
          <w:highlight w:val="none"/>
        </w:rPr>
      </w:pPr>
    </w:p>
    <w:p w14:paraId="58330BDE">
      <w:pPr>
        <w:spacing w:line="240" w:lineRule="auto"/>
        <w:rPr>
          <w:rFonts w:hint="eastAsia"/>
          <w:b/>
          <w:bCs/>
          <w:sz w:val="24"/>
          <w:szCs w:val="24"/>
          <w:highlight w:val="none"/>
        </w:rPr>
      </w:pPr>
    </w:p>
    <w:p w14:paraId="00E769B0">
      <w:pPr>
        <w:spacing w:line="240" w:lineRule="auto"/>
        <w:rPr>
          <w:rFonts w:hint="eastAsia"/>
          <w:b/>
          <w:bCs/>
          <w:sz w:val="24"/>
          <w:szCs w:val="24"/>
          <w:highlight w:val="none"/>
        </w:rPr>
      </w:pPr>
    </w:p>
    <w:p w14:paraId="238CFE05">
      <w:pPr>
        <w:spacing w:line="240" w:lineRule="auto"/>
        <w:rPr>
          <w:rFonts w:hint="eastAsia"/>
          <w:b/>
          <w:bCs/>
          <w:sz w:val="24"/>
          <w:szCs w:val="24"/>
          <w:highlight w:val="none"/>
        </w:rPr>
      </w:pPr>
    </w:p>
    <w:p w14:paraId="2294D8E0">
      <w:pPr>
        <w:spacing w:line="240" w:lineRule="auto"/>
        <w:rPr>
          <w:rFonts w:hint="eastAsia"/>
          <w:b/>
          <w:bCs/>
          <w:sz w:val="24"/>
          <w:szCs w:val="24"/>
          <w:highlight w:val="none"/>
        </w:rPr>
      </w:pPr>
    </w:p>
    <w:p w14:paraId="01A21C06">
      <w:pPr>
        <w:spacing w:line="240" w:lineRule="auto"/>
        <w:rPr>
          <w:rFonts w:hint="eastAsia"/>
          <w:b/>
          <w:bCs/>
          <w:sz w:val="24"/>
          <w:szCs w:val="24"/>
          <w:highlight w:val="none"/>
        </w:rPr>
      </w:pPr>
    </w:p>
    <w:p w14:paraId="1E89D208">
      <w:pPr>
        <w:spacing w:line="240" w:lineRule="auto"/>
        <w:rPr>
          <w:rFonts w:hint="eastAsia"/>
          <w:b/>
          <w:bCs/>
          <w:sz w:val="24"/>
          <w:szCs w:val="24"/>
          <w:highlight w:val="none"/>
        </w:rPr>
      </w:pPr>
    </w:p>
    <w:p w14:paraId="19EDC753">
      <w:pPr>
        <w:spacing w:line="240" w:lineRule="auto"/>
        <w:rPr>
          <w:rFonts w:hint="eastAsia"/>
          <w:b/>
          <w:bCs/>
          <w:sz w:val="24"/>
          <w:szCs w:val="24"/>
          <w:highlight w:val="none"/>
        </w:rPr>
      </w:pPr>
    </w:p>
    <w:p w14:paraId="688113A9">
      <w:pPr>
        <w:spacing w:line="240" w:lineRule="auto"/>
        <w:rPr>
          <w:rFonts w:hint="eastAsia"/>
          <w:b/>
          <w:bCs/>
          <w:sz w:val="24"/>
          <w:szCs w:val="24"/>
          <w:highlight w:val="none"/>
        </w:rPr>
      </w:pPr>
    </w:p>
    <w:p w14:paraId="075BF099">
      <w:pPr>
        <w:spacing w:line="240" w:lineRule="auto"/>
        <w:rPr>
          <w:rFonts w:hint="eastAsia"/>
          <w:b/>
          <w:bCs/>
          <w:sz w:val="24"/>
          <w:szCs w:val="24"/>
          <w:highlight w:val="none"/>
        </w:rPr>
      </w:pPr>
    </w:p>
    <w:p w14:paraId="14BE405F">
      <w:pPr>
        <w:spacing w:line="240" w:lineRule="auto"/>
        <w:rPr>
          <w:rFonts w:hint="eastAsia"/>
          <w:b/>
          <w:bCs/>
          <w:sz w:val="24"/>
          <w:szCs w:val="24"/>
          <w:highlight w:val="none"/>
        </w:rPr>
      </w:pPr>
    </w:p>
    <w:p w14:paraId="0991506E">
      <w:pPr>
        <w:spacing w:line="240" w:lineRule="auto"/>
        <w:rPr>
          <w:rFonts w:hint="eastAsia"/>
          <w:b/>
          <w:bCs/>
          <w:sz w:val="24"/>
          <w:szCs w:val="24"/>
          <w:highlight w:val="none"/>
        </w:rPr>
      </w:pPr>
    </w:p>
    <w:p w14:paraId="17A850A7">
      <w:pPr>
        <w:spacing w:line="240" w:lineRule="auto"/>
        <w:rPr>
          <w:rFonts w:hint="eastAsia"/>
          <w:b/>
          <w:bCs/>
          <w:sz w:val="24"/>
          <w:szCs w:val="24"/>
          <w:highlight w:val="none"/>
        </w:rPr>
      </w:pPr>
    </w:p>
    <w:p w14:paraId="1356FEE1">
      <w:pPr>
        <w:spacing w:line="240" w:lineRule="auto"/>
        <w:rPr>
          <w:rFonts w:hint="eastAsia"/>
          <w:b/>
          <w:bCs/>
          <w:sz w:val="24"/>
          <w:szCs w:val="24"/>
          <w:highlight w:val="none"/>
        </w:rPr>
      </w:pPr>
    </w:p>
    <w:p w14:paraId="255DB06F">
      <w:pPr>
        <w:spacing w:line="240" w:lineRule="auto"/>
        <w:rPr>
          <w:rFonts w:hint="eastAsia"/>
          <w:b/>
          <w:bCs/>
          <w:sz w:val="24"/>
          <w:szCs w:val="24"/>
          <w:highlight w:val="none"/>
        </w:rPr>
      </w:pPr>
    </w:p>
    <w:p w14:paraId="766B097F">
      <w:pPr>
        <w:spacing w:line="240" w:lineRule="auto"/>
        <w:rPr>
          <w:rFonts w:hint="eastAsia"/>
          <w:b/>
          <w:bCs/>
          <w:sz w:val="24"/>
          <w:szCs w:val="24"/>
          <w:highlight w:val="none"/>
        </w:rPr>
      </w:pPr>
    </w:p>
    <w:p w14:paraId="7C94CA54">
      <w:pPr>
        <w:spacing w:line="240" w:lineRule="auto"/>
        <w:rPr>
          <w:rFonts w:hint="eastAsia"/>
          <w:b/>
          <w:bCs/>
          <w:sz w:val="24"/>
          <w:szCs w:val="24"/>
          <w:highlight w:val="none"/>
        </w:rPr>
      </w:pPr>
    </w:p>
    <w:p w14:paraId="2858A013">
      <w:pPr>
        <w:spacing w:line="240" w:lineRule="auto"/>
        <w:rPr>
          <w:rFonts w:hint="eastAsia"/>
          <w:b/>
          <w:bCs/>
          <w:sz w:val="24"/>
          <w:szCs w:val="24"/>
          <w:highlight w:val="none"/>
        </w:rPr>
      </w:pPr>
    </w:p>
    <w:p w14:paraId="1F92B7BA">
      <w:pPr>
        <w:spacing w:line="240" w:lineRule="auto"/>
        <w:rPr>
          <w:rFonts w:hint="eastAsia"/>
          <w:b/>
          <w:bCs/>
          <w:sz w:val="24"/>
          <w:szCs w:val="24"/>
          <w:highlight w:val="none"/>
        </w:rPr>
      </w:pPr>
    </w:p>
    <w:p w14:paraId="7E2C343C">
      <w:pPr>
        <w:spacing w:line="240" w:lineRule="auto"/>
        <w:rPr>
          <w:rFonts w:hint="eastAsia"/>
          <w:b/>
          <w:bCs/>
          <w:sz w:val="24"/>
          <w:szCs w:val="24"/>
          <w:highlight w:val="none"/>
        </w:rPr>
      </w:pPr>
    </w:p>
    <w:p w14:paraId="282B81BD">
      <w:pPr>
        <w:spacing w:line="240" w:lineRule="auto"/>
        <w:rPr>
          <w:rFonts w:hint="eastAsia"/>
          <w:b/>
          <w:bCs/>
          <w:sz w:val="24"/>
          <w:szCs w:val="24"/>
          <w:highlight w:val="none"/>
        </w:rPr>
      </w:pPr>
    </w:p>
    <w:p w14:paraId="788E6660">
      <w:pPr>
        <w:spacing w:line="240" w:lineRule="auto"/>
        <w:rPr>
          <w:rFonts w:hint="eastAsia"/>
          <w:b/>
          <w:bCs/>
          <w:sz w:val="24"/>
          <w:szCs w:val="24"/>
          <w:highlight w:val="none"/>
        </w:rPr>
      </w:pPr>
    </w:p>
    <w:p w14:paraId="1DBF1E97">
      <w:pPr>
        <w:spacing w:line="240" w:lineRule="auto"/>
        <w:rPr>
          <w:rFonts w:hint="eastAsia"/>
          <w:b/>
          <w:bCs/>
          <w:sz w:val="24"/>
          <w:szCs w:val="24"/>
          <w:highlight w:val="none"/>
        </w:rPr>
      </w:pPr>
    </w:p>
    <w:p w14:paraId="6A6570B2">
      <w:pPr>
        <w:spacing w:line="240" w:lineRule="auto"/>
        <w:rPr>
          <w:rFonts w:hint="eastAsia"/>
          <w:b/>
          <w:bCs/>
          <w:sz w:val="24"/>
          <w:szCs w:val="24"/>
          <w:highlight w:val="none"/>
        </w:rPr>
      </w:pPr>
    </w:p>
    <w:p w14:paraId="2209FE01">
      <w:pPr>
        <w:spacing w:line="240" w:lineRule="auto"/>
        <w:rPr>
          <w:rFonts w:hint="eastAsia"/>
          <w:b/>
          <w:bCs/>
          <w:sz w:val="24"/>
          <w:szCs w:val="24"/>
          <w:highlight w:val="none"/>
        </w:rPr>
      </w:pPr>
    </w:p>
    <w:p w14:paraId="26F5A292">
      <w:pPr>
        <w:spacing w:line="240" w:lineRule="auto"/>
        <w:rPr>
          <w:rFonts w:hint="eastAsia"/>
          <w:b/>
          <w:bCs/>
          <w:sz w:val="24"/>
          <w:szCs w:val="24"/>
          <w:highlight w:val="none"/>
        </w:rPr>
      </w:pPr>
    </w:p>
    <w:p w14:paraId="106AE029">
      <w:pPr>
        <w:spacing w:line="240" w:lineRule="auto"/>
        <w:rPr>
          <w:rFonts w:hint="eastAsia"/>
          <w:b/>
          <w:bCs/>
          <w:sz w:val="24"/>
          <w:szCs w:val="24"/>
          <w:highlight w:val="none"/>
        </w:rPr>
      </w:pPr>
    </w:p>
    <w:p w14:paraId="38BF7058">
      <w:pPr>
        <w:spacing w:line="240" w:lineRule="auto"/>
        <w:rPr>
          <w:rFonts w:hint="eastAsia"/>
          <w:b/>
          <w:bCs/>
          <w:sz w:val="24"/>
          <w:szCs w:val="24"/>
          <w:highlight w:val="none"/>
        </w:rPr>
      </w:pPr>
    </w:p>
    <w:p w14:paraId="0A5CA921">
      <w:pPr>
        <w:spacing w:line="240" w:lineRule="auto"/>
        <w:rPr>
          <w:rFonts w:hint="eastAsia"/>
          <w:b/>
          <w:bCs/>
          <w:sz w:val="24"/>
          <w:szCs w:val="24"/>
          <w:highlight w:val="none"/>
        </w:rPr>
      </w:pPr>
    </w:p>
    <w:p w14:paraId="749FD885">
      <w:pPr>
        <w:spacing w:line="240" w:lineRule="auto"/>
        <w:rPr>
          <w:rFonts w:hint="eastAsia"/>
          <w:b/>
          <w:bCs/>
          <w:sz w:val="24"/>
          <w:szCs w:val="24"/>
          <w:highlight w:val="none"/>
        </w:rPr>
      </w:pPr>
    </w:p>
    <w:p w14:paraId="66F68475">
      <w:pPr>
        <w:spacing w:line="240" w:lineRule="auto"/>
        <w:rPr>
          <w:rFonts w:hint="eastAsia"/>
          <w:b/>
          <w:bCs/>
          <w:sz w:val="24"/>
          <w:szCs w:val="24"/>
          <w:highlight w:val="none"/>
        </w:rPr>
      </w:pPr>
    </w:p>
    <w:p w14:paraId="2AAD96B6">
      <w:pPr>
        <w:spacing w:line="240" w:lineRule="auto"/>
        <w:rPr>
          <w:rFonts w:hint="eastAsia"/>
          <w:b/>
          <w:bCs/>
          <w:sz w:val="24"/>
          <w:szCs w:val="24"/>
          <w:highlight w:val="none"/>
        </w:rPr>
      </w:pPr>
    </w:p>
    <w:p w14:paraId="2EC35596">
      <w:pPr>
        <w:spacing w:line="240" w:lineRule="auto"/>
        <w:rPr>
          <w:rFonts w:hint="eastAsia"/>
          <w:b/>
          <w:bCs/>
          <w:sz w:val="24"/>
          <w:szCs w:val="24"/>
          <w:highlight w:val="none"/>
        </w:rPr>
      </w:pPr>
    </w:p>
    <w:p w14:paraId="4E0B2438">
      <w:pPr>
        <w:spacing w:line="240" w:lineRule="auto"/>
        <w:rPr>
          <w:rFonts w:hint="eastAsia"/>
          <w:b/>
          <w:bCs/>
          <w:sz w:val="24"/>
          <w:szCs w:val="24"/>
          <w:highlight w:val="none"/>
        </w:rPr>
      </w:pPr>
    </w:p>
    <w:p w14:paraId="5358A1ED">
      <w:pPr>
        <w:spacing w:line="240" w:lineRule="auto"/>
        <w:rPr>
          <w:rFonts w:hint="eastAsia"/>
          <w:b/>
          <w:bCs/>
          <w:sz w:val="24"/>
          <w:szCs w:val="24"/>
          <w:highlight w:val="none"/>
        </w:rPr>
      </w:pPr>
    </w:p>
    <w:p w14:paraId="035085FB">
      <w:pPr>
        <w:spacing w:line="240" w:lineRule="auto"/>
        <w:rPr>
          <w:rFonts w:hint="eastAsia"/>
          <w:b/>
          <w:bCs/>
          <w:sz w:val="24"/>
          <w:szCs w:val="24"/>
          <w:highlight w:val="none"/>
        </w:rPr>
      </w:pPr>
    </w:p>
    <w:p w14:paraId="56559E8D">
      <w:pPr>
        <w:spacing w:line="240" w:lineRule="auto"/>
        <w:rPr>
          <w:rFonts w:hint="eastAsia"/>
          <w:b/>
          <w:bCs/>
          <w:sz w:val="24"/>
          <w:szCs w:val="24"/>
          <w:highlight w:val="none"/>
        </w:rPr>
      </w:pPr>
    </w:p>
    <w:p w14:paraId="650C48C5">
      <w:pPr>
        <w:spacing w:line="240" w:lineRule="auto"/>
        <w:rPr>
          <w:rFonts w:hint="eastAsia"/>
          <w:b/>
          <w:bCs/>
          <w:sz w:val="24"/>
          <w:szCs w:val="24"/>
          <w:highlight w:val="none"/>
        </w:rPr>
      </w:pPr>
    </w:p>
    <w:p w14:paraId="2B1707C0">
      <w:pPr>
        <w:rPr>
          <w:rFonts w:hint="eastAsia"/>
          <w:b/>
          <w:bCs/>
          <w:sz w:val="24"/>
          <w:szCs w:val="24"/>
          <w:highlight w:val="none"/>
        </w:rPr>
      </w:pPr>
      <w:r>
        <w:rPr>
          <w:rFonts w:hint="eastAsia"/>
          <w:b/>
          <w:bCs/>
          <w:sz w:val="24"/>
          <w:szCs w:val="24"/>
          <w:highlight w:val="none"/>
        </w:rPr>
        <w:br w:type="page"/>
      </w:r>
    </w:p>
    <w:p w14:paraId="6AF4B4AC">
      <w:pPr>
        <w:spacing w:line="240" w:lineRule="auto"/>
        <w:rPr>
          <w:rFonts w:hint="eastAsia"/>
          <w:b/>
          <w:bCs/>
          <w:sz w:val="24"/>
          <w:szCs w:val="24"/>
          <w:highlight w:val="none"/>
        </w:rPr>
      </w:pPr>
      <w:r>
        <w:rPr>
          <w:rFonts w:hint="eastAsia"/>
          <w:b/>
          <w:bCs/>
          <w:sz w:val="24"/>
          <w:szCs w:val="24"/>
          <w:highlight w:val="none"/>
          <w:lang w:val="en-US" w:eastAsia="zh-CN"/>
        </w:rPr>
        <w:t>附件2：《</w:t>
      </w:r>
      <w:r>
        <w:rPr>
          <w:rFonts w:hint="eastAsia"/>
          <w:sz w:val="24"/>
          <w:szCs w:val="24"/>
          <w:highlight w:val="none"/>
        </w:rPr>
        <w:t>东莞市海心沙资源综合利用中心环保热电厂档案室手动密集架及气体灭火装置采购项目</w:t>
      </w:r>
      <w:r>
        <w:rPr>
          <w:rFonts w:hint="eastAsia"/>
          <w:sz w:val="24"/>
          <w:szCs w:val="24"/>
          <w:highlight w:val="none"/>
          <w:lang w:val="en-US" w:eastAsia="zh-CN"/>
        </w:rPr>
        <w:t>需求书</w:t>
      </w:r>
      <w:r>
        <w:rPr>
          <w:rFonts w:hint="eastAsia"/>
          <w:b/>
          <w:bCs/>
          <w:sz w:val="24"/>
          <w:szCs w:val="24"/>
          <w:highlight w:val="none"/>
          <w:lang w:val="en-US" w:eastAsia="zh-CN"/>
        </w:rPr>
        <w:t>》</w:t>
      </w:r>
      <w:r>
        <w:rPr>
          <w:rFonts w:hint="eastAsia"/>
          <w:b/>
          <w:bCs/>
          <w:sz w:val="24"/>
          <w:szCs w:val="24"/>
          <w:highlight w:val="none"/>
        </w:rPr>
        <w:br w:type="page"/>
      </w:r>
    </w:p>
    <w:p w14:paraId="1778D7C4">
      <w:pPr>
        <w:spacing w:line="360" w:lineRule="auto"/>
        <w:rPr>
          <w:b/>
          <w:bCs/>
          <w:sz w:val="24"/>
          <w:szCs w:val="24"/>
          <w:highlight w:val="none"/>
        </w:rPr>
      </w:pPr>
      <w:bookmarkStart w:id="52" w:name="_Toc20913_WPSOffice_Level1"/>
      <w:r>
        <w:rPr>
          <w:rFonts w:hint="eastAsia"/>
          <w:b/>
          <w:bCs/>
          <w:sz w:val="24"/>
          <w:szCs w:val="24"/>
          <w:highlight w:val="none"/>
        </w:rPr>
        <w:t>附件</w:t>
      </w:r>
      <w:r>
        <w:rPr>
          <w:rFonts w:hint="eastAsia"/>
          <w:b/>
          <w:bCs/>
          <w:sz w:val="24"/>
          <w:szCs w:val="24"/>
          <w:highlight w:val="none"/>
          <w:lang w:val="en-US" w:eastAsia="zh-CN"/>
        </w:rPr>
        <w:t>3</w:t>
      </w:r>
      <w:r>
        <w:rPr>
          <w:rFonts w:hint="eastAsia"/>
          <w:b/>
          <w:bCs/>
          <w:sz w:val="24"/>
          <w:szCs w:val="24"/>
          <w:highlight w:val="none"/>
        </w:rPr>
        <w:t>：</w:t>
      </w:r>
      <w:bookmarkEnd w:id="52"/>
      <w:r>
        <w:rPr>
          <w:rFonts w:hint="eastAsia"/>
          <w:b/>
          <w:bCs/>
          <w:sz w:val="24"/>
          <w:szCs w:val="24"/>
          <w:highlight w:val="none"/>
        </w:rPr>
        <w:t>　</w:t>
      </w:r>
    </w:p>
    <w:p w14:paraId="17D9BD54">
      <w:pPr>
        <w:spacing w:line="360" w:lineRule="auto"/>
        <w:jc w:val="center"/>
        <w:rPr>
          <w:rFonts w:eastAsia="方正小标宋简体"/>
          <w:b/>
          <w:color w:val="000000"/>
          <w:sz w:val="44"/>
          <w:szCs w:val="44"/>
          <w:highlight w:val="none"/>
        </w:rPr>
      </w:pPr>
      <w:bookmarkStart w:id="53" w:name="_Toc23645_WPSOffice_Level1"/>
      <w:r>
        <w:rPr>
          <w:rFonts w:hint="eastAsia" w:eastAsia="方正小标宋简体"/>
          <w:b/>
          <w:color w:val="000000"/>
          <w:sz w:val="44"/>
          <w:szCs w:val="44"/>
          <w:highlight w:val="none"/>
        </w:rPr>
        <w:t>阳光合作协议</w:t>
      </w:r>
      <w:bookmarkEnd w:id="53"/>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w:t>
      </w:r>
      <w:r>
        <w:rPr>
          <w:rFonts w:hint="eastAsia"/>
          <w:highlight w:val="none"/>
          <w:u w:val="single"/>
        </w:rPr>
        <w:t>东莞市海心沙资源综合利用中心环保热电厂档案室手动密集架及气体灭火装置采购项目合同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3859151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54" w:name="设计变更通知单"/>
      <w:bookmarkEnd w:id="54"/>
      <w:bookmarkStart w:id="55" w:name="现场签证通知单"/>
      <w:bookmarkEnd w:id="55"/>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4B188106">
      <w:pPr>
        <w:kinsoku/>
        <w:autoSpaceDE/>
        <w:autoSpaceDN/>
        <w:adjustRightInd/>
        <w:snapToGrid/>
        <w:spacing w:before="120" w:beforeLines="50" w:after="120" w:afterLines="50" w:line="360" w:lineRule="auto"/>
        <w:ind w:firstLine="420" w:firstLineChars="200"/>
        <w:contextualSpacing/>
        <w:textAlignment w:val="auto"/>
        <w:rPr>
          <w:color w:val="auto"/>
          <w:highlight w:val="none"/>
        </w:rPr>
      </w:pPr>
    </w:p>
    <w:p w14:paraId="504E348A">
      <w:pPr>
        <w:spacing w:before="68" w:line="201" w:lineRule="auto"/>
        <w:ind w:left="199"/>
        <w:rPr>
          <w:rFonts w:ascii="黑体" w:hAnsi="黑体" w:eastAsia="黑体" w:cs="黑体"/>
          <w:color w:val="auto"/>
          <w:highlight w:val="none"/>
        </w:rPr>
      </w:pPr>
    </w:p>
    <w:p w14:paraId="1374810D">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3B60E0E">
      <w:pPr>
        <w:pStyle w:val="6"/>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附件八：</w:t>
      </w:r>
    </w:p>
    <w:p w14:paraId="467E6225">
      <w:pPr>
        <w:pStyle w:val="6"/>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hAnsi="宋体" w:eastAsia="宋体" w:cs="宋体"/>
          <w:sz w:val="20"/>
          <w:szCs w:val="24"/>
          <w:highlight w:val="none"/>
        </w:rPr>
      </w:pPr>
      <w:r>
        <w:rPr>
          <w:rFonts w:hint="eastAsia" w:hAnsi="宋体" w:eastAsia="宋体" w:cs="宋体"/>
          <w:sz w:val="36"/>
          <w:szCs w:val="36"/>
          <w:highlight w:val="none"/>
        </w:rPr>
        <w:t>东莞市海心沙资源综合利用中心环保热电厂档案室手动密集架及气体灭火装置采购项目需求书</w:t>
      </w:r>
      <w:r>
        <w:rPr>
          <w:rFonts w:hint="eastAsia" w:hAnsi="宋体" w:eastAsia="宋体" w:cs="宋体"/>
          <w:sz w:val="22"/>
          <w:szCs w:val="18"/>
          <w:highlight w:val="none"/>
        </w:rPr>
        <w:t xml:space="preserve">        </w:t>
      </w:r>
    </w:p>
    <w:p w14:paraId="504D3DE7">
      <w:pPr>
        <w:numPr>
          <w:ilvl w:val="0"/>
          <w:numId w:val="3"/>
        </w:numPr>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需求概况</w:t>
      </w:r>
    </w:p>
    <w:p w14:paraId="3E4CB789">
      <w:pPr>
        <w:numPr>
          <w:ilvl w:val="0"/>
          <w:numId w:val="4"/>
        </w:numPr>
        <w:tabs>
          <w:tab w:val="left" w:pos="320"/>
        </w:tabs>
        <w:rPr>
          <w:rFonts w:hint="eastAsia" w:ascii="Times New Roman" w:hAnsi="Times New Roman" w:eastAsia="仿宋_GB2312" w:cs="Times New Roman"/>
          <w:b/>
          <w:bCs/>
          <w:sz w:val="32"/>
          <w:szCs w:val="32"/>
        </w:rPr>
      </w:pPr>
      <w:r>
        <w:rPr>
          <w:rFonts w:hint="eastAsia" w:ascii="楷体_GB2312" w:hAnsi="楷体_GB2312" w:eastAsia="楷体_GB2312" w:cs="楷体_GB2312"/>
          <w:b/>
          <w:bCs/>
          <w:sz w:val="32"/>
          <w:szCs w:val="32"/>
        </w:rPr>
        <w:t>需求背景：</w:t>
      </w:r>
      <w:r>
        <w:rPr>
          <w:rFonts w:hint="eastAsia" w:ascii="Times New Roman" w:hAnsi="Times New Roman" w:eastAsia="仿宋_GB2312" w:cs="Times New Roman"/>
          <w:sz w:val="32"/>
          <w:szCs w:val="32"/>
        </w:rPr>
        <w:t>为提升公司档案管理的规范化、智能化水平，解决现有传统档案柜架空间利用率不高、检索效率较低、安全管理手段有限等问题，同时满足档案室消防安全要求，拟对公司三楼资料室设计定制档案室手动密集架并配备气体灭火装置，用于公司档案的统一管理。</w:t>
      </w:r>
    </w:p>
    <w:p w14:paraId="2029DCD6">
      <w:pPr>
        <w:numPr>
          <w:ilvl w:val="0"/>
          <w:numId w:val="4"/>
        </w:numPr>
        <w:rPr>
          <w:b/>
          <w:bCs/>
          <w:sz w:val="30"/>
          <w:szCs w:val="30"/>
        </w:rPr>
      </w:pPr>
      <w:r>
        <w:rPr>
          <w:rFonts w:hint="eastAsia" w:ascii="楷体_GB2312" w:hAnsi="楷体_GB2312" w:eastAsia="楷体_GB2312" w:cs="楷体_GB2312"/>
          <w:b/>
          <w:bCs/>
          <w:sz w:val="30"/>
          <w:szCs w:val="30"/>
        </w:rPr>
        <w:t>采购标的清单</w:t>
      </w:r>
    </w:p>
    <w:tbl>
      <w:tblPr>
        <w:tblStyle w:val="16"/>
        <w:tblW w:w="4914"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9"/>
        <w:gridCol w:w="818"/>
        <w:gridCol w:w="373"/>
        <w:gridCol w:w="2249"/>
        <w:gridCol w:w="515"/>
        <w:gridCol w:w="849"/>
        <w:gridCol w:w="745"/>
        <w:gridCol w:w="1024"/>
        <w:gridCol w:w="1357"/>
      </w:tblGrid>
      <w:tr w14:paraId="2784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62" w:type="pct"/>
            <w:shd w:val="clear" w:color="auto" w:fill="auto"/>
            <w:noWrap/>
            <w:vAlign w:val="center"/>
          </w:tcPr>
          <w:p w14:paraId="1AA5F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711" w:type="pct"/>
            <w:gridSpan w:val="2"/>
            <w:shd w:val="clear" w:color="auto" w:fill="auto"/>
            <w:noWrap/>
            <w:vAlign w:val="center"/>
          </w:tcPr>
          <w:p w14:paraId="6BA6FC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设备名称</w:t>
            </w:r>
          </w:p>
        </w:tc>
        <w:tc>
          <w:tcPr>
            <w:tcW w:w="1343" w:type="pct"/>
            <w:shd w:val="clear" w:color="auto" w:fill="auto"/>
            <w:noWrap/>
            <w:vAlign w:val="center"/>
          </w:tcPr>
          <w:p w14:paraId="395AA5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规格（mm）</w:t>
            </w:r>
          </w:p>
          <w:p w14:paraId="6382C2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宽（W）*深（D）*高（H）</w:t>
            </w:r>
          </w:p>
        </w:tc>
        <w:tc>
          <w:tcPr>
            <w:tcW w:w="307" w:type="pct"/>
            <w:shd w:val="clear" w:color="auto" w:fill="auto"/>
            <w:noWrap/>
            <w:vAlign w:val="center"/>
          </w:tcPr>
          <w:p w14:paraId="180DD3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c>
          <w:tcPr>
            <w:tcW w:w="507" w:type="pct"/>
            <w:shd w:val="clear" w:color="auto" w:fill="auto"/>
            <w:noWrap/>
            <w:vAlign w:val="center"/>
          </w:tcPr>
          <w:p w14:paraId="04C216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445" w:type="pct"/>
            <w:shd w:val="clear" w:color="auto" w:fill="auto"/>
            <w:noWrap/>
            <w:vAlign w:val="center"/>
          </w:tcPr>
          <w:p w14:paraId="21FEA8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单价（元）</w:t>
            </w:r>
          </w:p>
        </w:tc>
        <w:tc>
          <w:tcPr>
            <w:tcW w:w="611" w:type="pct"/>
            <w:shd w:val="clear" w:color="auto" w:fill="auto"/>
            <w:noWrap/>
            <w:vAlign w:val="center"/>
          </w:tcPr>
          <w:p w14:paraId="02ACDE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小计（元）</w:t>
            </w:r>
          </w:p>
        </w:tc>
        <w:tc>
          <w:tcPr>
            <w:tcW w:w="810" w:type="pct"/>
            <w:shd w:val="clear" w:color="auto" w:fill="auto"/>
            <w:vAlign w:val="center"/>
          </w:tcPr>
          <w:p w14:paraId="1135DA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备注</w:t>
            </w:r>
          </w:p>
        </w:tc>
      </w:tr>
      <w:tr w14:paraId="002A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62" w:type="pct"/>
            <w:shd w:val="clear" w:color="auto" w:fill="auto"/>
            <w:noWrap/>
            <w:vAlign w:val="center"/>
          </w:tcPr>
          <w:p w14:paraId="0832A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1</w:t>
            </w:r>
          </w:p>
        </w:tc>
        <w:tc>
          <w:tcPr>
            <w:tcW w:w="711" w:type="pct"/>
            <w:gridSpan w:val="2"/>
            <w:shd w:val="clear" w:color="auto" w:fill="auto"/>
            <w:noWrap/>
            <w:vAlign w:val="center"/>
          </w:tcPr>
          <w:p w14:paraId="013827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cs="宋体"/>
                <w:sz w:val="21"/>
                <w:szCs w:val="21"/>
                <w:lang w:val="en-US" w:eastAsia="zh-CN"/>
              </w:rPr>
              <w:t>手动</w:t>
            </w:r>
            <w:r>
              <w:rPr>
                <w:rFonts w:hint="eastAsia" w:ascii="宋体" w:hAnsi="宋体" w:eastAsia="宋体" w:cs="宋体"/>
                <w:sz w:val="21"/>
                <w:szCs w:val="21"/>
                <w:lang w:val="en-US" w:eastAsia="zh-CN"/>
              </w:rPr>
              <w:t>密集架（</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层）</w:t>
            </w:r>
          </w:p>
        </w:tc>
        <w:tc>
          <w:tcPr>
            <w:tcW w:w="1343" w:type="pct"/>
            <w:shd w:val="clear" w:color="auto" w:fill="auto"/>
            <w:noWrap/>
            <w:vAlign w:val="center"/>
          </w:tcPr>
          <w:p w14:paraId="669A3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 xml:space="preserve">W2900*D630*H2850 </w:t>
            </w:r>
          </w:p>
        </w:tc>
        <w:tc>
          <w:tcPr>
            <w:tcW w:w="307" w:type="pct"/>
            <w:shd w:val="clear" w:color="auto" w:fill="auto"/>
            <w:noWrap/>
            <w:vAlign w:val="center"/>
          </w:tcPr>
          <w:p w14:paraId="6617F1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m³</w:t>
            </w:r>
          </w:p>
        </w:tc>
        <w:tc>
          <w:tcPr>
            <w:tcW w:w="507" w:type="pct"/>
            <w:shd w:val="clear" w:color="auto" w:fill="auto"/>
            <w:noWrap/>
            <w:vAlign w:val="center"/>
          </w:tcPr>
          <w:p w14:paraId="116B53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15.62 </w:t>
            </w:r>
          </w:p>
        </w:tc>
        <w:tc>
          <w:tcPr>
            <w:tcW w:w="445" w:type="pct"/>
            <w:shd w:val="clear" w:color="auto" w:fill="auto"/>
            <w:noWrap/>
            <w:vAlign w:val="center"/>
          </w:tcPr>
          <w:p w14:paraId="73F91D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lang w:val="en-US" w:eastAsia="zh-CN"/>
              </w:rPr>
            </w:pPr>
          </w:p>
        </w:tc>
        <w:tc>
          <w:tcPr>
            <w:tcW w:w="611" w:type="pct"/>
            <w:shd w:val="clear" w:color="auto" w:fill="auto"/>
            <w:noWrap/>
            <w:vAlign w:val="center"/>
          </w:tcPr>
          <w:p w14:paraId="35EB75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1"/>
                <w:szCs w:val="21"/>
                <w:lang w:val="en-US" w:eastAsia="zh-CN"/>
              </w:rPr>
            </w:pPr>
          </w:p>
        </w:tc>
        <w:tc>
          <w:tcPr>
            <w:tcW w:w="810" w:type="pct"/>
            <w:shd w:val="clear" w:color="auto" w:fill="auto"/>
            <w:vAlign w:val="center"/>
          </w:tcPr>
          <w:p w14:paraId="772D1B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lang w:val="en-US" w:eastAsia="zh-CN"/>
              </w:rPr>
            </w:pPr>
            <w:r>
              <w:rPr>
                <w:rFonts w:hint="eastAsia" w:ascii="宋体" w:hAnsi="宋体" w:cs="宋体"/>
                <w:b w:val="0"/>
                <w:bCs w:val="0"/>
                <w:sz w:val="21"/>
                <w:szCs w:val="21"/>
                <w:lang w:val="en-US" w:eastAsia="zh-CN"/>
              </w:rPr>
              <w:t>3组1列 共3列</w:t>
            </w:r>
          </w:p>
        </w:tc>
      </w:tr>
      <w:tr w14:paraId="68C8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62" w:type="pct"/>
            <w:shd w:val="clear" w:color="auto" w:fill="auto"/>
            <w:noWrap/>
            <w:vAlign w:val="center"/>
          </w:tcPr>
          <w:p w14:paraId="1A5EAE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2</w:t>
            </w:r>
          </w:p>
        </w:tc>
        <w:tc>
          <w:tcPr>
            <w:tcW w:w="711" w:type="pct"/>
            <w:gridSpan w:val="2"/>
            <w:shd w:val="clear" w:color="auto" w:fill="auto"/>
            <w:noWrap/>
            <w:vAlign w:val="center"/>
          </w:tcPr>
          <w:p w14:paraId="6E9A9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手动</w:t>
            </w:r>
            <w:r>
              <w:rPr>
                <w:rFonts w:hint="eastAsia" w:ascii="宋体" w:hAnsi="宋体" w:eastAsia="宋体" w:cs="宋体"/>
                <w:sz w:val="21"/>
                <w:szCs w:val="21"/>
                <w:lang w:val="en-US" w:eastAsia="zh-CN"/>
              </w:rPr>
              <w:t>密集架（</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层）</w:t>
            </w:r>
          </w:p>
        </w:tc>
        <w:tc>
          <w:tcPr>
            <w:tcW w:w="1343" w:type="pct"/>
            <w:shd w:val="clear" w:color="auto" w:fill="auto"/>
            <w:noWrap/>
            <w:vAlign w:val="center"/>
          </w:tcPr>
          <w:p w14:paraId="3CA802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 xml:space="preserve">W4500*D630*H2850 </w:t>
            </w:r>
          </w:p>
        </w:tc>
        <w:tc>
          <w:tcPr>
            <w:tcW w:w="307" w:type="pct"/>
            <w:shd w:val="clear" w:color="auto" w:fill="auto"/>
            <w:noWrap/>
            <w:vAlign w:val="center"/>
          </w:tcPr>
          <w:p w14:paraId="706CAB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m³</w:t>
            </w:r>
          </w:p>
        </w:tc>
        <w:tc>
          <w:tcPr>
            <w:tcW w:w="507" w:type="pct"/>
            <w:shd w:val="clear" w:color="auto" w:fill="auto"/>
            <w:noWrap/>
            <w:vAlign w:val="center"/>
          </w:tcPr>
          <w:p w14:paraId="09B291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64.64</w:t>
            </w:r>
          </w:p>
        </w:tc>
        <w:tc>
          <w:tcPr>
            <w:tcW w:w="445" w:type="pct"/>
            <w:shd w:val="clear" w:color="auto" w:fill="auto"/>
            <w:noWrap/>
            <w:vAlign w:val="center"/>
          </w:tcPr>
          <w:p w14:paraId="4FA6E6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kern w:val="2"/>
                <w:sz w:val="21"/>
                <w:szCs w:val="21"/>
                <w:lang w:val="en-US" w:eastAsia="zh-CN" w:bidi="ar-SA"/>
              </w:rPr>
            </w:pPr>
          </w:p>
        </w:tc>
        <w:tc>
          <w:tcPr>
            <w:tcW w:w="611" w:type="pct"/>
            <w:shd w:val="clear" w:color="auto" w:fill="auto"/>
            <w:noWrap/>
            <w:vAlign w:val="center"/>
          </w:tcPr>
          <w:p w14:paraId="59A5D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kern w:val="2"/>
                <w:sz w:val="21"/>
                <w:szCs w:val="21"/>
                <w:lang w:val="en-US" w:eastAsia="zh-CN" w:bidi="ar-SA"/>
              </w:rPr>
            </w:pPr>
          </w:p>
        </w:tc>
        <w:tc>
          <w:tcPr>
            <w:tcW w:w="810" w:type="pct"/>
            <w:shd w:val="clear" w:color="auto" w:fill="auto"/>
            <w:vAlign w:val="center"/>
          </w:tcPr>
          <w:p w14:paraId="13CB13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 xml:space="preserve">组1列 </w:t>
            </w:r>
            <w:r>
              <w:rPr>
                <w:rFonts w:hint="eastAsia" w:ascii="宋体" w:hAnsi="宋体" w:cs="宋体"/>
                <w:sz w:val="21"/>
                <w:szCs w:val="21"/>
                <w:lang w:val="en-US" w:eastAsia="zh-CN"/>
              </w:rPr>
              <w:t>共8</w:t>
            </w:r>
            <w:r>
              <w:rPr>
                <w:rFonts w:hint="eastAsia" w:ascii="宋体" w:hAnsi="宋体" w:eastAsia="宋体" w:cs="宋体"/>
                <w:sz w:val="21"/>
                <w:szCs w:val="21"/>
                <w:lang w:val="en-US" w:eastAsia="zh-CN"/>
              </w:rPr>
              <w:t>列</w:t>
            </w:r>
          </w:p>
        </w:tc>
      </w:tr>
      <w:tr w14:paraId="1465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62" w:type="pct"/>
            <w:shd w:val="clear" w:color="auto" w:fill="auto"/>
            <w:noWrap/>
            <w:vAlign w:val="center"/>
          </w:tcPr>
          <w:p w14:paraId="27DC99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11" w:type="pct"/>
            <w:gridSpan w:val="2"/>
            <w:shd w:val="clear" w:color="auto" w:fill="auto"/>
            <w:noWrap/>
            <w:vAlign w:val="center"/>
          </w:tcPr>
          <w:p w14:paraId="41E8E3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气体灭火装置</w:t>
            </w:r>
          </w:p>
        </w:tc>
        <w:tc>
          <w:tcPr>
            <w:tcW w:w="1343" w:type="pct"/>
            <w:shd w:val="clear" w:color="auto" w:fill="auto"/>
            <w:noWrap/>
            <w:vAlign w:val="center"/>
          </w:tcPr>
          <w:p w14:paraId="4BEF65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柜式七氟丙烷灭火装置150L</w:t>
            </w:r>
          </w:p>
        </w:tc>
        <w:tc>
          <w:tcPr>
            <w:tcW w:w="307" w:type="pct"/>
            <w:shd w:val="clear" w:color="auto" w:fill="auto"/>
            <w:noWrap/>
            <w:vAlign w:val="center"/>
          </w:tcPr>
          <w:p w14:paraId="3DF7F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套</w:t>
            </w:r>
          </w:p>
        </w:tc>
        <w:tc>
          <w:tcPr>
            <w:tcW w:w="507" w:type="pct"/>
            <w:shd w:val="clear" w:color="auto" w:fill="auto"/>
            <w:noWrap/>
            <w:vAlign w:val="center"/>
          </w:tcPr>
          <w:p w14:paraId="416701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445" w:type="pct"/>
            <w:shd w:val="clear" w:color="auto" w:fill="auto"/>
            <w:noWrap/>
            <w:vAlign w:val="center"/>
          </w:tcPr>
          <w:p w14:paraId="227926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b w:val="0"/>
                <w:bCs w:val="0"/>
                <w:sz w:val="21"/>
                <w:szCs w:val="21"/>
                <w:lang w:val="en-US" w:eastAsia="zh-CN"/>
              </w:rPr>
            </w:pPr>
          </w:p>
        </w:tc>
        <w:tc>
          <w:tcPr>
            <w:tcW w:w="611" w:type="pct"/>
            <w:shd w:val="clear" w:color="auto" w:fill="auto"/>
            <w:noWrap/>
            <w:vAlign w:val="center"/>
          </w:tcPr>
          <w:p w14:paraId="7C8F49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b w:val="0"/>
                <w:bCs w:val="0"/>
                <w:kern w:val="2"/>
                <w:sz w:val="21"/>
                <w:szCs w:val="21"/>
                <w:lang w:val="en-US" w:eastAsia="zh-CN" w:bidi="ar-SA"/>
              </w:rPr>
            </w:pPr>
          </w:p>
        </w:tc>
        <w:tc>
          <w:tcPr>
            <w:tcW w:w="810" w:type="pct"/>
            <w:shd w:val="clear" w:color="auto" w:fill="auto"/>
            <w:vAlign w:val="center"/>
          </w:tcPr>
          <w:p w14:paraId="50313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(含全套控制系统) </w:t>
            </w:r>
          </w:p>
        </w:tc>
      </w:tr>
      <w:tr w14:paraId="3B05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750" w:type="pct"/>
            <w:gridSpan w:val="2"/>
            <w:shd w:val="clear" w:color="auto" w:fill="auto"/>
            <w:noWrap/>
            <w:vAlign w:val="center"/>
          </w:tcPr>
          <w:p w14:paraId="6ECF01C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总计：</w:t>
            </w:r>
          </w:p>
        </w:tc>
        <w:tc>
          <w:tcPr>
            <w:tcW w:w="4249" w:type="pct"/>
            <w:gridSpan w:val="7"/>
            <w:shd w:val="clear" w:color="auto" w:fill="auto"/>
            <w:noWrap/>
            <w:vAlign w:val="center"/>
          </w:tcPr>
          <w:p w14:paraId="2C4F8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大写</w:t>
            </w:r>
            <w:r>
              <w:rPr>
                <w:rFonts w:hint="eastAsia" w:ascii="宋体" w:hAnsi="宋体" w:cs="宋体"/>
                <w:b/>
                <w:bCs/>
                <w:sz w:val="21"/>
                <w:szCs w:val="21"/>
                <w:lang w:val="en-US" w:eastAsia="zh-CN"/>
              </w:rPr>
              <w:t>（人民币）</w:t>
            </w:r>
            <w:r>
              <w:rPr>
                <w:rFonts w:hint="eastAsia" w:ascii="宋体" w:hAnsi="宋体" w:eastAsia="宋体" w:cs="宋体"/>
                <w:b/>
                <w:bCs/>
                <w:sz w:val="21"/>
                <w:szCs w:val="21"/>
                <w:lang w:val="en-US" w:eastAsia="zh-CN"/>
              </w:rPr>
              <w:t>：玖万捌仟柒佰贰拾贰元整（最高限价）</w:t>
            </w:r>
          </w:p>
        </w:tc>
      </w:tr>
    </w:tbl>
    <w:p w14:paraId="0B8EE828">
      <w:pPr>
        <w:numPr>
          <w:ilvl w:val="0"/>
          <w:numId w:val="4"/>
        </w:numPr>
        <w:rPr>
          <w:rFonts w:hint="eastAsia" w:ascii="楷体_GB2312" w:hAnsi="楷体_GB2312" w:eastAsia="楷体_GB2312" w:cs="楷体_GB2312"/>
          <w:b/>
          <w:bCs/>
          <w:sz w:val="30"/>
          <w:szCs w:val="30"/>
        </w:rPr>
      </w:pPr>
      <w:bookmarkStart w:id="56" w:name="_Toc25306"/>
      <w:bookmarkStart w:id="57" w:name="_Toc174"/>
      <w:bookmarkStart w:id="58" w:name="_Toc24766"/>
      <w:bookmarkStart w:id="59" w:name="_Toc31023"/>
      <w:r>
        <w:rPr>
          <w:rFonts w:hint="eastAsia" w:ascii="楷体_GB2312" w:hAnsi="楷体_GB2312" w:eastAsia="楷体_GB2312" w:cs="楷体_GB2312"/>
          <w:b/>
          <w:bCs/>
          <w:sz w:val="30"/>
          <w:szCs w:val="30"/>
          <w:lang w:val="en-US" w:eastAsia="zh-CN"/>
        </w:rPr>
        <w:t>手动密集架部分</w:t>
      </w:r>
      <w:r>
        <w:rPr>
          <w:rFonts w:hint="eastAsia" w:ascii="楷体_GB2312" w:hAnsi="楷体_GB2312" w:eastAsia="楷体_GB2312" w:cs="楷体_GB2312"/>
          <w:b/>
          <w:bCs/>
          <w:sz w:val="30"/>
          <w:szCs w:val="30"/>
        </w:rPr>
        <w:t>配置说明</w:t>
      </w:r>
      <w:bookmarkEnd w:id="56"/>
      <w:bookmarkEnd w:id="57"/>
      <w:bookmarkEnd w:id="58"/>
      <w:bookmarkEnd w:id="59"/>
    </w:p>
    <w:tbl>
      <w:tblPr>
        <w:tblStyle w:val="17"/>
        <w:tblW w:w="49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2"/>
        <w:gridCol w:w="1907"/>
        <w:gridCol w:w="1164"/>
        <w:gridCol w:w="1576"/>
        <w:gridCol w:w="3009"/>
      </w:tblGrid>
      <w:tr w14:paraId="31C6C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vAlign w:val="center"/>
          </w:tcPr>
          <w:p w14:paraId="0BC909A1">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部件</w:t>
            </w:r>
          </w:p>
          <w:p w14:paraId="5D5B3ADC">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139" w:type="pct"/>
            <w:vAlign w:val="center"/>
          </w:tcPr>
          <w:p w14:paraId="58350273">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部件构成</w:t>
            </w:r>
          </w:p>
        </w:tc>
        <w:tc>
          <w:tcPr>
            <w:tcW w:w="695" w:type="pct"/>
            <w:vAlign w:val="center"/>
          </w:tcPr>
          <w:p w14:paraId="2D942489">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材料规格</w:t>
            </w:r>
          </w:p>
        </w:tc>
        <w:tc>
          <w:tcPr>
            <w:tcW w:w="941" w:type="pct"/>
            <w:vAlign w:val="center"/>
          </w:tcPr>
          <w:p w14:paraId="7D1EB405">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1797" w:type="pct"/>
            <w:vAlign w:val="center"/>
          </w:tcPr>
          <w:p w14:paraId="33323854">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性能说明</w:t>
            </w:r>
          </w:p>
        </w:tc>
      </w:tr>
      <w:tr w14:paraId="3923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425" w:type="pct"/>
            <w:vAlign w:val="center"/>
          </w:tcPr>
          <w:p w14:paraId="139B3FC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导轨</w:t>
            </w:r>
          </w:p>
        </w:tc>
        <w:tc>
          <w:tcPr>
            <w:tcW w:w="1139" w:type="pct"/>
            <w:vAlign w:val="center"/>
          </w:tcPr>
          <w:p w14:paraId="72CC50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轨道轨芯</w:t>
            </w:r>
          </w:p>
        </w:tc>
        <w:tc>
          <w:tcPr>
            <w:tcW w:w="695" w:type="pct"/>
            <w:vAlign w:val="center"/>
          </w:tcPr>
          <w:p w14:paraId="32FE8C0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20*20mm</w:t>
            </w:r>
          </w:p>
        </w:tc>
        <w:tc>
          <w:tcPr>
            <w:tcW w:w="941" w:type="pct"/>
            <w:vAlign w:val="center"/>
          </w:tcPr>
          <w:p w14:paraId="30D2FFC3">
            <w:pPr>
              <w:keepNext w:val="0"/>
              <w:keepLines w:val="0"/>
              <w:widowControl/>
              <w:suppressLineNumbers w:val="0"/>
              <w:jc w:val="center"/>
              <w:textAlignment w:val="center"/>
              <w:rPr>
                <w:rFonts w:hint="default" w:ascii="宋体" w:hAnsi="宋体" w:eastAsia="宋体" w:cs="宋体"/>
                <w:sz w:val="21"/>
                <w:szCs w:val="21"/>
                <w:lang w:val="en-US"/>
              </w:rPr>
            </w:pPr>
            <w:r>
              <w:rPr>
                <w:rFonts w:hint="default" w:ascii="Segoe UI" w:hAnsi="Segoe UI" w:eastAsia="Segoe UI" w:cs="Segoe UI"/>
                <w:i w:val="0"/>
                <w:iCs w:val="0"/>
                <w:color w:val="000000"/>
                <w:kern w:val="0"/>
                <w:sz w:val="22"/>
                <w:szCs w:val="22"/>
                <w:u w:val="none"/>
                <w:lang w:val="en-US" w:eastAsia="zh-CN" w:bidi="ar"/>
              </w:rPr>
              <w:t>304不锈钢</w:t>
            </w:r>
          </w:p>
        </w:tc>
        <w:tc>
          <w:tcPr>
            <w:tcW w:w="1797" w:type="pct"/>
            <w:vAlign w:val="center"/>
          </w:tcPr>
          <w:p w14:paraId="13DBD4D6">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轨道与轨道采用销轴定位对接，安装后平整、美观、承重性能好。</w:t>
            </w:r>
          </w:p>
        </w:tc>
      </w:tr>
      <w:tr w14:paraId="5F6E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425" w:type="pct"/>
            <w:vAlign w:val="center"/>
          </w:tcPr>
          <w:p w14:paraId="647DB62D">
            <w:pPr>
              <w:jc w:val="center"/>
              <w:rPr>
                <w:rFonts w:hint="eastAsia" w:ascii="宋体" w:hAnsi="宋体" w:eastAsia="宋体" w:cs="宋体"/>
                <w:sz w:val="21"/>
                <w:szCs w:val="21"/>
              </w:rPr>
            </w:pPr>
          </w:p>
        </w:tc>
        <w:tc>
          <w:tcPr>
            <w:tcW w:w="1139" w:type="pct"/>
            <w:vAlign w:val="center"/>
          </w:tcPr>
          <w:p w14:paraId="65255D5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轨道座</w:t>
            </w:r>
          </w:p>
        </w:tc>
        <w:tc>
          <w:tcPr>
            <w:tcW w:w="695" w:type="pct"/>
            <w:vAlign w:val="center"/>
          </w:tcPr>
          <w:p w14:paraId="6C87AB8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≥2.5mm</w:t>
            </w:r>
          </w:p>
        </w:tc>
        <w:tc>
          <w:tcPr>
            <w:tcW w:w="941" w:type="pct"/>
            <w:vAlign w:val="center"/>
          </w:tcPr>
          <w:p w14:paraId="736F27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304不锈钢钢板</w:t>
            </w:r>
          </w:p>
        </w:tc>
        <w:tc>
          <w:tcPr>
            <w:tcW w:w="1797" w:type="pct"/>
            <w:vAlign w:val="center"/>
          </w:tcPr>
          <w:p w14:paraId="3C215128">
            <w:pPr>
              <w:jc w:val="center"/>
              <w:rPr>
                <w:rFonts w:hint="eastAsia" w:ascii="宋体" w:hAnsi="宋体" w:eastAsia="宋体" w:cs="宋体"/>
                <w:sz w:val="21"/>
                <w:szCs w:val="21"/>
              </w:rPr>
            </w:pPr>
          </w:p>
        </w:tc>
      </w:tr>
      <w:tr w14:paraId="45F3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425" w:type="pct"/>
            <w:vAlign w:val="center"/>
          </w:tcPr>
          <w:p w14:paraId="7641274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底盘</w:t>
            </w:r>
          </w:p>
        </w:tc>
        <w:tc>
          <w:tcPr>
            <w:tcW w:w="1139" w:type="pct"/>
            <w:vAlign w:val="center"/>
          </w:tcPr>
          <w:p w14:paraId="68DE52F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底盘（底架）</w:t>
            </w:r>
          </w:p>
        </w:tc>
        <w:tc>
          <w:tcPr>
            <w:tcW w:w="695" w:type="pct"/>
            <w:vAlign w:val="center"/>
          </w:tcPr>
          <w:p w14:paraId="417EE2C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≥2.5mm</w:t>
            </w:r>
          </w:p>
        </w:tc>
        <w:tc>
          <w:tcPr>
            <w:tcW w:w="941" w:type="pct"/>
            <w:vAlign w:val="center"/>
          </w:tcPr>
          <w:p w14:paraId="58FB6B27">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热轧钢板</w:t>
            </w:r>
          </w:p>
        </w:tc>
        <w:tc>
          <w:tcPr>
            <w:tcW w:w="1797" w:type="pct"/>
            <w:vAlign w:val="center"/>
          </w:tcPr>
          <w:p w14:paraId="76FFFF6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底盘采用分段焊接后整体组装式，连接牢固，底盘高度≥120mm，上下双翻边加强，滚轮横梁四折成型，底梁下部装有防倒支架。</w:t>
            </w:r>
          </w:p>
        </w:tc>
      </w:tr>
      <w:tr w14:paraId="5324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vMerge w:val="restart"/>
            <w:vAlign w:val="center"/>
          </w:tcPr>
          <w:p w14:paraId="66AD8F1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架体</w:t>
            </w:r>
          </w:p>
        </w:tc>
        <w:tc>
          <w:tcPr>
            <w:tcW w:w="1139" w:type="pct"/>
            <w:shd w:val="clear" w:color="auto" w:fill="auto"/>
            <w:vAlign w:val="center"/>
          </w:tcPr>
          <w:p w14:paraId="5999E1B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压筋立柱</w:t>
            </w:r>
          </w:p>
        </w:tc>
        <w:tc>
          <w:tcPr>
            <w:tcW w:w="695" w:type="pct"/>
            <w:shd w:val="clear" w:color="auto" w:fill="auto"/>
            <w:vAlign w:val="center"/>
          </w:tcPr>
          <w:p w14:paraId="4A8F905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≥1.5mm</w:t>
            </w:r>
          </w:p>
        </w:tc>
        <w:tc>
          <w:tcPr>
            <w:tcW w:w="941" w:type="pct"/>
            <w:shd w:val="clear" w:color="auto" w:fill="auto"/>
            <w:vAlign w:val="center"/>
          </w:tcPr>
          <w:p w14:paraId="6E6CB204">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3B44DF90">
            <w:pPr>
              <w:keepNext w:val="0"/>
              <w:keepLines w:val="0"/>
              <w:widowControl/>
              <w:suppressLineNumbers w:val="0"/>
              <w:jc w:val="center"/>
              <w:textAlignment w:val="center"/>
              <w:rPr>
                <w:rFonts w:hint="eastAsia" w:ascii="宋体" w:hAnsi="宋体" w:eastAsia="宋体" w:cs="宋体"/>
                <w:sz w:val="21"/>
                <w:szCs w:val="21"/>
                <w:lang w:eastAsia="zh-CN"/>
              </w:rPr>
            </w:pPr>
            <w:r>
              <w:rPr>
                <w:rFonts w:hint="default" w:ascii="Segoe UI" w:hAnsi="Segoe UI" w:eastAsia="Segoe UI" w:cs="Segoe UI"/>
                <w:i w:val="0"/>
                <w:iCs w:val="0"/>
                <w:color w:val="000000"/>
                <w:kern w:val="0"/>
                <w:sz w:val="22"/>
                <w:szCs w:val="22"/>
                <w:u w:val="none"/>
                <w:lang w:val="en-US" w:eastAsia="zh-CN" w:bidi="ar"/>
              </w:rPr>
              <w:t>架体结实、坚固，层数和间距可自由调整。</w:t>
            </w:r>
          </w:p>
        </w:tc>
      </w:tr>
      <w:tr w14:paraId="65F9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25" w:type="pct"/>
            <w:vMerge w:val="continue"/>
            <w:vAlign w:val="center"/>
          </w:tcPr>
          <w:p w14:paraId="5DF3D923">
            <w:pPr>
              <w:jc w:val="center"/>
              <w:rPr>
                <w:rFonts w:hint="eastAsia" w:ascii="宋体" w:hAnsi="宋体" w:eastAsia="宋体" w:cs="宋体"/>
                <w:sz w:val="21"/>
                <w:szCs w:val="21"/>
              </w:rPr>
            </w:pPr>
          </w:p>
        </w:tc>
        <w:tc>
          <w:tcPr>
            <w:tcW w:w="1139" w:type="pct"/>
            <w:shd w:val="clear" w:color="auto" w:fill="auto"/>
            <w:vAlign w:val="center"/>
          </w:tcPr>
          <w:p w14:paraId="5E443B0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压筋层（搁）板</w:t>
            </w:r>
          </w:p>
        </w:tc>
        <w:tc>
          <w:tcPr>
            <w:tcW w:w="695" w:type="pct"/>
            <w:shd w:val="clear" w:color="auto" w:fill="auto"/>
            <w:vAlign w:val="center"/>
          </w:tcPr>
          <w:p w14:paraId="54145F5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≥1.0mm</w:t>
            </w:r>
          </w:p>
        </w:tc>
        <w:tc>
          <w:tcPr>
            <w:tcW w:w="941" w:type="pct"/>
            <w:shd w:val="clear" w:color="auto" w:fill="auto"/>
            <w:vAlign w:val="center"/>
          </w:tcPr>
          <w:p w14:paraId="604BAAF8">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417AEEA1">
            <w:pPr>
              <w:jc w:val="center"/>
              <w:rPr>
                <w:rFonts w:hint="eastAsia" w:ascii="宋体" w:hAnsi="宋体" w:eastAsia="宋体" w:cs="宋体"/>
                <w:sz w:val="21"/>
                <w:szCs w:val="21"/>
              </w:rPr>
            </w:pPr>
          </w:p>
        </w:tc>
      </w:tr>
      <w:tr w14:paraId="1D116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425" w:type="pct"/>
            <w:vMerge w:val="continue"/>
            <w:vAlign w:val="center"/>
          </w:tcPr>
          <w:p w14:paraId="3E39FF65">
            <w:pPr>
              <w:jc w:val="center"/>
              <w:rPr>
                <w:rFonts w:hint="eastAsia" w:ascii="宋体" w:hAnsi="宋体" w:eastAsia="宋体" w:cs="宋体"/>
                <w:sz w:val="21"/>
                <w:szCs w:val="21"/>
              </w:rPr>
            </w:pPr>
          </w:p>
        </w:tc>
        <w:tc>
          <w:tcPr>
            <w:tcW w:w="1139" w:type="pct"/>
            <w:shd w:val="clear" w:color="auto" w:fill="auto"/>
            <w:vAlign w:val="center"/>
          </w:tcPr>
          <w:p w14:paraId="4B46C14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压筋挂板</w:t>
            </w:r>
          </w:p>
        </w:tc>
        <w:tc>
          <w:tcPr>
            <w:tcW w:w="695" w:type="pct"/>
            <w:shd w:val="clear" w:color="auto" w:fill="auto"/>
            <w:vAlign w:val="center"/>
          </w:tcPr>
          <w:p w14:paraId="6604FB7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≥1.0mm</w:t>
            </w:r>
          </w:p>
        </w:tc>
        <w:tc>
          <w:tcPr>
            <w:tcW w:w="941" w:type="pct"/>
            <w:shd w:val="clear" w:color="auto" w:fill="auto"/>
            <w:vAlign w:val="center"/>
          </w:tcPr>
          <w:p w14:paraId="4A0C1980">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29F7A50A">
            <w:pPr>
              <w:jc w:val="center"/>
              <w:rPr>
                <w:rFonts w:hint="eastAsia" w:ascii="宋体" w:hAnsi="宋体" w:eastAsia="宋体" w:cs="宋体"/>
                <w:sz w:val="21"/>
                <w:szCs w:val="21"/>
              </w:rPr>
            </w:pPr>
          </w:p>
        </w:tc>
      </w:tr>
      <w:tr w14:paraId="52A8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425" w:type="pct"/>
            <w:vMerge w:val="continue"/>
            <w:vAlign w:val="center"/>
          </w:tcPr>
          <w:p w14:paraId="491A3F01">
            <w:pPr>
              <w:jc w:val="center"/>
              <w:rPr>
                <w:rFonts w:hint="eastAsia" w:ascii="宋体" w:hAnsi="宋体" w:eastAsia="宋体" w:cs="宋体"/>
                <w:sz w:val="21"/>
                <w:szCs w:val="21"/>
              </w:rPr>
            </w:pPr>
          </w:p>
        </w:tc>
        <w:tc>
          <w:tcPr>
            <w:tcW w:w="1139" w:type="pct"/>
            <w:shd w:val="clear" w:color="auto" w:fill="auto"/>
            <w:vAlign w:val="center"/>
          </w:tcPr>
          <w:p w14:paraId="0DC3F43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压筋挡棒</w:t>
            </w:r>
          </w:p>
        </w:tc>
        <w:tc>
          <w:tcPr>
            <w:tcW w:w="695" w:type="pct"/>
            <w:shd w:val="clear" w:color="auto" w:fill="auto"/>
            <w:vAlign w:val="center"/>
          </w:tcPr>
          <w:p w14:paraId="716029B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≥0.8mm</w:t>
            </w:r>
          </w:p>
        </w:tc>
        <w:tc>
          <w:tcPr>
            <w:tcW w:w="941" w:type="pct"/>
            <w:shd w:val="clear" w:color="auto" w:fill="auto"/>
            <w:vAlign w:val="center"/>
          </w:tcPr>
          <w:p w14:paraId="03DA623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0B9858C8">
            <w:pPr>
              <w:jc w:val="center"/>
              <w:rPr>
                <w:rFonts w:hint="eastAsia" w:ascii="宋体" w:hAnsi="宋体" w:eastAsia="宋体" w:cs="宋体"/>
                <w:sz w:val="21"/>
                <w:szCs w:val="21"/>
              </w:rPr>
            </w:pPr>
          </w:p>
        </w:tc>
      </w:tr>
      <w:tr w14:paraId="52A4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425" w:type="pct"/>
            <w:vMerge w:val="restart"/>
            <w:vAlign w:val="center"/>
          </w:tcPr>
          <w:p w14:paraId="20627170">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门面</w:t>
            </w:r>
          </w:p>
        </w:tc>
        <w:tc>
          <w:tcPr>
            <w:tcW w:w="1139" w:type="pct"/>
            <w:vAlign w:val="center"/>
          </w:tcPr>
          <w:p w14:paraId="09B2B2C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门框</w:t>
            </w:r>
          </w:p>
        </w:tc>
        <w:tc>
          <w:tcPr>
            <w:tcW w:w="695" w:type="pct"/>
            <w:vAlign w:val="center"/>
          </w:tcPr>
          <w:p w14:paraId="3009F8F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≥0.8mm</w:t>
            </w:r>
          </w:p>
        </w:tc>
        <w:tc>
          <w:tcPr>
            <w:tcW w:w="941" w:type="pct"/>
            <w:vAlign w:val="center"/>
          </w:tcPr>
          <w:p w14:paraId="7D3E81D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5C1FC1D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线条优美，安全可靠，锁具为锌合金压铸豪华锁。</w:t>
            </w:r>
          </w:p>
        </w:tc>
      </w:tr>
      <w:tr w14:paraId="3A78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vMerge w:val="continue"/>
            <w:vAlign w:val="center"/>
          </w:tcPr>
          <w:p w14:paraId="20A6CBB1">
            <w:pPr>
              <w:jc w:val="center"/>
              <w:rPr>
                <w:rFonts w:hint="eastAsia" w:ascii="宋体" w:hAnsi="宋体" w:eastAsia="宋体" w:cs="宋体"/>
                <w:sz w:val="21"/>
                <w:szCs w:val="21"/>
              </w:rPr>
            </w:pPr>
          </w:p>
        </w:tc>
        <w:tc>
          <w:tcPr>
            <w:tcW w:w="1139" w:type="pct"/>
            <w:tcBorders>
              <w:bottom w:val="single" w:color="auto" w:sz="4" w:space="0"/>
            </w:tcBorders>
            <w:vAlign w:val="center"/>
          </w:tcPr>
          <w:p w14:paraId="2B00F0D6">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门板</w:t>
            </w:r>
          </w:p>
        </w:tc>
        <w:tc>
          <w:tcPr>
            <w:tcW w:w="695" w:type="pct"/>
            <w:tcBorders>
              <w:bottom w:val="single" w:color="auto" w:sz="4" w:space="0"/>
            </w:tcBorders>
            <w:vAlign w:val="center"/>
          </w:tcPr>
          <w:p w14:paraId="78BE10A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≥0.8mm</w:t>
            </w:r>
          </w:p>
        </w:tc>
        <w:tc>
          <w:tcPr>
            <w:tcW w:w="941" w:type="pct"/>
            <w:tcBorders>
              <w:bottom w:val="single" w:color="auto" w:sz="4" w:space="0"/>
            </w:tcBorders>
            <w:vAlign w:val="center"/>
          </w:tcPr>
          <w:p w14:paraId="4A15E34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3041F320">
            <w:pPr>
              <w:jc w:val="center"/>
              <w:rPr>
                <w:rFonts w:hint="eastAsia" w:ascii="宋体" w:hAnsi="宋体" w:eastAsia="宋体" w:cs="宋体"/>
                <w:sz w:val="21"/>
                <w:szCs w:val="21"/>
              </w:rPr>
            </w:pPr>
          </w:p>
        </w:tc>
      </w:tr>
      <w:tr w14:paraId="2320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25" w:type="pct"/>
            <w:vMerge w:val="continue"/>
            <w:vAlign w:val="center"/>
          </w:tcPr>
          <w:p w14:paraId="2CEFCA67">
            <w:pPr>
              <w:jc w:val="center"/>
              <w:rPr>
                <w:rFonts w:hint="eastAsia" w:ascii="宋体" w:hAnsi="宋体" w:eastAsia="宋体" w:cs="宋体"/>
                <w:sz w:val="21"/>
                <w:szCs w:val="21"/>
              </w:rPr>
            </w:pPr>
          </w:p>
        </w:tc>
        <w:tc>
          <w:tcPr>
            <w:tcW w:w="1139" w:type="pct"/>
            <w:tcBorders>
              <w:top w:val="single" w:color="auto" w:sz="4" w:space="0"/>
            </w:tcBorders>
            <w:vAlign w:val="center"/>
          </w:tcPr>
          <w:p w14:paraId="272FB8B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锁具</w:t>
            </w:r>
          </w:p>
        </w:tc>
        <w:tc>
          <w:tcPr>
            <w:tcW w:w="695" w:type="pct"/>
            <w:tcBorders>
              <w:top w:val="single" w:color="auto" w:sz="4" w:space="0"/>
            </w:tcBorders>
            <w:vAlign w:val="center"/>
          </w:tcPr>
          <w:p w14:paraId="7D6920A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密集架专用豪华锁</w:t>
            </w:r>
          </w:p>
        </w:tc>
        <w:tc>
          <w:tcPr>
            <w:tcW w:w="941" w:type="pct"/>
            <w:tcBorders>
              <w:top w:val="single" w:color="auto" w:sz="4" w:space="0"/>
            </w:tcBorders>
            <w:vAlign w:val="center"/>
          </w:tcPr>
          <w:p w14:paraId="07D57C61">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锌合金压铸锁</w:t>
            </w:r>
          </w:p>
        </w:tc>
        <w:tc>
          <w:tcPr>
            <w:tcW w:w="1797" w:type="pct"/>
            <w:vAlign w:val="center"/>
          </w:tcPr>
          <w:p w14:paraId="15D24804">
            <w:pPr>
              <w:jc w:val="center"/>
              <w:rPr>
                <w:rFonts w:hint="eastAsia" w:ascii="宋体" w:hAnsi="宋体" w:eastAsia="宋体" w:cs="宋体"/>
                <w:sz w:val="21"/>
                <w:szCs w:val="21"/>
              </w:rPr>
            </w:pPr>
          </w:p>
        </w:tc>
      </w:tr>
      <w:tr w14:paraId="0447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vAlign w:val="center"/>
          </w:tcPr>
          <w:p w14:paraId="653F461E">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侧护板</w:t>
            </w:r>
          </w:p>
        </w:tc>
        <w:tc>
          <w:tcPr>
            <w:tcW w:w="1139" w:type="pct"/>
            <w:vAlign w:val="center"/>
          </w:tcPr>
          <w:p w14:paraId="33712BC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侧板</w:t>
            </w:r>
          </w:p>
        </w:tc>
        <w:tc>
          <w:tcPr>
            <w:tcW w:w="695" w:type="pct"/>
            <w:vAlign w:val="center"/>
          </w:tcPr>
          <w:p w14:paraId="0B5D67E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≥0.8mm</w:t>
            </w:r>
          </w:p>
        </w:tc>
        <w:tc>
          <w:tcPr>
            <w:tcW w:w="941" w:type="pct"/>
            <w:vAlign w:val="center"/>
          </w:tcPr>
          <w:p w14:paraId="24E2C04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4FECD9E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整块侧板凹凸造型，两边圆弧过渡，强度高。</w:t>
            </w:r>
          </w:p>
        </w:tc>
      </w:tr>
      <w:tr w14:paraId="0026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25" w:type="pct"/>
            <w:vMerge w:val="restart"/>
            <w:vAlign w:val="center"/>
          </w:tcPr>
          <w:p w14:paraId="3C28FECD">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传动机构</w:t>
            </w:r>
          </w:p>
        </w:tc>
        <w:tc>
          <w:tcPr>
            <w:tcW w:w="1139" w:type="pct"/>
            <w:vAlign w:val="center"/>
          </w:tcPr>
          <w:p w14:paraId="238BFA73">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轴承座</w:t>
            </w:r>
          </w:p>
        </w:tc>
        <w:tc>
          <w:tcPr>
            <w:tcW w:w="695" w:type="pct"/>
            <w:vAlign w:val="center"/>
          </w:tcPr>
          <w:p w14:paraId="65AE113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P204</w:t>
            </w:r>
          </w:p>
        </w:tc>
        <w:tc>
          <w:tcPr>
            <w:tcW w:w="941" w:type="pct"/>
            <w:vAlign w:val="center"/>
          </w:tcPr>
          <w:p w14:paraId="276D719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调心轴承</w:t>
            </w:r>
          </w:p>
        </w:tc>
        <w:tc>
          <w:tcPr>
            <w:tcW w:w="1797" w:type="pct"/>
            <w:vAlign w:val="center"/>
          </w:tcPr>
          <w:p w14:paraId="78537320">
            <w:pPr>
              <w:keepNext w:val="0"/>
              <w:keepLines w:val="0"/>
              <w:widowControl/>
              <w:suppressLineNumbers w:val="0"/>
              <w:jc w:val="center"/>
              <w:textAlignment w:val="center"/>
              <w:rPr>
                <w:rFonts w:hint="eastAsia" w:ascii="宋体" w:hAnsi="宋体" w:eastAsia="宋体" w:cs="宋体"/>
                <w:sz w:val="21"/>
                <w:szCs w:val="21"/>
                <w:lang w:eastAsia="zh-CN"/>
              </w:rPr>
            </w:pPr>
            <w:r>
              <w:rPr>
                <w:rFonts w:hint="default" w:ascii="Segoe UI" w:hAnsi="Segoe UI" w:eastAsia="Segoe UI" w:cs="Segoe UI"/>
                <w:i w:val="0"/>
                <w:iCs w:val="0"/>
                <w:color w:val="000000"/>
                <w:kern w:val="0"/>
                <w:sz w:val="22"/>
                <w:szCs w:val="22"/>
                <w:u w:val="none"/>
                <w:lang w:val="en-US" w:eastAsia="zh-CN" w:bidi="ar"/>
              </w:rPr>
              <w:t>精密度高，耐压耐磨，传动轻便灵活。</w:t>
            </w:r>
          </w:p>
        </w:tc>
      </w:tr>
      <w:tr w14:paraId="56BB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425" w:type="pct"/>
            <w:vMerge w:val="continue"/>
            <w:vAlign w:val="center"/>
          </w:tcPr>
          <w:p w14:paraId="5837BA0C">
            <w:pPr>
              <w:jc w:val="center"/>
              <w:rPr>
                <w:rFonts w:hint="eastAsia" w:ascii="宋体" w:hAnsi="宋体" w:eastAsia="宋体" w:cs="宋体"/>
                <w:sz w:val="21"/>
                <w:szCs w:val="21"/>
              </w:rPr>
            </w:pPr>
          </w:p>
        </w:tc>
        <w:tc>
          <w:tcPr>
            <w:tcW w:w="1139" w:type="pct"/>
            <w:vAlign w:val="center"/>
          </w:tcPr>
          <w:p w14:paraId="50CD81F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传动轴</w:t>
            </w:r>
          </w:p>
        </w:tc>
        <w:tc>
          <w:tcPr>
            <w:tcW w:w="695" w:type="pct"/>
            <w:vAlign w:val="center"/>
          </w:tcPr>
          <w:p w14:paraId="3856992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φ20</w:t>
            </w:r>
          </w:p>
        </w:tc>
        <w:tc>
          <w:tcPr>
            <w:tcW w:w="941" w:type="pct"/>
            <w:vAlign w:val="center"/>
          </w:tcPr>
          <w:p w14:paraId="677E2BF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45#圆钢</w:t>
            </w:r>
          </w:p>
        </w:tc>
        <w:tc>
          <w:tcPr>
            <w:tcW w:w="1797" w:type="pct"/>
            <w:vAlign w:val="center"/>
          </w:tcPr>
          <w:p w14:paraId="433DC927">
            <w:pPr>
              <w:jc w:val="center"/>
              <w:rPr>
                <w:rFonts w:hint="eastAsia" w:ascii="宋体" w:hAnsi="宋体" w:eastAsia="宋体" w:cs="宋体"/>
                <w:sz w:val="21"/>
                <w:szCs w:val="21"/>
              </w:rPr>
            </w:pPr>
          </w:p>
        </w:tc>
      </w:tr>
      <w:tr w14:paraId="13FC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425" w:type="pct"/>
            <w:vMerge w:val="continue"/>
            <w:vAlign w:val="center"/>
          </w:tcPr>
          <w:p w14:paraId="4B9A99DA">
            <w:pPr>
              <w:jc w:val="center"/>
              <w:rPr>
                <w:rFonts w:hint="eastAsia" w:ascii="宋体" w:hAnsi="宋体" w:eastAsia="宋体" w:cs="宋体"/>
                <w:sz w:val="21"/>
                <w:szCs w:val="21"/>
              </w:rPr>
            </w:pPr>
          </w:p>
        </w:tc>
        <w:tc>
          <w:tcPr>
            <w:tcW w:w="1139" w:type="pct"/>
            <w:vAlign w:val="center"/>
          </w:tcPr>
          <w:p w14:paraId="69821FC8">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连接钢管</w:t>
            </w:r>
          </w:p>
        </w:tc>
        <w:tc>
          <w:tcPr>
            <w:tcW w:w="695" w:type="pct"/>
            <w:vAlign w:val="center"/>
          </w:tcPr>
          <w:p w14:paraId="6C79DA6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φ25*1.8</w:t>
            </w:r>
          </w:p>
        </w:tc>
        <w:tc>
          <w:tcPr>
            <w:tcW w:w="941" w:type="pct"/>
            <w:vAlign w:val="center"/>
          </w:tcPr>
          <w:p w14:paraId="1C9539D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镀锌钢管</w:t>
            </w:r>
          </w:p>
        </w:tc>
        <w:tc>
          <w:tcPr>
            <w:tcW w:w="1797" w:type="pct"/>
            <w:vAlign w:val="center"/>
          </w:tcPr>
          <w:p w14:paraId="2D83D811">
            <w:pPr>
              <w:jc w:val="center"/>
              <w:rPr>
                <w:rFonts w:hint="eastAsia" w:ascii="宋体" w:hAnsi="宋体" w:eastAsia="宋体" w:cs="宋体"/>
                <w:sz w:val="21"/>
                <w:szCs w:val="21"/>
              </w:rPr>
            </w:pPr>
          </w:p>
        </w:tc>
      </w:tr>
      <w:tr w14:paraId="64A79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425" w:type="pct"/>
            <w:vMerge w:val="continue"/>
            <w:vAlign w:val="center"/>
          </w:tcPr>
          <w:p w14:paraId="4B21F266">
            <w:pPr>
              <w:jc w:val="center"/>
              <w:rPr>
                <w:rFonts w:hint="eastAsia" w:ascii="宋体" w:hAnsi="宋体" w:eastAsia="宋体" w:cs="宋体"/>
                <w:sz w:val="21"/>
                <w:szCs w:val="21"/>
              </w:rPr>
            </w:pPr>
          </w:p>
        </w:tc>
        <w:tc>
          <w:tcPr>
            <w:tcW w:w="1139" w:type="pct"/>
            <w:vAlign w:val="center"/>
          </w:tcPr>
          <w:p w14:paraId="6CD375A1">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铁滚轮</w:t>
            </w:r>
          </w:p>
        </w:tc>
        <w:tc>
          <w:tcPr>
            <w:tcW w:w="695" w:type="pct"/>
            <w:vAlign w:val="center"/>
          </w:tcPr>
          <w:p w14:paraId="0C69772F">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HT200铸铁</w:t>
            </w:r>
          </w:p>
        </w:tc>
        <w:tc>
          <w:tcPr>
            <w:tcW w:w="941" w:type="pct"/>
            <w:vAlign w:val="center"/>
          </w:tcPr>
          <w:p w14:paraId="7B579F8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铸铁经加工成型</w:t>
            </w:r>
          </w:p>
        </w:tc>
        <w:tc>
          <w:tcPr>
            <w:tcW w:w="1797" w:type="pct"/>
            <w:vAlign w:val="center"/>
          </w:tcPr>
          <w:p w14:paraId="1AA3E3C9">
            <w:pPr>
              <w:jc w:val="center"/>
              <w:rPr>
                <w:rFonts w:hint="eastAsia" w:ascii="宋体" w:hAnsi="宋体" w:eastAsia="宋体" w:cs="宋体"/>
                <w:sz w:val="21"/>
                <w:szCs w:val="21"/>
              </w:rPr>
            </w:pPr>
          </w:p>
        </w:tc>
      </w:tr>
      <w:tr w14:paraId="1F6C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425" w:type="pct"/>
            <w:vMerge w:val="continue"/>
            <w:vAlign w:val="center"/>
          </w:tcPr>
          <w:p w14:paraId="154772ED">
            <w:pPr>
              <w:jc w:val="center"/>
              <w:rPr>
                <w:rFonts w:hint="eastAsia" w:ascii="宋体" w:hAnsi="宋体" w:eastAsia="宋体" w:cs="宋体"/>
                <w:sz w:val="21"/>
                <w:szCs w:val="21"/>
              </w:rPr>
            </w:pPr>
          </w:p>
        </w:tc>
        <w:tc>
          <w:tcPr>
            <w:tcW w:w="1139" w:type="pct"/>
            <w:vAlign w:val="center"/>
          </w:tcPr>
          <w:p w14:paraId="27C8229F">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链轮</w:t>
            </w:r>
          </w:p>
        </w:tc>
        <w:tc>
          <w:tcPr>
            <w:tcW w:w="695" w:type="pct"/>
            <w:vAlign w:val="center"/>
          </w:tcPr>
          <w:p w14:paraId="184D0FA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45#钢</w:t>
            </w:r>
          </w:p>
        </w:tc>
        <w:tc>
          <w:tcPr>
            <w:tcW w:w="941" w:type="pct"/>
            <w:vAlign w:val="center"/>
          </w:tcPr>
          <w:p w14:paraId="532B756D">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滚齿精制</w:t>
            </w:r>
          </w:p>
        </w:tc>
        <w:tc>
          <w:tcPr>
            <w:tcW w:w="1797" w:type="pct"/>
            <w:vAlign w:val="center"/>
          </w:tcPr>
          <w:p w14:paraId="570E5ED0">
            <w:pPr>
              <w:jc w:val="center"/>
              <w:rPr>
                <w:rFonts w:hint="eastAsia" w:ascii="宋体" w:hAnsi="宋体" w:eastAsia="宋体" w:cs="宋体"/>
                <w:sz w:val="21"/>
                <w:szCs w:val="21"/>
              </w:rPr>
            </w:pPr>
          </w:p>
        </w:tc>
      </w:tr>
      <w:tr w14:paraId="5A97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25" w:type="pct"/>
            <w:vMerge w:val="continue"/>
            <w:vAlign w:val="center"/>
          </w:tcPr>
          <w:p w14:paraId="25AF871D">
            <w:pPr>
              <w:jc w:val="center"/>
              <w:rPr>
                <w:rFonts w:hint="eastAsia" w:ascii="宋体" w:hAnsi="宋体" w:eastAsia="宋体" w:cs="宋体"/>
                <w:sz w:val="21"/>
                <w:szCs w:val="21"/>
              </w:rPr>
            </w:pPr>
          </w:p>
        </w:tc>
        <w:tc>
          <w:tcPr>
            <w:tcW w:w="1139" w:type="pct"/>
            <w:vAlign w:val="center"/>
          </w:tcPr>
          <w:p w14:paraId="51BEAD7E">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摩托车链条</w:t>
            </w:r>
          </w:p>
        </w:tc>
        <w:tc>
          <w:tcPr>
            <w:tcW w:w="695" w:type="pct"/>
            <w:vAlign w:val="center"/>
          </w:tcPr>
          <w:p w14:paraId="01C71510">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FR420</w:t>
            </w:r>
          </w:p>
        </w:tc>
        <w:tc>
          <w:tcPr>
            <w:tcW w:w="941" w:type="pct"/>
            <w:vAlign w:val="center"/>
          </w:tcPr>
          <w:p w14:paraId="6CDF443F">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φ8.5 节距12.7</w:t>
            </w:r>
          </w:p>
        </w:tc>
        <w:tc>
          <w:tcPr>
            <w:tcW w:w="1797" w:type="pct"/>
            <w:vAlign w:val="center"/>
          </w:tcPr>
          <w:p w14:paraId="08C4D130">
            <w:pPr>
              <w:jc w:val="center"/>
              <w:rPr>
                <w:rFonts w:hint="eastAsia" w:ascii="宋体" w:hAnsi="宋体" w:eastAsia="宋体" w:cs="宋体"/>
                <w:sz w:val="21"/>
                <w:szCs w:val="21"/>
              </w:rPr>
            </w:pPr>
          </w:p>
        </w:tc>
      </w:tr>
      <w:tr w14:paraId="5FF4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25" w:type="pct"/>
            <w:vMerge w:val="continue"/>
            <w:vAlign w:val="center"/>
          </w:tcPr>
          <w:p w14:paraId="07561372">
            <w:pPr>
              <w:jc w:val="center"/>
              <w:rPr>
                <w:rFonts w:hint="eastAsia" w:ascii="宋体" w:hAnsi="宋体" w:eastAsia="宋体" w:cs="宋体"/>
                <w:sz w:val="21"/>
                <w:szCs w:val="21"/>
              </w:rPr>
            </w:pPr>
          </w:p>
        </w:tc>
        <w:tc>
          <w:tcPr>
            <w:tcW w:w="1139" w:type="pct"/>
            <w:vAlign w:val="center"/>
          </w:tcPr>
          <w:p w14:paraId="667A83F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摇手体总成</w:t>
            </w:r>
          </w:p>
        </w:tc>
        <w:tc>
          <w:tcPr>
            <w:tcW w:w="695" w:type="pct"/>
            <w:tcBorders>
              <w:bottom w:val="single" w:color="auto" w:sz="4" w:space="0"/>
            </w:tcBorders>
            <w:vAlign w:val="center"/>
          </w:tcPr>
          <w:p w14:paraId="71E20FF1">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折叠摇把</w:t>
            </w:r>
          </w:p>
        </w:tc>
        <w:tc>
          <w:tcPr>
            <w:tcW w:w="941" w:type="pct"/>
            <w:tcBorders>
              <w:bottom w:val="single" w:color="auto" w:sz="4" w:space="0"/>
            </w:tcBorders>
            <w:vAlign w:val="center"/>
          </w:tcPr>
          <w:p w14:paraId="494132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表面镀铬</w:t>
            </w:r>
          </w:p>
        </w:tc>
        <w:tc>
          <w:tcPr>
            <w:tcW w:w="1797" w:type="pct"/>
            <w:vAlign w:val="center"/>
          </w:tcPr>
          <w:p w14:paraId="041A75B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摇柄可向上折叠，避免碰撞。</w:t>
            </w:r>
          </w:p>
        </w:tc>
      </w:tr>
      <w:tr w14:paraId="2473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425" w:type="pct"/>
            <w:vMerge w:val="restart"/>
            <w:vAlign w:val="center"/>
          </w:tcPr>
          <w:p w14:paraId="28CFBFCD">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制动装置</w:t>
            </w:r>
          </w:p>
        </w:tc>
        <w:tc>
          <w:tcPr>
            <w:tcW w:w="1139" w:type="pct"/>
            <w:vAlign w:val="center"/>
          </w:tcPr>
          <w:p w14:paraId="45FE3DBF">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侧列锁定装置</w:t>
            </w:r>
          </w:p>
        </w:tc>
        <w:tc>
          <w:tcPr>
            <w:tcW w:w="695" w:type="pct"/>
            <w:tcBorders>
              <w:top w:val="single" w:color="auto" w:sz="4" w:space="0"/>
            </w:tcBorders>
            <w:vAlign w:val="center"/>
          </w:tcPr>
          <w:p w14:paraId="2D863B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808锁</w:t>
            </w:r>
          </w:p>
        </w:tc>
        <w:tc>
          <w:tcPr>
            <w:tcW w:w="941" w:type="pct"/>
            <w:tcBorders>
              <w:top w:val="single" w:color="auto" w:sz="4" w:space="0"/>
            </w:tcBorders>
            <w:vAlign w:val="center"/>
          </w:tcPr>
          <w:p w14:paraId="1198A232">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每列均可锁紧</w:t>
            </w:r>
          </w:p>
        </w:tc>
        <w:tc>
          <w:tcPr>
            <w:tcW w:w="1797" w:type="pct"/>
            <w:vAlign w:val="center"/>
          </w:tcPr>
          <w:p w14:paraId="72322529">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每列均装有制动装置，操作方便，制动可靠。</w:t>
            </w:r>
          </w:p>
        </w:tc>
      </w:tr>
      <w:tr w14:paraId="04E9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425" w:type="pct"/>
            <w:vMerge w:val="continue"/>
            <w:vAlign w:val="center"/>
          </w:tcPr>
          <w:p w14:paraId="723E2958">
            <w:pPr>
              <w:jc w:val="center"/>
              <w:rPr>
                <w:rFonts w:hint="eastAsia" w:ascii="宋体" w:hAnsi="宋体" w:eastAsia="宋体" w:cs="宋体"/>
                <w:sz w:val="21"/>
                <w:szCs w:val="21"/>
              </w:rPr>
            </w:pPr>
          </w:p>
        </w:tc>
        <w:tc>
          <w:tcPr>
            <w:tcW w:w="1139" w:type="pct"/>
            <w:vAlign w:val="center"/>
          </w:tcPr>
          <w:p w14:paraId="046A088D">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中列制动装置</w:t>
            </w:r>
          </w:p>
        </w:tc>
        <w:tc>
          <w:tcPr>
            <w:tcW w:w="695" w:type="pct"/>
            <w:vAlign w:val="center"/>
          </w:tcPr>
          <w:p w14:paraId="0FEB173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制动手柄</w:t>
            </w:r>
          </w:p>
        </w:tc>
        <w:tc>
          <w:tcPr>
            <w:tcW w:w="941" w:type="pct"/>
            <w:vAlign w:val="center"/>
          </w:tcPr>
          <w:p w14:paraId="138E55C6">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锌合金</w:t>
            </w:r>
          </w:p>
        </w:tc>
        <w:tc>
          <w:tcPr>
            <w:tcW w:w="1797" w:type="pct"/>
            <w:vAlign w:val="center"/>
          </w:tcPr>
          <w:p w14:paraId="7014020E">
            <w:pPr>
              <w:jc w:val="center"/>
              <w:rPr>
                <w:rFonts w:hint="eastAsia" w:ascii="宋体" w:hAnsi="宋体" w:eastAsia="宋体" w:cs="宋体"/>
                <w:sz w:val="21"/>
                <w:szCs w:val="21"/>
              </w:rPr>
            </w:pPr>
          </w:p>
        </w:tc>
      </w:tr>
      <w:tr w14:paraId="42CA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425" w:type="pct"/>
            <w:vMerge w:val="restart"/>
            <w:vAlign w:val="center"/>
          </w:tcPr>
          <w:p w14:paraId="29D14B46">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防护装置</w:t>
            </w:r>
          </w:p>
        </w:tc>
        <w:tc>
          <w:tcPr>
            <w:tcW w:w="1139" w:type="pct"/>
            <w:vAlign w:val="center"/>
          </w:tcPr>
          <w:p w14:paraId="3383EA8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防震、防尘装置</w:t>
            </w:r>
          </w:p>
        </w:tc>
        <w:tc>
          <w:tcPr>
            <w:tcW w:w="695" w:type="pct"/>
            <w:vAlign w:val="center"/>
          </w:tcPr>
          <w:p w14:paraId="2BD0EEE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20mm</w:t>
            </w:r>
          </w:p>
        </w:tc>
        <w:tc>
          <w:tcPr>
            <w:tcW w:w="941" w:type="pct"/>
            <w:vAlign w:val="center"/>
          </w:tcPr>
          <w:p w14:paraId="784423B7">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PVC磁封条</w:t>
            </w:r>
          </w:p>
        </w:tc>
        <w:tc>
          <w:tcPr>
            <w:tcW w:w="1797" w:type="pct"/>
            <w:vAlign w:val="center"/>
          </w:tcPr>
          <w:p w14:paraId="12636946">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符合QB/T4463-2013，具有良好的防震、防尘、防鼠、防虫、防光、防潮、防火功能。</w:t>
            </w:r>
          </w:p>
        </w:tc>
      </w:tr>
      <w:tr w14:paraId="5893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25" w:type="pct"/>
            <w:vMerge w:val="continue"/>
            <w:vAlign w:val="center"/>
          </w:tcPr>
          <w:p w14:paraId="5F3118F7">
            <w:pPr>
              <w:jc w:val="center"/>
              <w:rPr>
                <w:rFonts w:hint="eastAsia" w:ascii="宋体" w:hAnsi="宋体" w:eastAsia="宋体" w:cs="宋体"/>
                <w:sz w:val="21"/>
                <w:szCs w:val="21"/>
              </w:rPr>
            </w:pPr>
          </w:p>
        </w:tc>
        <w:tc>
          <w:tcPr>
            <w:tcW w:w="1139" w:type="pct"/>
            <w:vAlign w:val="center"/>
          </w:tcPr>
          <w:p w14:paraId="2A6A60A2">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顶板</w:t>
            </w:r>
          </w:p>
        </w:tc>
        <w:tc>
          <w:tcPr>
            <w:tcW w:w="695" w:type="pct"/>
            <w:vAlign w:val="center"/>
          </w:tcPr>
          <w:p w14:paraId="045F1147">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≥0.8mm</w:t>
            </w:r>
          </w:p>
        </w:tc>
        <w:tc>
          <w:tcPr>
            <w:tcW w:w="941" w:type="pct"/>
            <w:vAlign w:val="center"/>
          </w:tcPr>
          <w:p w14:paraId="06DD9E15">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724E7C93">
            <w:pPr>
              <w:jc w:val="center"/>
              <w:rPr>
                <w:rFonts w:hint="eastAsia" w:ascii="宋体" w:hAnsi="宋体" w:eastAsia="宋体" w:cs="宋体"/>
                <w:sz w:val="21"/>
                <w:szCs w:val="21"/>
                <w:lang w:eastAsia="zh-CN"/>
              </w:rPr>
            </w:pPr>
          </w:p>
        </w:tc>
      </w:tr>
      <w:tr w14:paraId="5059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425" w:type="pct"/>
            <w:vMerge w:val="continue"/>
            <w:vAlign w:val="center"/>
          </w:tcPr>
          <w:p w14:paraId="5A5BE306">
            <w:pPr>
              <w:jc w:val="center"/>
              <w:rPr>
                <w:rFonts w:hint="eastAsia" w:ascii="宋体" w:hAnsi="宋体" w:eastAsia="宋体" w:cs="宋体"/>
                <w:sz w:val="21"/>
                <w:szCs w:val="21"/>
              </w:rPr>
            </w:pPr>
          </w:p>
        </w:tc>
        <w:tc>
          <w:tcPr>
            <w:tcW w:w="1139" w:type="pct"/>
            <w:vAlign w:val="center"/>
          </w:tcPr>
          <w:p w14:paraId="71143089">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防尘板、防鼠板</w:t>
            </w:r>
          </w:p>
        </w:tc>
        <w:tc>
          <w:tcPr>
            <w:tcW w:w="695" w:type="pct"/>
            <w:vAlign w:val="center"/>
          </w:tcPr>
          <w:p w14:paraId="742F043E">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≥0.8mm</w:t>
            </w:r>
          </w:p>
        </w:tc>
        <w:tc>
          <w:tcPr>
            <w:tcW w:w="941" w:type="pct"/>
            <w:vAlign w:val="center"/>
          </w:tcPr>
          <w:p w14:paraId="0370A2F4">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冷轧钢板</w:t>
            </w:r>
          </w:p>
        </w:tc>
        <w:tc>
          <w:tcPr>
            <w:tcW w:w="1797" w:type="pct"/>
            <w:vAlign w:val="center"/>
          </w:tcPr>
          <w:p w14:paraId="24EEEEFF">
            <w:pPr>
              <w:jc w:val="center"/>
              <w:rPr>
                <w:rFonts w:hint="eastAsia" w:ascii="宋体" w:hAnsi="宋体" w:eastAsia="宋体" w:cs="宋体"/>
                <w:sz w:val="21"/>
                <w:szCs w:val="21"/>
                <w:lang w:val="en-US" w:eastAsia="zh-CN"/>
              </w:rPr>
            </w:pPr>
          </w:p>
        </w:tc>
      </w:tr>
      <w:tr w14:paraId="23B3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25" w:type="pct"/>
            <w:vMerge w:val="continue"/>
            <w:vAlign w:val="center"/>
          </w:tcPr>
          <w:p w14:paraId="0C660AED">
            <w:pPr>
              <w:jc w:val="center"/>
              <w:rPr>
                <w:rFonts w:hint="eastAsia" w:ascii="宋体" w:hAnsi="宋体" w:eastAsia="宋体" w:cs="宋体"/>
                <w:sz w:val="21"/>
                <w:szCs w:val="21"/>
              </w:rPr>
            </w:pPr>
          </w:p>
        </w:tc>
        <w:tc>
          <w:tcPr>
            <w:tcW w:w="1139" w:type="pct"/>
            <w:vAlign w:val="center"/>
          </w:tcPr>
          <w:p w14:paraId="5191943A">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防倾倒装置</w:t>
            </w:r>
          </w:p>
        </w:tc>
        <w:tc>
          <w:tcPr>
            <w:tcW w:w="695" w:type="pct"/>
            <w:vAlign w:val="center"/>
          </w:tcPr>
          <w:p w14:paraId="58882FA8">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≥3.0mm</w:t>
            </w:r>
          </w:p>
        </w:tc>
        <w:tc>
          <w:tcPr>
            <w:tcW w:w="941" w:type="pct"/>
            <w:vAlign w:val="center"/>
          </w:tcPr>
          <w:p w14:paraId="704FA67B">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热轧钢板</w:t>
            </w:r>
          </w:p>
        </w:tc>
        <w:tc>
          <w:tcPr>
            <w:tcW w:w="1797" w:type="pct"/>
            <w:vAlign w:val="center"/>
          </w:tcPr>
          <w:p w14:paraId="72070589">
            <w:pPr>
              <w:jc w:val="center"/>
              <w:rPr>
                <w:rFonts w:hint="eastAsia" w:ascii="宋体" w:hAnsi="宋体" w:eastAsia="宋体" w:cs="宋体"/>
                <w:sz w:val="21"/>
                <w:szCs w:val="21"/>
              </w:rPr>
            </w:pPr>
          </w:p>
        </w:tc>
      </w:tr>
      <w:tr w14:paraId="0C1A2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425" w:type="pct"/>
            <w:vMerge w:val="restart"/>
            <w:vAlign w:val="center"/>
          </w:tcPr>
          <w:p w14:paraId="2A544E41">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表面处理</w:t>
            </w:r>
          </w:p>
        </w:tc>
        <w:tc>
          <w:tcPr>
            <w:tcW w:w="1139" w:type="pct"/>
            <w:vAlign w:val="center"/>
          </w:tcPr>
          <w:p w14:paraId="41D3B1B9">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前处理药剂</w:t>
            </w:r>
          </w:p>
        </w:tc>
        <w:tc>
          <w:tcPr>
            <w:tcW w:w="695" w:type="pct"/>
            <w:vAlign w:val="center"/>
          </w:tcPr>
          <w:p w14:paraId="520A8152">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硅烷处理技术</w:t>
            </w:r>
          </w:p>
        </w:tc>
        <w:tc>
          <w:tcPr>
            <w:tcW w:w="941" w:type="pct"/>
            <w:vAlign w:val="center"/>
          </w:tcPr>
          <w:p w14:paraId="53762479">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无重金属，提高附着力</w:t>
            </w:r>
          </w:p>
        </w:tc>
        <w:tc>
          <w:tcPr>
            <w:tcW w:w="1797" w:type="pct"/>
            <w:vAlign w:val="center"/>
          </w:tcPr>
          <w:p w14:paraId="5B9E8424">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采用大型流水线自动前处理喷涂设备，表面涂层高温固化，耐腐蚀、防霉抗菌。</w:t>
            </w:r>
          </w:p>
        </w:tc>
      </w:tr>
      <w:tr w14:paraId="207C8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425" w:type="pct"/>
            <w:vMerge w:val="continue"/>
            <w:vAlign w:val="center"/>
          </w:tcPr>
          <w:p w14:paraId="2D3662C1">
            <w:pPr>
              <w:jc w:val="center"/>
              <w:rPr>
                <w:rFonts w:hint="eastAsia" w:ascii="宋体" w:hAnsi="宋体" w:eastAsia="宋体" w:cs="宋体"/>
                <w:sz w:val="21"/>
                <w:szCs w:val="21"/>
              </w:rPr>
            </w:pPr>
          </w:p>
        </w:tc>
        <w:tc>
          <w:tcPr>
            <w:tcW w:w="1139" w:type="pct"/>
            <w:vAlign w:val="center"/>
          </w:tcPr>
          <w:p w14:paraId="416074E0">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高压静电喷塑</w:t>
            </w:r>
          </w:p>
        </w:tc>
        <w:tc>
          <w:tcPr>
            <w:tcW w:w="695" w:type="pct"/>
            <w:vAlign w:val="center"/>
          </w:tcPr>
          <w:p w14:paraId="39E53C90">
            <w:pPr>
              <w:keepNext w:val="0"/>
              <w:keepLines w:val="0"/>
              <w:widowControl/>
              <w:suppressLineNumbers w:val="0"/>
              <w:jc w:val="center"/>
              <w:textAlignment w:val="center"/>
              <w:rPr>
                <w:rFonts w:hint="eastAsia" w:ascii="宋体" w:hAnsi="宋体" w:eastAsia="宋体" w:cs="宋体"/>
                <w:sz w:val="21"/>
                <w:szCs w:val="21"/>
                <w:lang w:val="en-US"/>
              </w:rPr>
            </w:pPr>
            <w:r>
              <w:rPr>
                <w:rFonts w:hint="default" w:ascii="Segoe UI" w:hAnsi="Segoe UI" w:eastAsia="Segoe UI" w:cs="Segoe UI"/>
                <w:i w:val="0"/>
                <w:iCs w:val="0"/>
                <w:color w:val="000000"/>
                <w:kern w:val="0"/>
                <w:sz w:val="22"/>
                <w:szCs w:val="22"/>
                <w:u w:val="none"/>
                <w:lang w:val="en-US" w:eastAsia="zh-CN" w:bidi="ar"/>
              </w:rPr>
              <w:t>热固性粉末涂料</w:t>
            </w:r>
          </w:p>
        </w:tc>
        <w:tc>
          <w:tcPr>
            <w:tcW w:w="941" w:type="pct"/>
            <w:vAlign w:val="center"/>
          </w:tcPr>
          <w:p w14:paraId="48940498">
            <w:pPr>
              <w:keepNext w:val="0"/>
              <w:keepLines w:val="0"/>
              <w:widowControl/>
              <w:suppressLineNumbers w:val="0"/>
              <w:jc w:val="center"/>
              <w:textAlignment w:val="center"/>
            </w:pPr>
            <w:r>
              <w:rPr>
                <w:rFonts w:hint="default" w:ascii="Segoe UI" w:hAnsi="Segoe UI" w:eastAsia="Segoe UI" w:cs="Segoe UI"/>
                <w:i w:val="0"/>
                <w:iCs w:val="0"/>
                <w:color w:val="000000"/>
                <w:kern w:val="0"/>
                <w:sz w:val="22"/>
                <w:szCs w:val="22"/>
                <w:u w:val="none"/>
                <w:lang w:val="en-US" w:eastAsia="zh-CN" w:bidi="ar"/>
              </w:rPr>
              <w:t>国内知名品牌</w:t>
            </w:r>
          </w:p>
        </w:tc>
        <w:tc>
          <w:tcPr>
            <w:tcW w:w="1797" w:type="pct"/>
            <w:vAlign w:val="center"/>
          </w:tcPr>
          <w:p w14:paraId="2853D07B">
            <w:pPr>
              <w:jc w:val="center"/>
              <w:rPr>
                <w:rFonts w:hint="eastAsia" w:ascii="宋体" w:hAnsi="宋体" w:eastAsia="宋体" w:cs="宋体"/>
                <w:sz w:val="21"/>
                <w:szCs w:val="21"/>
                <w:lang w:val="en-US" w:eastAsia="zh-CN"/>
              </w:rPr>
            </w:pPr>
          </w:p>
        </w:tc>
      </w:tr>
      <w:tr w14:paraId="5B8A4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1" w:hRule="atLeast"/>
          <w:jc w:val="center"/>
        </w:trPr>
        <w:tc>
          <w:tcPr>
            <w:tcW w:w="425" w:type="pct"/>
            <w:vAlign w:val="center"/>
          </w:tcPr>
          <w:p w14:paraId="3E457CB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导轨</w:t>
            </w:r>
          </w:p>
        </w:tc>
        <w:tc>
          <w:tcPr>
            <w:tcW w:w="1139" w:type="pct"/>
            <w:vAlign w:val="center"/>
          </w:tcPr>
          <w:p w14:paraId="5329573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default" w:ascii="Segoe UI" w:hAnsi="Segoe UI" w:eastAsia="Segoe UI" w:cs="Segoe UI"/>
                <w:i w:val="0"/>
                <w:iCs w:val="0"/>
                <w:color w:val="000000"/>
                <w:kern w:val="0"/>
                <w:sz w:val="22"/>
                <w:szCs w:val="22"/>
                <w:u w:val="none"/>
                <w:lang w:val="en-US" w:eastAsia="zh-CN" w:bidi="ar"/>
              </w:rPr>
              <w:t>轨道轨芯</w:t>
            </w:r>
          </w:p>
        </w:tc>
        <w:tc>
          <w:tcPr>
            <w:tcW w:w="695" w:type="pct"/>
            <w:vAlign w:val="center"/>
          </w:tcPr>
          <w:p w14:paraId="32C3B424">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20*20mm</w:t>
            </w:r>
          </w:p>
        </w:tc>
        <w:tc>
          <w:tcPr>
            <w:tcW w:w="941" w:type="pct"/>
            <w:vAlign w:val="center"/>
          </w:tcPr>
          <w:p w14:paraId="67DAA088">
            <w:pPr>
              <w:keepNext w:val="0"/>
              <w:keepLines w:val="0"/>
              <w:widowControl/>
              <w:suppressLineNumbers w:val="0"/>
              <w:jc w:val="center"/>
              <w:textAlignment w:val="center"/>
              <w:rPr>
                <w:rFonts w:hint="eastAsia" w:ascii="宋体" w:hAnsi="宋体" w:eastAsia="宋体" w:cs="宋体"/>
                <w:sz w:val="21"/>
                <w:szCs w:val="21"/>
                <w:lang w:eastAsia="zh-CN"/>
              </w:rPr>
            </w:pPr>
            <w:r>
              <w:rPr>
                <w:rFonts w:hint="default" w:ascii="Segoe UI" w:hAnsi="Segoe UI" w:eastAsia="Segoe UI" w:cs="Segoe UI"/>
                <w:i w:val="0"/>
                <w:iCs w:val="0"/>
                <w:color w:val="000000"/>
                <w:kern w:val="0"/>
                <w:sz w:val="22"/>
                <w:szCs w:val="22"/>
                <w:u w:val="none"/>
                <w:lang w:val="en-US" w:eastAsia="zh-CN" w:bidi="ar"/>
              </w:rPr>
              <w:t>304不锈钢</w:t>
            </w:r>
          </w:p>
        </w:tc>
        <w:tc>
          <w:tcPr>
            <w:tcW w:w="1797" w:type="pct"/>
            <w:vAlign w:val="center"/>
          </w:tcPr>
          <w:p w14:paraId="27ADDCFC">
            <w:pPr>
              <w:keepNext w:val="0"/>
              <w:keepLines w:val="0"/>
              <w:widowControl/>
              <w:suppressLineNumbers w:val="0"/>
              <w:jc w:val="center"/>
              <w:textAlignment w:val="center"/>
              <w:rPr>
                <w:rFonts w:hint="eastAsia" w:ascii="宋体" w:hAnsi="宋体" w:eastAsia="宋体" w:cs="宋体"/>
                <w:sz w:val="21"/>
                <w:szCs w:val="21"/>
              </w:rPr>
            </w:pPr>
            <w:r>
              <w:rPr>
                <w:rFonts w:hint="default" w:ascii="Segoe UI" w:hAnsi="Segoe UI" w:eastAsia="Segoe UI" w:cs="Segoe UI"/>
                <w:i w:val="0"/>
                <w:iCs w:val="0"/>
                <w:color w:val="000000"/>
                <w:kern w:val="0"/>
                <w:sz w:val="22"/>
                <w:szCs w:val="22"/>
                <w:u w:val="none"/>
                <w:lang w:val="en-US" w:eastAsia="zh-CN" w:bidi="ar"/>
              </w:rPr>
              <w:t>轨道与轨道采用销轴定位对接，安装后平整、美观、承重性能好。</w:t>
            </w:r>
          </w:p>
        </w:tc>
      </w:tr>
    </w:tbl>
    <w:p w14:paraId="4078D629">
      <w:pPr>
        <w:numPr>
          <w:ilvl w:val="0"/>
          <w:numId w:val="4"/>
        </w:numPr>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lang w:val="en-US" w:eastAsia="zh-CN"/>
        </w:rPr>
        <w:t>气体灭火装置部分</w:t>
      </w:r>
      <w:r>
        <w:rPr>
          <w:rFonts w:hint="eastAsia" w:ascii="楷体_GB2312" w:hAnsi="楷体_GB2312" w:eastAsia="楷体_GB2312" w:cs="楷体_GB2312"/>
          <w:b/>
          <w:bCs/>
          <w:sz w:val="30"/>
          <w:szCs w:val="30"/>
        </w:rPr>
        <w:t>配置说明</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3"/>
        <w:gridCol w:w="3201"/>
        <w:gridCol w:w="811"/>
        <w:gridCol w:w="3271"/>
      </w:tblGrid>
      <w:tr w14:paraId="537F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DB8">
            <w:pPr>
              <w:keepNext w:val="0"/>
              <w:keepLines w:val="0"/>
              <w:widowControl/>
              <w:suppressLineNumbers w:val="0"/>
              <w:jc w:val="center"/>
              <w:textAlignment w:val="center"/>
              <w:rPr>
                <w:rFonts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部件/设备名称</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5C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规格/技术参数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837D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1891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性能说明</w:t>
            </w:r>
          </w:p>
        </w:tc>
      </w:tr>
      <w:tr w14:paraId="76A1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F3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柜式七氟丙烷灭火装置</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3C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GQQ150/2.5，柜体尺寸约550*440*1650mm，灭火剂瓶组容积150L，贮存压力2.5MPa，最大充装密度1.12kg/L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9797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D8AE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包含灭火剂储瓶、容器阀、安全阀、手动阀、压力表、柜体、高压软管、喷嘴等。柜体颜色阳光色，开启方式气动/自动。</w:t>
            </w:r>
          </w:p>
        </w:tc>
      </w:tr>
      <w:tr w14:paraId="12F2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99C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七氟丙烷药剂</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E7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HFC-227ea，充装量150kg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1E4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150kg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D00E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符合国家标准GB18614，对大气臭氧层无破坏（ODP=0），环保。</w:t>
            </w:r>
          </w:p>
        </w:tc>
      </w:tr>
      <w:tr w14:paraId="673A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F0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泄压装置</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F974">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开启压力950±50Pa，泄压面积0.07m²，外形约360*360mm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9E66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AC9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火灾时自动泄压，保护防护区结构安全。</w:t>
            </w:r>
          </w:p>
        </w:tc>
      </w:tr>
      <w:tr w14:paraId="3D93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B7A">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点型光电感烟火灾探测器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A4B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总线24V，ABS材料，可编码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DA6F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CEF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巡检时闪烁，报警时常亮。</w:t>
            </w:r>
          </w:p>
        </w:tc>
      </w:tr>
      <w:tr w14:paraId="2AC9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1AE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点型感温火灾探测器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9213">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总线24V，ABS材料，可编码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48C3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E304">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同上。</w:t>
            </w:r>
          </w:p>
        </w:tc>
      </w:tr>
      <w:tr w14:paraId="4E29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612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火灾声光报警器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CE2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总线24V，ABS材料，可编码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36DD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6C4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发出声光信号，警示人员撤离。</w:t>
            </w:r>
          </w:p>
        </w:tc>
      </w:tr>
      <w:tr w14:paraId="62A3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B6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紧急启停按钮</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F3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24VDC，ABS材料，可编码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8FDE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5B60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手动启动或停止灭火系统。</w:t>
            </w:r>
          </w:p>
        </w:tc>
      </w:tr>
      <w:tr w14:paraId="0D61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891E">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放气指示灯</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9C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总线24V，ABS材料，可编码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D62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478FF">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灭火剂释放时亮起，提示禁止入内。</w:t>
            </w:r>
          </w:p>
        </w:tc>
      </w:tr>
      <w:tr w14:paraId="68E5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1BD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手/自动转换盒</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9CD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总线24V，ABS材料，可编码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784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0CBE6">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切换灭火控制方式。</w:t>
            </w:r>
          </w:p>
        </w:tc>
      </w:tr>
      <w:tr w14:paraId="786E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676C">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气体灭火控制器</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C8E">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回路1个，240个地址点，AC220V，备电DC24V/5Ah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C5258">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CD1BB">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接收探测器信号，控制灭火装置动作。</w:t>
            </w:r>
          </w:p>
        </w:tc>
      </w:tr>
      <w:tr w14:paraId="0B1D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4B1E">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输入输出模块</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EA1">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DC24V，可编码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8BE20">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47EF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用于信号传输和设备联动。</w:t>
            </w:r>
          </w:p>
        </w:tc>
      </w:tr>
      <w:tr w14:paraId="3D61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59B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系统集成</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0509">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包含开放端口、协议对接、安装调试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9CF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B4C64">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确保消防系统与现有设施兼容。</w:t>
            </w:r>
          </w:p>
        </w:tc>
      </w:tr>
      <w:tr w14:paraId="407F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29F4">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辅助材料</w:t>
            </w:r>
          </w:p>
        </w:tc>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0D2">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包含金属线管、难燃电线、接线盒等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82E8D">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1批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CB707">
            <w:pPr>
              <w:keepNext w:val="0"/>
              <w:keepLines w:val="0"/>
              <w:widowControl/>
              <w:suppressLineNumbers w:val="0"/>
              <w:jc w:val="center"/>
              <w:textAlignment w:val="center"/>
              <w:rPr>
                <w:rFonts w:hint="default" w:ascii="Segoe UI" w:hAnsi="Segoe UI" w:eastAsia="Segoe UI" w:cs="Segoe UI"/>
                <w:i w:val="0"/>
                <w:iCs w:val="0"/>
                <w:color w:val="000000"/>
                <w:sz w:val="22"/>
                <w:szCs w:val="22"/>
                <w:u w:val="none"/>
              </w:rPr>
            </w:pPr>
            <w:r>
              <w:rPr>
                <w:rFonts w:hint="default" w:ascii="Segoe UI" w:hAnsi="Segoe UI" w:eastAsia="Segoe UI" w:cs="Segoe UI"/>
                <w:i w:val="0"/>
                <w:iCs w:val="0"/>
                <w:color w:val="000000"/>
                <w:kern w:val="0"/>
                <w:sz w:val="22"/>
                <w:szCs w:val="22"/>
                <w:u w:val="none"/>
                <w:lang w:val="en-US" w:eastAsia="zh-CN" w:bidi="ar"/>
              </w:rPr>
              <w:t>符合行业标准。</w:t>
            </w:r>
          </w:p>
        </w:tc>
      </w:tr>
    </w:tbl>
    <w:p w14:paraId="099574E2">
      <w:pPr>
        <w:numPr>
          <w:ilvl w:val="0"/>
          <w:numId w:val="0"/>
        </w:numPr>
        <w:rPr>
          <w:b/>
          <w:bCs/>
          <w:sz w:val="30"/>
          <w:szCs w:val="30"/>
        </w:rPr>
      </w:pPr>
    </w:p>
    <w:p w14:paraId="448869C8">
      <w:pPr>
        <w:numPr>
          <w:ilvl w:val="0"/>
          <w:numId w:val="4"/>
        </w:numPr>
        <w:rPr>
          <w:rFonts w:ascii="Times New Roman" w:hAnsi="Times New Roman" w:eastAsia="仿宋_GB2312" w:cs="Times New Roman"/>
          <w:sz w:val="32"/>
          <w:szCs w:val="32"/>
        </w:rPr>
      </w:pPr>
      <w:r>
        <w:rPr>
          <w:rFonts w:hint="eastAsia" w:ascii="楷体_GB2312" w:hAnsi="楷体_GB2312" w:eastAsia="楷体_GB2312" w:cs="楷体_GB2312"/>
          <w:b/>
          <w:bCs/>
          <w:sz w:val="30"/>
          <w:szCs w:val="30"/>
          <w:lang w:val="en-US" w:eastAsia="zh-CN"/>
        </w:rPr>
        <w:t>技术服务要求</w:t>
      </w:r>
    </w:p>
    <w:p w14:paraId="449DF87F">
      <w:pPr>
        <w:numPr>
          <w:ilvl w:val="0"/>
          <w:numId w:val="5"/>
        </w:num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购标的及技术指标：手动密集架及气体灭火装置的所有部件均需符合上述配置说明中的规格、材料及技术参数要求。手动密集架应符合GB/T13667.3-2013标准，气体灭火装置应符合GB50370-2005、GB50116-2013、GB50263-2007等国家标准。</w:t>
      </w:r>
    </w:p>
    <w:p w14:paraId="4E09ED8C">
      <w:pPr>
        <w:numPr>
          <w:ilvl w:val="0"/>
          <w:numId w:val="5"/>
        </w:num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兼容性要求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需与</w:t>
      </w:r>
      <w:r>
        <w:rPr>
          <w:rFonts w:hint="eastAsia" w:eastAsia="仿宋_GB2312" w:cs="Times New Roman"/>
          <w:sz w:val="32"/>
          <w:szCs w:val="32"/>
          <w:lang w:val="en-US" w:eastAsia="zh-CN"/>
        </w:rPr>
        <w:t>采购人</w:t>
      </w:r>
      <w:r>
        <w:rPr>
          <w:rFonts w:hint="eastAsia" w:ascii="Times New Roman" w:hAnsi="Times New Roman" w:eastAsia="仿宋_GB2312" w:cs="Times New Roman"/>
          <w:sz w:val="32"/>
          <w:szCs w:val="32"/>
        </w:rPr>
        <w:t>三楼档案室现有空间布局、电源接口及消防联动系统相匹配</w:t>
      </w:r>
    </w:p>
    <w:p w14:paraId="654B0422">
      <w:pPr>
        <w:numPr>
          <w:ilvl w:val="0"/>
          <w:numId w:val="5"/>
        </w:num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安装调试要求：供应商负责所有货物的运输、现场组装、调试。密集架安装需确保架体移动平稳、轻便，制动可靠，轨道平整。气体灭火装置安装需由具备消防设施工程专业承包资质的单位实施，确保系统联动正常，所有线路敷设符合消防规范。</w:t>
      </w:r>
    </w:p>
    <w:p w14:paraId="5C3209AA">
      <w:pPr>
        <w:numPr>
          <w:ilvl w:val="0"/>
          <w:numId w:val="5"/>
        </w:num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试运行要求：安装调试完毕后，密集架需进行不少于7天的试运行，气体灭火系统需进行模拟联动测试，所有功能运行正常，无异常噪音、卡滞、误报等问题。</w:t>
      </w:r>
    </w:p>
    <w:p w14:paraId="379FAC5B">
      <w:pPr>
        <w:numPr>
          <w:ilvl w:val="0"/>
          <w:numId w:val="5"/>
        </w:num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验收方法及标准：依据采购标的配置说明、设计图纸及国家相关标准进行验收。密集架验收标准同原要求；气体灭火装置需提供消防产品身份认证、型式检验报告、产品合格证。验收合格标准为：产品规格型号、数量、材质与合同一致；安装牢固，运行平稳灵活；外观无损伤、涂层均匀无瑕疵；各项功能实现正常。</w:t>
      </w:r>
    </w:p>
    <w:p w14:paraId="1DA802DE">
      <w:pPr>
        <w:numPr>
          <w:ilvl w:val="0"/>
          <w:numId w:val="5"/>
        </w:num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技术培训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供应商需对使用人员进行不少于半天的现场培训，内容包括密集架的操作维护、气体灭火系统的原理、操作（包括紧急启动/停止、手自动切换）、日常检查及应急处理。</w:t>
      </w:r>
    </w:p>
    <w:p w14:paraId="3AE01961">
      <w:pPr>
        <w:numPr>
          <w:ilvl w:val="0"/>
          <w:numId w:val="5"/>
        </w:num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是否要求现场踏勘：</w:t>
      </w:r>
      <w:r>
        <w:rPr>
          <w:rFonts w:hint="eastAsia" w:ascii="Times New Roman" w:hAnsi="Times New Roman" w:eastAsia="仿宋_GB2312" w:cs="Times New Roman"/>
          <w:sz w:val="32"/>
          <w:szCs w:val="32"/>
        </w:rPr>
        <w:sym w:font="Wingdings 2" w:char="0052"/>
      </w:r>
      <w:r>
        <w:rPr>
          <w:rFonts w:hint="eastAsia" w:ascii="Times New Roman" w:hAnsi="Times New Roman" w:eastAsia="仿宋_GB2312" w:cs="Times New Roman"/>
          <w:sz w:val="32"/>
          <w:szCs w:val="32"/>
        </w:rPr>
        <w:t xml:space="preserve">是  </w:t>
      </w:r>
      <w:r>
        <w:rPr>
          <w:rFonts w:hint="eastAsia" w:ascii="Times New Roman" w:hAnsi="Times New Roman" w:eastAsia="仿宋_GB2312" w:cs="Times New Roman"/>
          <w:sz w:val="32"/>
          <w:szCs w:val="32"/>
        </w:rPr>
        <w:sym w:font="Wingdings 2" w:char="00A3"/>
      </w:r>
      <w:r>
        <w:rPr>
          <w:rFonts w:hint="eastAsia" w:ascii="Times New Roman" w:hAnsi="Times New Roman" w:eastAsia="仿宋_GB2312" w:cs="Times New Roman"/>
          <w:sz w:val="32"/>
          <w:szCs w:val="32"/>
        </w:rPr>
        <w:t>否；</w:t>
      </w:r>
    </w:p>
    <w:p w14:paraId="21229598">
      <w:pPr>
        <w:numPr>
          <w:ilvl w:val="0"/>
          <w:numId w:val="5"/>
        </w:numPr>
        <w:rPr>
          <w:rFonts w:ascii="Times New Roman" w:hAnsi="Times New Roman" w:eastAsia="仿宋_GB2312"/>
          <w:sz w:val="32"/>
          <w:szCs w:val="32"/>
        </w:rPr>
      </w:pPr>
      <w:r>
        <w:rPr>
          <w:rFonts w:hint="eastAsia" w:ascii="Times New Roman" w:hAnsi="Times New Roman" w:eastAsia="仿宋_GB2312" w:cs="Times New Roman"/>
          <w:sz w:val="32"/>
          <w:szCs w:val="32"/>
        </w:rPr>
        <w:t>其他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供应商需提供完整的产品技术资料、设计图纸、设计效果图、安装图纸、操作手册及保修卡。气体灭火装置需提供药剂充装记录、压力表检验证书等。</w:t>
      </w:r>
    </w:p>
    <w:p w14:paraId="65CFEE90">
      <w:pPr>
        <w:numPr>
          <w:ilvl w:val="-1"/>
          <w:numId w:val="0"/>
        </w:numPr>
        <w:ind w:left="0" w:firstLine="0"/>
        <w:rPr>
          <w:rFonts w:ascii="Times New Roman" w:hAnsi="Times New Roman" w:eastAsia="仿宋_GB2312"/>
          <w:sz w:val="32"/>
          <w:szCs w:val="32"/>
        </w:rPr>
      </w:pPr>
      <w:r>
        <w:rPr>
          <w:rFonts w:hint="eastAsia" w:eastAsia="仿宋_GB2312"/>
          <w:sz w:val="32"/>
          <w:szCs w:val="32"/>
          <w:lang w:val="en-US" w:eastAsia="zh-CN"/>
        </w:rPr>
        <w:t>9、</w:t>
      </w:r>
      <w:r>
        <w:rPr>
          <w:rFonts w:hint="eastAsia" w:ascii="Times New Roman" w:hAnsi="Times New Roman" w:eastAsia="仿宋_GB2312"/>
          <w:sz w:val="32"/>
          <w:szCs w:val="32"/>
        </w:rPr>
        <w:t>货物质保要求：自验收合格之日起整体质保5年（质保期内免费维修或更换，包含药剂补充）。</w:t>
      </w:r>
    </w:p>
    <w:p w14:paraId="063E2957">
      <w:pPr>
        <w:numPr>
          <w:ilvl w:val="-1"/>
          <w:numId w:val="0"/>
        </w:numPr>
        <w:ind w:left="0" w:firstLine="0"/>
        <w:rPr>
          <w:rFonts w:ascii="Times New Roman" w:hAnsi="Times New Roman" w:eastAsia="仿宋_GB2312"/>
          <w:sz w:val="32"/>
          <w:szCs w:val="32"/>
        </w:rPr>
      </w:pPr>
      <w:r>
        <w:rPr>
          <w:rFonts w:hint="eastAsia" w:eastAsia="仿宋_GB2312"/>
          <w:sz w:val="32"/>
          <w:szCs w:val="32"/>
          <w:lang w:val="en-US" w:eastAsia="zh-CN"/>
        </w:rPr>
        <w:t>10、</w:t>
      </w:r>
      <w:r>
        <w:rPr>
          <w:rFonts w:hint="eastAsia" w:ascii="Times New Roman" w:hAnsi="Times New Roman" w:eastAsia="仿宋_GB2312"/>
          <w:sz w:val="32"/>
          <w:szCs w:val="32"/>
        </w:rPr>
        <w:t>其他：气体灭火装置属于特种消防设备，供应商应确保所供产品具有国家消防产品认证</w:t>
      </w:r>
      <w:r>
        <w:rPr>
          <w:rFonts w:hint="eastAsia" w:ascii="Times New Roman" w:hAnsi="Times New Roman" w:eastAsia="仿宋_GB2312"/>
          <w:sz w:val="32"/>
          <w:szCs w:val="32"/>
          <w:lang w:eastAsia="zh-CN"/>
        </w:rPr>
        <w:t>。</w:t>
      </w:r>
    </w:p>
    <w:p w14:paraId="7E30CB14">
      <w:pPr>
        <w:rPr>
          <w:rFonts w:hint="default"/>
          <w:lang w:val="en-US" w:eastAsia="zh-C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9"/>
          <w:spacing w:before="120"/>
          <w:jc w:val="center"/>
        </w:pPr>
      </w:p>
    </w:sdtContent>
  </w:sdt>
  <w:p w14:paraId="765C0D25">
    <w:pPr>
      <w:pStyle w:val="9"/>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9"/>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9"/>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0"/>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0"/>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0"/>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B31B"/>
    <w:multiLevelType w:val="singleLevel"/>
    <w:tmpl w:val="B21DB31B"/>
    <w:lvl w:ilvl="0" w:tentative="0">
      <w:start w:val="1"/>
      <w:numFmt w:val="decimal"/>
      <w:lvlText w:val="%1."/>
      <w:lvlJc w:val="left"/>
      <w:pPr>
        <w:ind w:left="425" w:hanging="425"/>
      </w:pPr>
      <w:rPr>
        <w:rFonts w:hint="default"/>
        <w:sz w:val="32"/>
        <w:szCs w:val="32"/>
      </w:rPr>
    </w:lvl>
  </w:abstractNum>
  <w:abstractNum w:abstractNumId="1">
    <w:nsid w:val="D7B2368A"/>
    <w:multiLevelType w:val="singleLevel"/>
    <w:tmpl w:val="D7B2368A"/>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2CBF39"/>
    <w:multiLevelType w:val="singleLevel"/>
    <w:tmpl w:val="302CBF39"/>
    <w:lvl w:ilvl="0" w:tentative="0">
      <w:start w:val="1"/>
      <w:numFmt w:val="chineseCounting"/>
      <w:suff w:val="nothing"/>
      <w:lvlText w:val="（%1）"/>
      <w:lvlJc w:val="left"/>
      <w:pPr>
        <w:ind w:left="0" w:firstLine="420"/>
      </w:pPr>
      <w:rPr>
        <w:rFonts w:hint="eastAsia" w:ascii="楷体_GB2312" w:hAnsi="楷体_GB2312" w:eastAsia="楷体_GB2312" w:cs="楷体_GB2312"/>
        <w:b/>
        <w:bCs/>
      </w:rPr>
    </w:lvl>
  </w:abstractNum>
  <w:abstractNum w:abstractNumId="4">
    <w:nsid w:val="6099A159"/>
    <w:multiLevelType w:val="singleLevel"/>
    <w:tmpl w:val="6099A159"/>
    <w:lvl w:ilvl="0" w:tentative="0">
      <w:start w:val="1"/>
      <w:numFmt w:val="decimal"/>
      <w:suff w:val="nothing"/>
      <w:lvlText w:val="%1、"/>
      <w:lvlJc w:val="left"/>
      <w:pPr>
        <w:ind w:left="-1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AB1CEF"/>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F0C1B"/>
    <w:rsid w:val="04A5035F"/>
    <w:rsid w:val="04A649F6"/>
    <w:rsid w:val="04AC637A"/>
    <w:rsid w:val="04C85B77"/>
    <w:rsid w:val="04CF6E29"/>
    <w:rsid w:val="04E43B75"/>
    <w:rsid w:val="04EE6171"/>
    <w:rsid w:val="04F73278"/>
    <w:rsid w:val="05082192"/>
    <w:rsid w:val="050C59EA"/>
    <w:rsid w:val="050D2A9B"/>
    <w:rsid w:val="050E411D"/>
    <w:rsid w:val="052A063E"/>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A209C4"/>
    <w:rsid w:val="07EA5E2D"/>
    <w:rsid w:val="07EC261C"/>
    <w:rsid w:val="07EF0711"/>
    <w:rsid w:val="080D26DA"/>
    <w:rsid w:val="080F6B2A"/>
    <w:rsid w:val="081C7E5D"/>
    <w:rsid w:val="08283642"/>
    <w:rsid w:val="08284245"/>
    <w:rsid w:val="08391181"/>
    <w:rsid w:val="085C321E"/>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776A16"/>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DF33F8"/>
    <w:rsid w:val="0DE07B58"/>
    <w:rsid w:val="0DE142CB"/>
    <w:rsid w:val="0E115CD5"/>
    <w:rsid w:val="0E1B7D40"/>
    <w:rsid w:val="0E2750D5"/>
    <w:rsid w:val="0E456A4A"/>
    <w:rsid w:val="0E513654"/>
    <w:rsid w:val="0E6447C9"/>
    <w:rsid w:val="0E6A7061"/>
    <w:rsid w:val="0E701143"/>
    <w:rsid w:val="0E820056"/>
    <w:rsid w:val="0E96765D"/>
    <w:rsid w:val="0EAD2BF9"/>
    <w:rsid w:val="0EB84E8D"/>
    <w:rsid w:val="0EC2618A"/>
    <w:rsid w:val="0EC42418"/>
    <w:rsid w:val="0ED341EB"/>
    <w:rsid w:val="0EF2259E"/>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3360BD"/>
    <w:rsid w:val="137A1844"/>
    <w:rsid w:val="13806B33"/>
    <w:rsid w:val="13C85D56"/>
    <w:rsid w:val="14040081"/>
    <w:rsid w:val="140B464A"/>
    <w:rsid w:val="142D218A"/>
    <w:rsid w:val="144357A0"/>
    <w:rsid w:val="145C6FD0"/>
    <w:rsid w:val="146E4633"/>
    <w:rsid w:val="146E56C1"/>
    <w:rsid w:val="14A2580E"/>
    <w:rsid w:val="14AD2BFE"/>
    <w:rsid w:val="14B03C61"/>
    <w:rsid w:val="14D94F9A"/>
    <w:rsid w:val="14F40ECC"/>
    <w:rsid w:val="150412EA"/>
    <w:rsid w:val="150A451A"/>
    <w:rsid w:val="15127131"/>
    <w:rsid w:val="15315FCD"/>
    <w:rsid w:val="154C31C1"/>
    <w:rsid w:val="15632594"/>
    <w:rsid w:val="15C2719D"/>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211ADE"/>
    <w:rsid w:val="19267D5B"/>
    <w:rsid w:val="19431DA3"/>
    <w:rsid w:val="19C162BB"/>
    <w:rsid w:val="19C8432D"/>
    <w:rsid w:val="19D03415"/>
    <w:rsid w:val="1A114A2E"/>
    <w:rsid w:val="1A31175B"/>
    <w:rsid w:val="1A40729A"/>
    <w:rsid w:val="1A462F08"/>
    <w:rsid w:val="1A740AEE"/>
    <w:rsid w:val="1A8C15A3"/>
    <w:rsid w:val="1AC029B2"/>
    <w:rsid w:val="1AD2126E"/>
    <w:rsid w:val="1AD749B1"/>
    <w:rsid w:val="1B446693"/>
    <w:rsid w:val="1B4716B4"/>
    <w:rsid w:val="1B7815CA"/>
    <w:rsid w:val="1B9F64DE"/>
    <w:rsid w:val="1BB400F5"/>
    <w:rsid w:val="1BB56A48"/>
    <w:rsid w:val="1BC0349E"/>
    <w:rsid w:val="1C08419D"/>
    <w:rsid w:val="1C7137C5"/>
    <w:rsid w:val="1C743EC6"/>
    <w:rsid w:val="1CA00BF7"/>
    <w:rsid w:val="1CFD70E6"/>
    <w:rsid w:val="1D102DA4"/>
    <w:rsid w:val="1D13631D"/>
    <w:rsid w:val="1D4D5FFD"/>
    <w:rsid w:val="1D60322D"/>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8C0BD7"/>
    <w:rsid w:val="23AA3691"/>
    <w:rsid w:val="23BD2D57"/>
    <w:rsid w:val="23E24BBF"/>
    <w:rsid w:val="23E90D30"/>
    <w:rsid w:val="23F57352"/>
    <w:rsid w:val="23FA2EC0"/>
    <w:rsid w:val="24077D10"/>
    <w:rsid w:val="241308D1"/>
    <w:rsid w:val="242D5F16"/>
    <w:rsid w:val="242F3D6C"/>
    <w:rsid w:val="24373239"/>
    <w:rsid w:val="24461C6B"/>
    <w:rsid w:val="24531CE3"/>
    <w:rsid w:val="245A3D5B"/>
    <w:rsid w:val="245E0A8A"/>
    <w:rsid w:val="249454A5"/>
    <w:rsid w:val="24964EF8"/>
    <w:rsid w:val="249A7996"/>
    <w:rsid w:val="24A10DD2"/>
    <w:rsid w:val="24B57D8C"/>
    <w:rsid w:val="24BE28A6"/>
    <w:rsid w:val="24E22663"/>
    <w:rsid w:val="24E23C99"/>
    <w:rsid w:val="24F062D2"/>
    <w:rsid w:val="2524556B"/>
    <w:rsid w:val="2529444A"/>
    <w:rsid w:val="253B3777"/>
    <w:rsid w:val="253E3770"/>
    <w:rsid w:val="254774AC"/>
    <w:rsid w:val="256A6608"/>
    <w:rsid w:val="256C3FE9"/>
    <w:rsid w:val="256F4081"/>
    <w:rsid w:val="259174A4"/>
    <w:rsid w:val="25A17AC4"/>
    <w:rsid w:val="25A71EE0"/>
    <w:rsid w:val="25C32E7C"/>
    <w:rsid w:val="25C32FD6"/>
    <w:rsid w:val="25D60E9E"/>
    <w:rsid w:val="260343EC"/>
    <w:rsid w:val="26160809"/>
    <w:rsid w:val="26177FE1"/>
    <w:rsid w:val="261A371B"/>
    <w:rsid w:val="26482E8A"/>
    <w:rsid w:val="265005E2"/>
    <w:rsid w:val="267E2359"/>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C76D25"/>
    <w:rsid w:val="28F6607A"/>
    <w:rsid w:val="290676DC"/>
    <w:rsid w:val="290D27BA"/>
    <w:rsid w:val="293E1F8D"/>
    <w:rsid w:val="29442E9B"/>
    <w:rsid w:val="29674CC8"/>
    <w:rsid w:val="29763EBB"/>
    <w:rsid w:val="297A6E50"/>
    <w:rsid w:val="297F2E73"/>
    <w:rsid w:val="29A66FC2"/>
    <w:rsid w:val="29F23E8A"/>
    <w:rsid w:val="2A012DF7"/>
    <w:rsid w:val="2A113167"/>
    <w:rsid w:val="2A1F6016"/>
    <w:rsid w:val="2A2B6113"/>
    <w:rsid w:val="2A4B5348"/>
    <w:rsid w:val="2A4F1B3F"/>
    <w:rsid w:val="2A555ED0"/>
    <w:rsid w:val="2A5D2CA5"/>
    <w:rsid w:val="2A75051E"/>
    <w:rsid w:val="2A8B7E8B"/>
    <w:rsid w:val="2AAB33FF"/>
    <w:rsid w:val="2AB8143E"/>
    <w:rsid w:val="2AE949DF"/>
    <w:rsid w:val="2AF12441"/>
    <w:rsid w:val="2AF764E5"/>
    <w:rsid w:val="2B1C1A3A"/>
    <w:rsid w:val="2B250539"/>
    <w:rsid w:val="2B3B474B"/>
    <w:rsid w:val="2B3E72B6"/>
    <w:rsid w:val="2B4E27CA"/>
    <w:rsid w:val="2B5D17D7"/>
    <w:rsid w:val="2B7B6818"/>
    <w:rsid w:val="2B8D044E"/>
    <w:rsid w:val="2BBF0504"/>
    <w:rsid w:val="2BC27B4B"/>
    <w:rsid w:val="2BFD6B16"/>
    <w:rsid w:val="2C016BB8"/>
    <w:rsid w:val="2C2F27D7"/>
    <w:rsid w:val="2C345B15"/>
    <w:rsid w:val="2C79418D"/>
    <w:rsid w:val="2C8B5ED0"/>
    <w:rsid w:val="2C9B70E1"/>
    <w:rsid w:val="2CAA5825"/>
    <w:rsid w:val="2CE4166F"/>
    <w:rsid w:val="2CFF2EFE"/>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616ADE"/>
    <w:rsid w:val="2E7D5169"/>
    <w:rsid w:val="2E8564A5"/>
    <w:rsid w:val="2E8A4911"/>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57FC"/>
    <w:rsid w:val="33B77DB8"/>
    <w:rsid w:val="33FD6174"/>
    <w:rsid w:val="34011E26"/>
    <w:rsid w:val="340439CF"/>
    <w:rsid w:val="34140EA1"/>
    <w:rsid w:val="341B4D23"/>
    <w:rsid w:val="34294B54"/>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40241B"/>
    <w:rsid w:val="364E252C"/>
    <w:rsid w:val="3663111C"/>
    <w:rsid w:val="36634890"/>
    <w:rsid w:val="36650D67"/>
    <w:rsid w:val="3676725F"/>
    <w:rsid w:val="36835891"/>
    <w:rsid w:val="369F5FC3"/>
    <w:rsid w:val="36A81FB2"/>
    <w:rsid w:val="36B1372E"/>
    <w:rsid w:val="36B164AC"/>
    <w:rsid w:val="36B7581C"/>
    <w:rsid w:val="37160ED8"/>
    <w:rsid w:val="371A5ACC"/>
    <w:rsid w:val="3722158D"/>
    <w:rsid w:val="3747333B"/>
    <w:rsid w:val="375E09FC"/>
    <w:rsid w:val="376A21C2"/>
    <w:rsid w:val="377A0F99"/>
    <w:rsid w:val="37800B40"/>
    <w:rsid w:val="37A133A3"/>
    <w:rsid w:val="37CF580A"/>
    <w:rsid w:val="37FD6FF9"/>
    <w:rsid w:val="38034F46"/>
    <w:rsid w:val="3805002B"/>
    <w:rsid w:val="381C5B9B"/>
    <w:rsid w:val="38361BA4"/>
    <w:rsid w:val="383D6325"/>
    <w:rsid w:val="38471845"/>
    <w:rsid w:val="38525FA9"/>
    <w:rsid w:val="38526E75"/>
    <w:rsid w:val="386B258D"/>
    <w:rsid w:val="38752AF3"/>
    <w:rsid w:val="388A293F"/>
    <w:rsid w:val="388A4E95"/>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840F1"/>
    <w:rsid w:val="3AA92EDF"/>
    <w:rsid w:val="3AC853CC"/>
    <w:rsid w:val="3ADB0496"/>
    <w:rsid w:val="3AEE50E4"/>
    <w:rsid w:val="3B010F46"/>
    <w:rsid w:val="3B0517D8"/>
    <w:rsid w:val="3B0B040C"/>
    <w:rsid w:val="3B3609B1"/>
    <w:rsid w:val="3B3E055C"/>
    <w:rsid w:val="3B4804F7"/>
    <w:rsid w:val="3B765960"/>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90E13"/>
    <w:rsid w:val="3C7C43FF"/>
    <w:rsid w:val="3CC405B3"/>
    <w:rsid w:val="3D3B4812"/>
    <w:rsid w:val="3D85696B"/>
    <w:rsid w:val="3D8A537D"/>
    <w:rsid w:val="3D8F5840"/>
    <w:rsid w:val="3DA70A4C"/>
    <w:rsid w:val="3DA82B7F"/>
    <w:rsid w:val="3DAF1BD5"/>
    <w:rsid w:val="3DB24665"/>
    <w:rsid w:val="3DB40069"/>
    <w:rsid w:val="3DC720CB"/>
    <w:rsid w:val="3DE17846"/>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BF7C1A"/>
    <w:rsid w:val="40C12F37"/>
    <w:rsid w:val="40C724E3"/>
    <w:rsid w:val="40C81049"/>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6B4895"/>
    <w:rsid w:val="469A5597"/>
    <w:rsid w:val="46A10793"/>
    <w:rsid w:val="46A316B8"/>
    <w:rsid w:val="46A41952"/>
    <w:rsid w:val="46C4203A"/>
    <w:rsid w:val="46D17DBE"/>
    <w:rsid w:val="46DA18B7"/>
    <w:rsid w:val="470E29AE"/>
    <w:rsid w:val="474249F4"/>
    <w:rsid w:val="474B43A7"/>
    <w:rsid w:val="474F5F65"/>
    <w:rsid w:val="4755115C"/>
    <w:rsid w:val="47765844"/>
    <w:rsid w:val="47985035"/>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A007AA5"/>
    <w:rsid w:val="4A323DB6"/>
    <w:rsid w:val="4A473AAB"/>
    <w:rsid w:val="4A803A90"/>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E63B54"/>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2543F0"/>
    <w:rsid w:val="567C04B4"/>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CD7E64"/>
    <w:rsid w:val="57D25B71"/>
    <w:rsid w:val="57DF3A61"/>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9D12B3"/>
    <w:rsid w:val="5AB9364D"/>
    <w:rsid w:val="5B0303FE"/>
    <w:rsid w:val="5B505934"/>
    <w:rsid w:val="5B5366CB"/>
    <w:rsid w:val="5B5752E1"/>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0FF240D"/>
    <w:rsid w:val="612C0778"/>
    <w:rsid w:val="615208C7"/>
    <w:rsid w:val="61537EE4"/>
    <w:rsid w:val="616B54C8"/>
    <w:rsid w:val="61702C98"/>
    <w:rsid w:val="61963A72"/>
    <w:rsid w:val="61BA4586"/>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5244EA"/>
    <w:rsid w:val="635252D3"/>
    <w:rsid w:val="636127C3"/>
    <w:rsid w:val="636C7B02"/>
    <w:rsid w:val="63870355"/>
    <w:rsid w:val="63AB687C"/>
    <w:rsid w:val="63C03241"/>
    <w:rsid w:val="63D736B7"/>
    <w:rsid w:val="63F5222D"/>
    <w:rsid w:val="640A036F"/>
    <w:rsid w:val="64684FF6"/>
    <w:rsid w:val="646D7F47"/>
    <w:rsid w:val="64724AD3"/>
    <w:rsid w:val="64E3778E"/>
    <w:rsid w:val="64F87681"/>
    <w:rsid w:val="65016282"/>
    <w:rsid w:val="652E4984"/>
    <w:rsid w:val="653308D7"/>
    <w:rsid w:val="6541100E"/>
    <w:rsid w:val="654C0BA8"/>
    <w:rsid w:val="65723276"/>
    <w:rsid w:val="65894ACB"/>
    <w:rsid w:val="65B601CD"/>
    <w:rsid w:val="65BC62F1"/>
    <w:rsid w:val="65C57730"/>
    <w:rsid w:val="65C854C3"/>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A815DC"/>
    <w:rsid w:val="68B712D5"/>
    <w:rsid w:val="68C65C0A"/>
    <w:rsid w:val="68E12ED2"/>
    <w:rsid w:val="68FD4084"/>
    <w:rsid w:val="69297938"/>
    <w:rsid w:val="69321393"/>
    <w:rsid w:val="693A4C13"/>
    <w:rsid w:val="696610E4"/>
    <w:rsid w:val="69A60F1E"/>
    <w:rsid w:val="69B2588C"/>
    <w:rsid w:val="69DC5F48"/>
    <w:rsid w:val="6A483248"/>
    <w:rsid w:val="6A6D75CE"/>
    <w:rsid w:val="6A83721D"/>
    <w:rsid w:val="6AA2282C"/>
    <w:rsid w:val="6AAA5C1D"/>
    <w:rsid w:val="6AB03EB2"/>
    <w:rsid w:val="6AD20623"/>
    <w:rsid w:val="6AE11313"/>
    <w:rsid w:val="6AE21101"/>
    <w:rsid w:val="6B1F3E40"/>
    <w:rsid w:val="6B4340D5"/>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D206F"/>
    <w:rsid w:val="6DED3862"/>
    <w:rsid w:val="6E005A26"/>
    <w:rsid w:val="6E327B63"/>
    <w:rsid w:val="6E331B08"/>
    <w:rsid w:val="6E60528A"/>
    <w:rsid w:val="6E6329C5"/>
    <w:rsid w:val="6E690D37"/>
    <w:rsid w:val="6E6D7744"/>
    <w:rsid w:val="6E7F7DE4"/>
    <w:rsid w:val="6E8403F6"/>
    <w:rsid w:val="6EAC616D"/>
    <w:rsid w:val="6EF26E02"/>
    <w:rsid w:val="6EFF345A"/>
    <w:rsid w:val="6F0E41D6"/>
    <w:rsid w:val="6F545FAB"/>
    <w:rsid w:val="6F6124E5"/>
    <w:rsid w:val="6F811C8E"/>
    <w:rsid w:val="6F8314B0"/>
    <w:rsid w:val="6F9305DF"/>
    <w:rsid w:val="6F9754E6"/>
    <w:rsid w:val="6FA006CC"/>
    <w:rsid w:val="6FB4540B"/>
    <w:rsid w:val="6FC700F2"/>
    <w:rsid w:val="6FCE67A2"/>
    <w:rsid w:val="6FF02DD6"/>
    <w:rsid w:val="6FF158D8"/>
    <w:rsid w:val="70105F1E"/>
    <w:rsid w:val="701D50DA"/>
    <w:rsid w:val="702F613F"/>
    <w:rsid w:val="7060771A"/>
    <w:rsid w:val="707444CE"/>
    <w:rsid w:val="70836D22"/>
    <w:rsid w:val="70871F10"/>
    <w:rsid w:val="70876740"/>
    <w:rsid w:val="70B6015D"/>
    <w:rsid w:val="70C73255"/>
    <w:rsid w:val="70D304FC"/>
    <w:rsid w:val="70D97BAF"/>
    <w:rsid w:val="70ED7E08"/>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38B3"/>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4034FF8"/>
    <w:rsid w:val="743104E3"/>
    <w:rsid w:val="74320C3C"/>
    <w:rsid w:val="74406823"/>
    <w:rsid w:val="74513162"/>
    <w:rsid w:val="74615626"/>
    <w:rsid w:val="746D771A"/>
    <w:rsid w:val="74CC6413"/>
    <w:rsid w:val="74DE741F"/>
    <w:rsid w:val="74E97204"/>
    <w:rsid w:val="74F0095C"/>
    <w:rsid w:val="75061ABB"/>
    <w:rsid w:val="75251AAA"/>
    <w:rsid w:val="75431AF8"/>
    <w:rsid w:val="75722CA5"/>
    <w:rsid w:val="757327BB"/>
    <w:rsid w:val="757B75BC"/>
    <w:rsid w:val="75892BAD"/>
    <w:rsid w:val="75C265D1"/>
    <w:rsid w:val="75CE3784"/>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B23039"/>
    <w:rsid w:val="78BD1F9D"/>
    <w:rsid w:val="78BD2CD7"/>
    <w:rsid w:val="78CE7FE4"/>
    <w:rsid w:val="78CF7984"/>
    <w:rsid w:val="78EA60DC"/>
    <w:rsid w:val="790F182A"/>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211C7"/>
    <w:rsid w:val="7B3E0A41"/>
    <w:rsid w:val="7B6C46EB"/>
    <w:rsid w:val="7BB3045A"/>
    <w:rsid w:val="7BBD7B0F"/>
    <w:rsid w:val="7BC53962"/>
    <w:rsid w:val="7BF430D7"/>
    <w:rsid w:val="7C057252"/>
    <w:rsid w:val="7C323980"/>
    <w:rsid w:val="7C60627B"/>
    <w:rsid w:val="7C8A30E5"/>
    <w:rsid w:val="7CB04CE6"/>
    <w:rsid w:val="7CDB3559"/>
    <w:rsid w:val="7CE97D7C"/>
    <w:rsid w:val="7CF14E85"/>
    <w:rsid w:val="7CF30B51"/>
    <w:rsid w:val="7D315305"/>
    <w:rsid w:val="7D4E34D0"/>
    <w:rsid w:val="7D4F613C"/>
    <w:rsid w:val="7D543CAC"/>
    <w:rsid w:val="7D6F6D36"/>
    <w:rsid w:val="7D773EC1"/>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538B7"/>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7FE74340"/>
    <w:rsid w:val="BE7F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link w:val="23"/>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0"/>
    <w:autoRedefine/>
    <w:qFormat/>
    <w:uiPriority w:val="99"/>
    <w:rPr>
      <w:rFonts w:ascii="宋体"/>
      <w:sz w:val="18"/>
      <w:szCs w:val="18"/>
    </w:rPr>
  </w:style>
  <w:style w:type="paragraph" w:styleId="5">
    <w:name w:val="annotation text"/>
    <w:basedOn w:val="1"/>
    <w:link w:val="33"/>
    <w:autoRedefine/>
    <w:qFormat/>
    <w:uiPriority w:val="99"/>
    <w:pPr>
      <w:jc w:val="left"/>
    </w:pPr>
  </w:style>
  <w:style w:type="paragraph" w:styleId="6">
    <w:name w:val="Body Text"/>
    <w:basedOn w:val="1"/>
    <w:link w:val="24"/>
    <w:autoRedefine/>
    <w:qFormat/>
    <w:uiPriority w:val="99"/>
    <w:pPr>
      <w:spacing w:after="120"/>
    </w:pPr>
  </w:style>
  <w:style w:type="paragraph" w:styleId="7">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8">
    <w:name w:val="Balloon Text"/>
    <w:basedOn w:val="1"/>
    <w:link w:val="28"/>
    <w:autoRedefine/>
    <w:qFormat/>
    <w:uiPriority w:val="99"/>
    <w:rPr>
      <w:sz w:val="18"/>
      <w:szCs w:val="18"/>
    </w:rPr>
  </w:style>
  <w:style w:type="paragraph" w:styleId="9">
    <w:name w:val="footer"/>
    <w:basedOn w:val="1"/>
    <w:link w:val="27"/>
    <w:autoRedefine/>
    <w:qFormat/>
    <w:uiPriority w:val="99"/>
    <w:pPr>
      <w:tabs>
        <w:tab w:val="center" w:pos="4153"/>
        <w:tab w:val="right" w:pos="8306"/>
      </w:tabs>
      <w:snapToGrid w:val="0"/>
      <w:jc w:val="left"/>
    </w:pPr>
    <w:rPr>
      <w:sz w:val="18"/>
      <w:szCs w:val="18"/>
    </w:rPr>
  </w:style>
  <w:style w:type="paragraph" w:styleId="10">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3">
    <w:name w:val="annotation subject"/>
    <w:basedOn w:val="5"/>
    <w:next w:val="5"/>
    <w:link w:val="36"/>
    <w:autoRedefine/>
    <w:unhideWhenUsed/>
    <w:qFormat/>
    <w:uiPriority w:val="99"/>
    <w:rPr>
      <w:b/>
      <w:bCs/>
    </w:rPr>
  </w:style>
  <w:style w:type="paragraph" w:styleId="14">
    <w:name w:val="Body Text First Indent"/>
    <w:basedOn w:val="6"/>
    <w:link w:val="25"/>
    <w:autoRedefine/>
    <w:qFormat/>
    <w:uiPriority w:val="0"/>
    <w:pPr>
      <w:widowControl/>
      <w:ind w:firstLine="420" w:firstLineChars="100"/>
    </w:pPr>
    <w:rPr>
      <w:rFonts w:ascii="Calibri" w:hAnsi="Calibri" w:cs="宋体"/>
      <w:szCs w:val="22"/>
    </w:rPr>
  </w:style>
  <w:style w:type="paragraph" w:styleId="15">
    <w:name w:val="Body Text First Indent 2"/>
    <w:basedOn w:val="7"/>
    <w:autoRedefine/>
    <w:qFormat/>
    <w:uiPriority w:val="0"/>
    <w:pPr>
      <w:spacing w:after="120" w:line="240" w:lineRule="auto"/>
      <w:ind w:left="420" w:leftChars="200" w:firstLine="420"/>
    </w:pPr>
    <w:rPr>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qFormat/>
    <w:uiPriority w:val="99"/>
    <w:rPr>
      <w:sz w:val="21"/>
      <w:szCs w:val="21"/>
    </w:rPr>
  </w:style>
  <w:style w:type="character" w:customStyle="1" w:styleId="21">
    <w:name w:val="正文缩进2格 Char"/>
    <w:link w:val="22"/>
    <w:autoRedefine/>
    <w:qFormat/>
    <w:uiPriority w:val="0"/>
    <w:rPr>
      <w:rFonts w:ascii="仿宋_GB2312" w:hAnsi="宋体" w:eastAsia="仿宋_GB2312" w:cs="仿宋_GB2312"/>
      <w:sz w:val="31"/>
      <w:szCs w:val="31"/>
    </w:rPr>
  </w:style>
  <w:style w:type="paragraph" w:customStyle="1" w:styleId="22">
    <w:name w:val="正文缩进2格"/>
    <w:basedOn w:val="1"/>
    <w:link w:val="21"/>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标题 3 字符"/>
    <w:basedOn w:val="18"/>
    <w:link w:val="3"/>
    <w:autoRedefine/>
    <w:qFormat/>
    <w:uiPriority w:val="0"/>
    <w:rPr>
      <w:rFonts w:eastAsia="宋体"/>
      <w:b/>
      <w:sz w:val="32"/>
    </w:rPr>
  </w:style>
  <w:style w:type="character" w:customStyle="1" w:styleId="24">
    <w:name w:val="正文文本 字符"/>
    <w:basedOn w:val="18"/>
    <w:link w:val="6"/>
    <w:autoRedefine/>
    <w:qFormat/>
    <w:uiPriority w:val="99"/>
    <w:rPr>
      <w:rFonts w:ascii="Times New Roman" w:hAnsi="Times New Roman" w:eastAsia="宋体" w:cs="Times New Roman"/>
      <w:szCs w:val="20"/>
    </w:rPr>
  </w:style>
  <w:style w:type="character" w:customStyle="1" w:styleId="25">
    <w:name w:val="正文文本首行缩进 字符"/>
    <w:basedOn w:val="24"/>
    <w:link w:val="14"/>
    <w:autoRedefine/>
    <w:qFormat/>
    <w:uiPriority w:val="0"/>
    <w:rPr>
      <w:rFonts w:ascii="Times New Roman" w:hAnsi="Times New Roman" w:eastAsia="宋体" w:cs="Times New Roman"/>
      <w:szCs w:val="20"/>
    </w:rPr>
  </w:style>
  <w:style w:type="character" w:customStyle="1" w:styleId="26">
    <w:name w:val="页眉 字符"/>
    <w:basedOn w:val="18"/>
    <w:link w:val="10"/>
    <w:autoRedefine/>
    <w:qFormat/>
    <w:uiPriority w:val="99"/>
    <w:rPr>
      <w:rFonts w:ascii="Times New Roman" w:hAnsi="Times New Roman" w:eastAsia="宋体" w:cs="Times New Roman"/>
      <w:sz w:val="18"/>
      <w:szCs w:val="18"/>
    </w:rPr>
  </w:style>
  <w:style w:type="character" w:customStyle="1" w:styleId="27">
    <w:name w:val="页脚 字符"/>
    <w:basedOn w:val="18"/>
    <w:link w:val="9"/>
    <w:autoRedefine/>
    <w:qFormat/>
    <w:uiPriority w:val="99"/>
    <w:rPr>
      <w:rFonts w:ascii="Times New Roman" w:hAnsi="Times New Roman" w:eastAsia="宋体" w:cs="Times New Roman"/>
      <w:sz w:val="18"/>
      <w:szCs w:val="18"/>
    </w:rPr>
  </w:style>
  <w:style w:type="character" w:customStyle="1" w:styleId="28">
    <w:name w:val="批注框文本 字符"/>
    <w:basedOn w:val="18"/>
    <w:link w:val="8"/>
    <w:autoRedefine/>
    <w:qFormat/>
    <w:uiPriority w:val="99"/>
    <w:rPr>
      <w:rFonts w:ascii="Times New Roman" w:hAnsi="Times New Roman" w:eastAsia="宋体" w:cs="Times New Roman"/>
      <w:kern w:val="2"/>
      <w:sz w:val="18"/>
      <w:szCs w:val="18"/>
    </w:rPr>
  </w:style>
  <w:style w:type="paragraph" w:customStyle="1" w:styleId="29">
    <w:name w:val="列出段落1"/>
    <w:basedOn w:val="1"/>
    <w:autoRedefine/>
    <w:qFormat/>
    <w:uiPriority w:val="0"/>
    <w:pPr>
      <w:ind w:firstLine="420" w:firstLineChars="200"/>
    </w:pPr>
  </w:style>
  <w:style w:type="character" w:customStyle="1" w:styleId="30">
    <w:name w:val="文档结构图 字符"/>
    <w:basedOn w:val="18"/>
    <w:link w:val="4"/>
    <w:autoRedefine/>
    <w:qFormat/>
    <w:uiPriority w:val="99"/>
    <w:rPr>
      <w:rFonts w:ascii="宋体" w:hAnsi="Times New Roman" w:eastAsia="宋体" w:cs="Times New Roman"/>
      <w:kern w:val="2"/>
      <w:sz w:val="18"/>
      <w:szCs w:val="18"/>
    </w:rPr>
  </w:style>
  <w:style w:type="paragraph" w:customStyle="1" w:styleId="31">
    <w:name w:val="列出段落2"/>
    <w:basedOn w:val="1"/>
    <w:autoRedefine/>
    <w:qFormat/>
    <w:uiPriority w:val="99"/>
    <w:pPr>
      <w:ind w:firstLine="420" w:firstLineChars="200"/>
    </w:pPr>
  </w:style>
  <w:style w:type="paragraph" w:customStyle="1" w:styleId="32">
    <w:name w:val="列表段落1"/>
    <w:basedOn w:val="1"/>
    <w:autoRedefine/>
    <w:qFormat/>
    <w:uiPriority w:val="34"/>
    <w:pPr>
      <w:ind w:firstLine="420" w:firstLineChars="200"/>
    </w:pPr>
  </w:style>
  <w:style w:type="character" w:customStyle="1" w:styleId="33">
    <w:name w:val="批注文字 字符"/>
    <w:basedOn w:val="18"/>
    <w:link w:val="5"/>
    <w:autoRedefine/>
    <w:qFormat/>
    <w:uiPriority w:val="99"/>
    <w:rPr>
      <w:rFonts w:ascii="Times New Roman" w:hAnsi="Times New Roman" w:cs="Times New Roman"/>
      <w:kern w:val="2"/>
      <w:sz w:val="21"/>
    </w:rPr>
  </w:style>
  <w:style w:type="character" w:customStyle="1" w:styleId="34">
    <w:name w:val="fontstyle01"/>
    <w:basedOn w:val="18"/>
    <w:autoRedefine/>
    <w:qFormat/>
    <w:uiPriority w:val="0"/>
    <w:rPr>
      <w:rFonts w:hint="eastAsia" w:ascii="仿宋" w:hAnsi="仿宋" w:eastAsia="仿宋"/>
      <w:color w:val="000000"/>
      <w:sz w:val="28"/>
      <w:szCs w:val="28"/>
    </w:rPr>
  </w:style>
  <w:style w:type="paragraph" w:customStyle="1" w:styleId="3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6">
    <w:name w:val="批注主题 字符"/>
    <w:basedOn w:val="33"/>
    <w:link w:val="13"/>
    <w:autoRedefine/>
    <w:semiHidden/>
    <w:qFormat/>
    <w:uiPriority w:val="99"/>
    <w:rPr>
      <w:rFonts w:ascii="Times New Roman" w:hAnsi="Times New Roman" w:eastAsia="宋体" w:cs="Times New Roman"/>
      <w:b/>
      <w:bCs/>
      <w:kern w:val="2"/>
      <w:sz w:val="21"/>
    </w:rPr>
  </w:style>
  <w:style w:type="paragraph" w:styleId="37">
    <w:name w:val="List Paragraph"/>
    <w:basedOn w:val="1"/>
    <w:autoRedefine/>
    <w:qFormat/>
    <w:uiPriority w:val="34"/>
    <w:pPr>
      <w:ind w:firstLine="420" w:firstLineChars="200"/>
    </w:pPr>
  </w:style>
  <w:style w:type="table" w:customStyle="1" w:styleId="38">
    <w:name w:val="网格表 6 彩色 - 着色 61"/>
    <w:basedOn w:val="16"/>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_Style 13"/>
    <w:basedOn w:val="1"/>
    <w:next w:val="37"/>
    <w:autoRedefine/>
    <w:qFormat/>
    <w:uiPriority w:val="0"/>
    <w:pPr>
      <w:ind w:firstLine="420" w:firstLineChars="200"/>
    </w:pPr>
    <w:rPr>
      <w:rFonts w:ascii="Calibri" w:hAnsi="Calibri"/>
      <w:szCs w:val="24"/>
    </w:rPr>
  </w:style>
  <w:style w:type="character" w:customStyle="1" w:styleId="40">
    <w:name w:val="未处理的提及1"/>
    <w:basedOn w:val="18"/>
    <w:autoRedefine/>
    <w:semiHidden/>
    <w:unhideWhenUsed/>
    <w:qFormat/>
    <w:uiPriority w:val="99"/>
    <w:rPr>
      <w:color w:val="605E5C"/>
      <w:shd w:val="clear" w:color="auto" w:fill="E1DFDD"/>
    </w:rPr>
  </w:style>
  <w:style w:type="character" w:customStyle="1" w:styleId="41">
    <w:name w:val="未处理的提及2"/>
    <w:basedOn w:val="18"/>
    <w:autoRedefine/>
    <w:semiHidden/>
    <w:unhideWhenUsed/>
    <w:qFormat/>
    <w:uiPriority w:val="99"/>
    <w:rPr>
      <w:color w:val="605E5C"/>
      <w:shd w:val="clear" w:color="auto" w:fill="E1DFDD"/>
    </w:rPr>
  </w:style>
  <w:style w:type="paragraph" w:customStyle="1" w:styleId="42">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3">
    <w:name w:val="font12"/>
    <w:basedOn w:val="18"/>
    <w:autoRedefine/>
    <w:qFormat/>
    <w:uiPriority w:val="0"/>
    <w:rPr>
      <w:rFonts w:hint="eastAsia" w:ascii="宋体" w:hAnsi="宋体" w:eastAsia="宋体" w:cs="宋体"/>
      <w:color w:val="000000"/>
      <w:sz w:val="16"/>
      <w:szCs w:val="16"/>
      <w:u w:val="none"/>
    </w:rPr>
  </w:style>
  <w:style w:type="character" w:customStyle="1" w:styleId="44">
    <w:name w:val="font81"/>
    <w:basedOn w:val="18"/>
    <w:autoRedefine/>
    <w:qFormat/>
    <w:uiPriority w:val="0"/>
    <w:rPr>
      <w:rFonts w:hint="eastAsia" w:ascii="宋体" w:hAnsi="宋体" w:eastAsia="宋体" w:cs="宋体"/>
      <w:color w:val="000000"/>
      <w:sz w:val="22"/>
      <w:szCs w:val="22"/>
      <w:u w:val="none"/>
      <w:vertAlign w:val="superscript"/>
    </w:rPr>
  </w:style>
  <w:style w:type="character" w:customStyle="1" w:styleId="45">
    <w:name w:val="font112"/>
    <w:basedOn w:val="18"/>
    <w:autoRedefine/>
    <w:qFormat/>
    <w:uiPriority w:val="0"/>
    <w:rPr>
      <w:rFonts w:hint="eastAsia" w:ascii="宋体" w:hAnsi="宋体" w:eastAsia="宋体" w:cs="宋体"/>
      <w:color w:val="000000"/>
      <w:sz w:val="16"/>
      <w:szCs w:val="16"/>
      <w:u w:val="none"/>
    </w:rPr>
  </w:style>
  <w:style w:type="character" w:customStyle="1" w:styleId="46">
    <w:name w:val="font51"/>
    <w:basedOn w:val="18"/>
    <w:autoRedefine/>
    <w:qFormat/>
    <w:uiPriority w:val="0"/>
    <w:rPr>
      <w:rFonts w:hint="eastAsia" w:ascii="宋体" w:hAnsi="宋体" w:eastAsia="宋体" w:cs="宋体"/>
      <w:color w:val="000000"/>
      <w:sz w:val="22"/>
      <w:szCs w:val="22"/>
      <w:u w:val="none"/>
    </w:rPr>
  </w:style>
  <w:style w:type="character" w:customStyle="1" w:styleId="47">
    <w:name w:val="font121"/>
    <w:basedOn w:val="18"/>
    <w:autoRedefine/>
    <w:qFormat/>
    <w:uiPriority w:val="0"/>
    <w:rPr>
      <w:rFonts w:hint="eastAsia" w:ascii="宋体" w:hAnsi="宋体" w:eastAsia="宋体" w:cs="宋体"/>
      <w:color w:val="000000"/>
      <w:sz w:val="16"/>
      <w:szCs w:val="16"/>
      <w:u w:val="none"/>
    </w:rPr>
  </w:style>
  <w:style w:type="character" w:customStyle="1" w:styleId="48">
    <w:name w:val="font131"/>
    <w:basedOn w:val="18"/>
    <w:autoRedefine/>
    <w:qFormat/>
    <w:uiPriority w:val="0"/>
    <w:rPr>
      <w:rFonts w:hint="eastAsia" w:ascii="宋体" w:hAnsi="宋体" w:eastAsia="宋体" w:cs="宋体"/>
      <w:color w:val="000000"/>
      <w:sz w:val="22"/>
      <w:szCs w:val="22"/>
      <w:u w:val="none"/>
      <w:vertAlign w:val="subscript"/>
    </w:rPr>
  </w:style>
  <w:style w:type="character" w:customStyle="1" w:styleId="49">
    <w:name w:val="font101"/>
    <w:basedOn w:val="18"/>
    <w:autoRedefine/>
    <w:qFormat/>
    <w:uiPriority w:val="0"/>
    <w:rPr>
      <w:rFonts w:hint="eastAsia" w:ascii="仿宋" w:hAnsi="仿宋" w:eastAsia="仿宋" w:cs="仿宋"/>
      <w:color w:val="000000"/>
      <w:sz w:val="22"/>
      <w:szCs w:val="22"/>
      <w:u w:val="none"/>
    </w:rPr>
  </w:style>
  <w:style w:type="character" w:customStyle="1" w:styleId="50">
    <w:name w:val="font141"/>
    <w:basedOn w:val="18"/>
    <w:autoRedefine/>
    <w:qFormat/>
    <w:uiPriority w:val="0"/>
    <w:rPr>
      <w:rFonts w:ascii="微软雅黑" w:hAnsi="微软雅黑" w:eastAsia="微软雅黑" w:cs="微软雅黑"/>
      <w:color w:val="000000"/>
      <w:sz w:val="22"/>
      <w:szCs w:val="22"/>
      <w:u w:val="none"/>
    </w:rPr>
  </w:style>
  <w:style w:type="character" w:customStyle="1" w:styleId="51">
    <w:name w:val="font21"/>
    <w:basedOn w:val="18"/>
    <w:autoRedefine/>
    <w:qFormat/>
    <w:uiPriority w:val="0"/>
    <w:rPr>
      <w:rFonts w:hint="eastAsia" w:ascii="宋体" w:hAnsi="宋体" w:eastAsia="宋体" w:cs="宋体"/>
      <w:color w:val="000000"/>
      <w:sz w:val="22"/>
      <w:szCs w:val="22"/>
      <w:u w:val="none"/>
    </w:rPr>
  </w:style>
  <w:style w:type="character" w:customStyle="1" w:styleId="52">
    <w:name w:val="font31"/>
    <w:basedOn w:val="18"/>
    <w:autoRedefine/>
    <w:qFormat/>
    <w:uiPriority w:val="0"/>
    <w:rPr>
      <w:rFonts w:hint="default" w:ascii="Times New Roman" w:hAnsi="Times New Roman" w:cs="Times New Roman"/>
      <w:color w:val="000000"/>
      <w:sz w:val="22"/>
      <w:szCs w:val="22"/>
      <w:u w:val="none"/>
    </w:rPr>
  </w:style>
  <w:style w:type="character" w:customStyle="1" w:styleId="53">
    <w:name w:val="font11"/>
    <w:basedOn w:val="18"/>
    <w:autoRedefine/>
    <w:qFormat/>
    <w:uiPriority w:val="0"/>
    <w:rPr>
      <w:rFonts w:hint="eastAsia" w:ascii="宋体" w:hAnsi="宋体" w:eastAsia="宋体" w:cs="宋体"/>
      <w:color w:val="000000"/>
      <w:sz w:val="22"/>
      <w:szCs w:val="22"/>
      <w:u w:val="none"/>
    </w:rPr>
  </w:style>
  <w:style w:type="character" w:customStyle="1" w:styleId="54">
    <w:name w:val="font41"/>
    <w:basedOn w:val="18"/>
    <w:autoRedefine/>
    <w:qFormat/>
    <w:uiPriority w:val="0"/>
    <w:rPr>
      <w:rFonts w:hint="default" w:ascii="Times New Roman" w:hAnsi="Times New Roman" w:cs="Times New Roman"/>
      <w:color w:val="000000"/>
      <w:sz w:val="22"/>
      <w:szCs w:val="22"/>
      <w:u w:val="none"/>
    </w:rPr>
  </w:style>
  <w:style w:type="character" w:customStyle="1" w:styleId="55">
    <w:name w:val="font71"/>
    <w:basedOn w:val="18"/>
    <w:autoRedefine/>
    <w:qFormat/>
    <w:uiPriority w:val="0"/>
    <w:rPr>
      <w:rFonts w:hint="eastAsia" w:ascii="宋体" w:hAnsi="宋体" w:eastAsia="宋体" w:cs="宋体"/>
      <w:b/>
      <w:color w:val="000000"/>
      <w:sz w:val="22"/>
      <w:szCs w:val="22"/>
      <w:u w:val="none"/>
    </w:rPr>
  </w:style>
  <w:style w:type="character" w:customStyle="1" w:styleId="56">
    <w:name w:val="font91"/>
    <w:basedOn w:val="18"/>
    <w:autoRedefine/>
    <w:qFormat/>
    <w:uiPriority w:val="0"/>
    <w:rPr>
      <w:rFonts w:hint="eastAsia" w:ascii="宋体" w:hAnsi="宋体" w:eastAsia="宋体" w:cs="宋体"/>
      <w:color w:val="000000"/>
      <w:sz w:val="22"/>
      <w:szCs w:val="22"/>
      <w:u w:val="none"/>
    </w:rPr>
  </w:style>
  <w:style w:type="character" w:customStyle="1" w:styleId="57">
    <w:name w:val="font61"/>
    <w:basedOn w:val="18"/>
    <w:autoRedefine/>
    <w:qFormat/>
    <w:uiPriority w:val="0"/>
    <w:rPr>
      <w:rFonts w:hint="eastAsia" w:ascii="宋体" w:hAnsi="宋体" w:eastAsia="宋体" w:cs="宋体"/>
      <w:color w:val="000000"/>
      <w:sz w:val="22"/>
      <w:szCs w:val="22"/>
      <w:u w:val="none"/>
    </w:rPr>
  </w:style>
  <w:style w:type="character" w:customStyle="1" w:styleId="58">
    <w:name w:val="font01"/>
    <w:basedOn w:val="18"/>
    <w:autoRedefine/>
    <w:qFormat/>
    <w:uiPriority w:val="0"/>
    <w:rPr>
      <w:rFonts w:hint="eastAsia" w:ascii="宋体" w:hAnsi="宋体" w:eastAsia="宋体" w:cs="宋体"/>
      <w:b/>
      <w:color w:val="000000"/>
      <w:sz w:val="22"/>
      <w:szCs w:val="22"/>
      <w:u w:val="none"/>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38</Pages>
  <Words>5787</Words>
  <Characters>5944</Characters>
  <Lines>70</Lines>
  <Paragraphs>19</Paragraphs>
  <TotalTime>16</TotalTime>
  <ScaleCrop>false</ScaleCrop>
  <LinksUpToDate>false</LinksUpToDate>
  <CharactersWithSpaces>6107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Jeo Xie</dc:creator>
  <cp:lastModifiedBy> </cp:lastModifiedBy>
  <cp:lastPrinted>2026-03-16T03:42:17Z</cp:lastPrinted>
  <dcterms:modified xsi:type="dcterms:W3CDTF">2026-03-16T03:44:54Z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8A19AB552A3C44029C44989B1F4F72E4_13</vt:lpwstr>
  </property>
  <property fmtid="{D5CDD505-2E9C-101B-9397-08002B2CF9AE}" pid="4" name="KSOTemplateDocerSaveRecord">
    <vt:lpwstr>eyJoZGlkIjoiN2ZmNGE0NjRjYTU2OTJjMjE3ZjcyYmQ3ZmYzYmY2NjciLCJ1c2VySWQiOiIxNjEyMzQ1MDU4In0=</vt:lpwstr>
  </property>
</Properties>
</file>