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594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26" w:name="_GoBack"/>
      <w:bookmarkEnd w:id="26"/>
    </w:p>
    <w:p w14:paraId="7ECF6A22">
      <w:pPr>
        <w:spacing w:before="156" w:line="600" w:lineRule="exact"/>
        <w:ind w:firstLine="640" w:firstLineChars="200"/>
        <w:rPr>
          <w:rFonts w:eastAsia="仿宋_GB2312"/>
          <w:color w:val="000000"/>
          <w:sz w:val="32"/>
          <w:szCs w:val="32"/>
        </w:rPr>
      </w:pPr>
      <w:r>
        <w:rPr>
          <w:rFonts w:hint="eastAsia" w:eastAsia="仿宋_GB2312"/>
          <w:color w:val="000000"/>
          <w:sz w:val="32"/>
          <w:szCs w:val="32"/>
          <w:u w:val="none"/>
        </w:rPr>
        <w:t>东莞市新东元环保投资有限公司</w:t>
      </w:r>
      <w:r>
        <w:rPr>
          <w:rFonts w:hint="eastAsia" w:eastAsia="仿宋_GB2312"/>
          <w:color w:val="000000"/>
          <w:sz w:val="32"/>
          <w:szCs w:val="32"/>
          <w:u w:val="none"/>
          <w:lang w:val="en-US" w:eastAsia="zh-CN"/>
        </w:rPr>
        <w:t>为推进生产运营的烟气脱酸系统提质增效工作，拟采购一家专业服务单位协助完成纳米液钙试验服务工作</w:t>
      </w:r>
      <w:r>
        <w:rPr>
          <w:rFonts w:hint="eastAsia" w:eastAsia="仿宋_GB2312"/>
          <w:color w:val="000000"/>
          <w:sz w:val="32"/>
          <w:szCs w:val="32"/>
        </w:rPr>
        <w:t>，现将相关情况介绍如下：</w:t>
      </w:r>
    </w:p>
    <w:p w14:paraId="3DAB936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2ECBC8F4">
      <w:pPr>
        <w:adjustRightInd w:val="0"/>
        <w:snapToGrid w:val="0"/>
        <w:spacing w:before="156" w:line="600" w:lineRule="exact"/>
        <w:ind w:firstLine="640" w:firstLineChars="200"/>
        <w:rPr>
          <w:rFonts w:hint="eastAsia" w:eastAsia="仿宋_GB2312"/>
          <w:color w:val="000000"/>
          <w:sz w:val="32"/>
          <w:szCs w:val="32"/>
          <w:lang w:val="en-US" w:eastAsia="zh-CN"/>
        </w:rPr>
      </w:pPr>
      <w:r>
        <w:rPr>
          <w:rFonts w:eastAsia="仿宋_GB2312"/>
          <w:color w:val="000000"/>
          <w:sz w:val="32"/>
          <w:szCs w:val="32"/>
        </w:rPr>
        <w:t>1</w:t>
      </w:r>
      <w:r>
        <w:rPr>
          <w:rFonts w:hint="eastAsia" w:eastAsia="仿宋_GB2312"/>
          <w:color w:val="000000"/>
          <w:sz w:val="32"/>
          <w:szCs w:val="32"/>
        </w:rPr>
        <w:t>、项目名称：海心沙环保热电厂纳米液钙试验技术服务采购项目</w:t>
      </w:r>
      <w:r>
        <w:rPr>
          <w:rFonts w:hint="eastAsia" w:eastAsia="仿宋_GB2312"/>
          <w:color w:val="000000"/>
          <w:sz w:val="32"/>
          <w:szCs w:val="32"/>
          <w:lang w:eastAsia="zh-CN"/>
        </w:rPr>
        <w:t>（</w:t>
      </w:r>
      <w:r>
        <w:rPr>
          <w:rFonts w:hint="eastAsia" w:eastAsia="仿宋_GB2312"/>
          <w:color w:val="000000"/>
          <w:sz w:val="32"/>
          <w:szCs w:val="32"/>
          <w:lang w:val="en-US" w:eastAsia="zh-CN"/>
        </w:rPr>
        <w:t>重新采购</w:t>
      </w:r>
      <w:r>
        <w:rPr>
          <w:rFonts w:hint="eastAsia" w:eastAsia="仿宋_GB2312"/>
          <w:color w:val="000000"/>
          <w:sz w:val="32"/>
          <w:szCs w:val="32"/>
          <w:lang w:eastAsia="zh-CN"/>
        </w:rPr>
        <w:t>）</w:t>
      </w:r>
    </w:p>
    <w:p w14:paraId="469FBA8A">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详见附件《海心沙环保热电厂纳米液钙试验技术服务采购项目技术需求书》</w:t>
      </w:r>
      <w:r>
        <w:rPr>
          <w:rFonts w:hint="eastAsia"/>
          <w:b w:val="0"/>
          <w:bCs w:val="0"/>
          <w:sz w:val="30"/>
          <w:szCs w:val="30"/>
          <w:lang w:val="en-US" w:eastAsia="zh-CN"/>
        </w:rPr>
        <w:t>。</w:t>
      </w:r>
    </w:p>
    <w:p w14:paraId="2F09B6DE">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p>
    <w:p w14:paraId="2129DC9F">
      <w:pPr>
        <w:adjustRightInd w:val="0"/>
        <w:snapToGrid w:val="0"/>
        <w:spacing w:before="156" w:line="600" w:lineRule="exact"/>
        <w:ind w:firstLine="640" w:firstLineChars="200"/>
        <w:outlineLvl w:val="1"/>
        <w:rPr>
          <w:rFonts w:hint="eastAsia" w:eastAsia="仿宋_GB2312"/>
          <w:color w:val="000000"/>
          <w:sz w:val="32"/>
          <w:szCs w:val="32"/>
        </w:rPr>
      </w:pPr>
      <w:r>
        <w:rPr>
          <w:rFonts w:eastAsia="仿宋_GB2312"/>
          <w:color w:val="000000"/>
          <w:sz w:val="32"/>
          <w:szCs w:val="32"/>
        </w:rPr>
        <w:t>4</w:t>
      </w:r>
      <w:r>
        <w:rPr>
          <w:rFonts w:hint="eastAsia" w:eastAsia="仿宋_GB2312"/>
          <w:color w:val="000000"/>
          <w:sz w:val="32"/>
          <w:szCs w:val="32"/>
        </w:rPr>
        <w:t>、服务时间：在</w:t>
      </w:r>
      <w:r>
        <w:rPr>
          <w:rFonts w:hint="eastAsia" w:eastAsia="仿宋_GB2312"/>
          <w:color w:val="000000"/>
          <w:sz w:val="32"/>
          <w:szCs w:val="32"/>
          <w:lang w:eastAsia="zh-CN"/>
        </w:rPr>
        <w:t>成交通知书</w:t>
      </w:r>
      <w:r>
        <w:rPr>
          <w:rFonts w:hint="eastAsia" w:eastAsia="仿宋_GB2312"/>
          <w:color w:val="000000"/>
          <w:sz w:val="32"/>
          <w:szCs w:val="32"/>
        </w:rPr>
        <w:t>发出2日内</w:t>
      </w:r>
      <w:r>
        <w:rPr>
          <w:rFonts w:hint="eastAsia" w:eastAsia="仿宋_GB2312"/>
          <w:color w:val="000000"/>
          <w:sz w:val="32"/>
          <w:szCs w:val="32"/>
          <w:lang w:val="en-US" w:eastAsia="zh-CN"/>
        </w:rPr>
        <w:t>响应人</w:t>
      </w:r>
      <w:r>
        <w:rPr>
          <w:rFonts w:hint="eastAsia" w:eastAsia="仿宋_GB2312"/>
          <w:color w:val="000000"/>
          <w:sz w:val="32"/>
          <w:szCs w:val="32"/>
        </w:rPr>
        <w:t>须到</w:t>
      </w:r>
      <w:r>
        <w:rPr>
          <w:rFonts w:hint="eastAsia" w:eastAsia="仿宋_GB2312"/>
          <w:color w:val="000000"/>
          <w:sz w:val="32"/>
          <w:szCs w:val="32"/>
          <w:lang w:val="en-US" w:eastAsia="zh-CN"/>
        </w:rPr>
        <w:t>采购人</w:t>
      </w:r>
      <w:r>
        <w:rPr>
          <w:rFonts w:hint="eastAsia" w:eastAsia="仿宋_GB2312"/>
          <w:color w:val="000000"/>
          <w:sz w:val="32"/>
          <w:szCs w:val="32"/>
        </w:rPr>
        <w:t>现场勘查场地情况，制定储存设施安装方案，并在</w:t>
      </w:r>
      <w:r>
        <w:rPr>
          <w:rFonts w:hint="eastAsia" w:eastAsia="仿宋_GB2312"/>
          <w:color w:val="000000"/>
          <w:sz w:val="32"/>
          <w:szCs w:val="32"/>
          <w:lang w:eastAsia="zh-CN"/>
        </w:rPr>
        <w:t>成交通知书</w:t>
      </w:r>
      <w:r>
        <w:rPr>
          <w:rFonts w:hint="eastAsia" w:eastAsia="仿宋_GB2312"/>
          <w:color w:val="000000"/>
          <w:sz w:val="32"/>
          <w:szCs w:val="32"/>
        </w:rPr>
        <w:t>发出10日内完成储存设备安装及调试。</w:t>
      </w:r>
      <w:r>
        <w:rPr>
          <w:rFonts w:hint="eastAsia" w:eastAsia="仿宋_GB2312"/>
          <w:color w:val="000000"/>
          <w:sz w:val="32"/>
          <w:szCs w:val="32"/>
          <w:lang w:val="en-US" w:eastAsia="zh-CN"/>
        </w:rPr>
        <w:t>成交人完成设备调试并确保现场达到试验条件后，自采购人通知启动试验之日起，</w:t>
      </w:r>
      <w:r>
        <w:rPr>
          <w:rFonts w:hint="eastAsia" w:eastAsia="仿宋_GB2312"/>
          <w:color w:val="000000"/>
          <w:sz w:val="32"/>
          <w:szCs w:val="32"/>
        </w:rPr>
        <w:t>暂定预计试验31天，具体天数根据试验情况</w:t>
      </w:r>
      <w:r>
        <w:rPr>
          <w:rFonts w:hint="eastAsia" w:eastAsia="仿宋_GB2312"/>
          <w:color w:val="000000"/>
          <w:sz w:val="32"/>
          <w:szCs w:val="32"/>
          <w:lang w:val="en-US" w:eastAsia="zh-CN"/>
        </w:rPr>
        <w:t>由采购人</w:t>
      </w:r>
      <w:r>
        <w:rPr>
          <w:rFonts w:hint="eastAsia" w:eastAsia="仿宋_GB2312"/>
          <w:color w:val="000000"/>
          <w:sz w:val="32"/>
          <w:szCs w:val="32"/>
        </w:rPr>
        <w:t>进行调整。</w:t>
      </w:r>
    </w:p>
    <w:p w14:paraId="21CBB41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1F72191F">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7719D3B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6897A584">
      <w:pPr>
        <w:pStyle w:val="68"/>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响应人</w:t>
      </w:r>
      <w:r>
        <w:rPr>
          <w:rFonts w:hint="eastAsia" w:ascii="仿宋" w:hAnsi="仿宋" w:eastAsia="仿宋"/>
          <w:sz w:val="32"/>
          <w:szCs w:val="32"/>
        </w:rPr>
        <w:t>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宋体" w:hAnsi="宋体"/>
          <w:b/>
          <w:bCs/>
          <w:sz w:val="28"/>
          <w:szCs w:val="28"/>
        </w:rPr>
        <w:t>。</w:t>
      </w:r>
      <w:r>
        <w:rPr>
          <w:rFonts w:hint="eastAsia" w:ascii="仿宋" w:hAnsi="仿宋" w:eastAsia="仿宋"/>
          <w:sz w:val="32"/>
          <w:szCs w:val="32"/>
          <w:lang w:eastAsia="zh-CN"/>
        </w:rPr>
        <w:t>】</w:t>
      </w:r>
      <w:r>
        <w:rPr>
          <w:rFonts w:hint="eastAsia" w:ascii="仿宋" w:hAnsi="仿宋" w:eastAsia="仿宋"/>
          <w:sz w:val="32"/>
          <w:szCs w:val="32"/>
        </w:rPr>
        <w:t>；</w:t>
      </w:r>
    </w:p>
    <w:p w14:paraId="2FD35572">
      <w:pPr>
        <w:spacing w:before="156"/>
        <w:ind w:firstLine="627" w:firstLineChars="196"/>
        <w:rPr>
          <w:rFonts w:hint="eastAsia" w:ascii="仿宋" w:hAnsi="仿宋" w:eastAsia="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sz w:val="32"/>
          <w:szCs w:val="32"/>
        </w:rPr>
        <w:t>业绩要求：</w:t>
      </w:r>
      <w:r>
        <w:rPr>
          <w:rFonts w:hint="eastAsia" w:ascii="仿宋" w:hAnsi="仿宋" w:eastAsia="仿宋"/>
          <w:sz w:val="32"/>
          <w:szCs w:val="32"/>
          <w:lang w:val="en-US" w:eastAsia="zh-CN"/>
        </w:rPr>
        <w:t>响应</w:t>
      </w:r>
      <w:r>
        <w:rPr>
          <w:rFonts w:hint="eastAsia" w:ascii="仿宋" w:hAnsi="仿宋" w:eastAsia="仿宋"/>
          <w:sz w:val="32"/>
          <w:szCs w:val="32"/>
        </w:rPr>
        <w:t>人2023年1月1日至采购公告发布之日（以合同签订时间或合同有效期为准）至少具有工业乳状氢氧化钙业绩合同1份</w:t>
      </w:r>
      <w:r>
        <w:rPr>
          <w:rFonts w:hint="eastAsia" w:ascii="仿宋" w:hAnsi="仿宋" w:eastAsia="仿宋"/>
          <w:sz w:val="32"/>
          <w:szCs w:val="32"/>
          <w:lang w:eastAsia="zh-CN"/>
        </w:rPr>
        <w:t>。</w:t>
      </w:r>
      <w:r>
        <w:rPr>
          <w:rFonts w:hint="eastAsia" w:ascii="仿宋" w:hAnsi="仿宋" w:eastAsia="仿宋"/>
          <w:sz w:val="32"/>
          <w:szCs w:val="32"/>
        </w:rPr>
        <w:t>【按合同签订时间为准，须提供合同关键页复印件（包含但不限于合同首页、合同金额页、合同签字页等）、</w:t>
      </w:r>
      <w:bookmarkStart w:id="1" w:name="_Hlk90414374"/>
      <w:r>
        <w:rPr>
          <w:rFonts w:hint="eastAsia" w:ascii="仿宋" w:hAnsi="仿宋" w:eastAsia="仿宋"/>
          <w:sz w:val="32"/>
          <w:szCs w:val="32"/>
          <w:lang w:val="en-US" w:eastAsia="zh-CN"/>
        </w:rPr>
        <w:t>每个</w:t>
      </w:r>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所提供资料须体现业绩要求信息</w:t>
      </w:r>
      <w:r>
        <w:rPr>
          <w:rFonts w:hint="eastAsia" w:ascii="仿宋" w:hAnsi="仿宋" w:eastAsia="仿宋"/>
          <w:sz w:val="32"/>
          <w:szCs w:val="32"/>
        </w:rPr>
        <w:t>】</w:t>
      </w:r>
      <w:r>
        <w:rPr>
          <w:rFonts w:hint="eastAsia" w:ascii="仿宋" w:hAnsi="仿宋" w:eastAsia="仿宋"/>
          <w:sz w:val="32"/>
          <w:szCs w:val="32"/>
          <w:lang w:eastAsia="zh-CN"/>
        </w:rPr>
        <w:t>；</w:t>
      </w:r>
    </w:p>
    <w:p w14:paraId="0DAD50AA">
      <w:pPr>
        <w:pStyle w:val="2"/>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3、响应人须提供报价截止日前6个月内任意1个月依法缴纳税收及无欠税的证明材料。如依法免税的，须提供相</w:t>
      </w:r>
    </w:p>
    <w:p w14:paraId="739AA650">
      <w:pPr>
        <w:pStyle w:val="2"/>
        <w:spacing w:before="157" w:beforeLines="50" w:line="360" w:lineRule="auto"/>
        <w:ind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应证明材料。【证明材料须加盖公章】</w:t>
      </w:r>
    </w:p>
    <w:p w14:paraId="336A0844">
      <w:pPr>
        <w:pStyle w:val="2"/>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4、未被列入东实环境及下属企业相关领域黑名单。</w:t>
      </w:r>
    </w:p>
    <w:p w14:paraId="27932B3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3905A93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val="en-US" w:eastAsia="zh-CN"/>
        </w:rPr>
        <w:t>海心沙环保热电厂纳米液钙试验技术服务采购项目技术需求书</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lang w:val="en-US" w:eastAsia="zh-CN"/>
        </w:rPr>
        <w:t>响应人必须完全响应技术需求书全部要求，本项目不接受负偏离</w:t>
      </w:r>
      <w:r>
        <w:rPr>
          <w:rFonts w:hint="eastAsia" w:eastAsia="仿宋_GB2312"/>
          <w:color w:val="000000"/>
          <w:sz w:val="32"/>
          <w:szCs w:val="32"/>
        </w:rPr>
        <w:t>。</w:t>
      </w:r>
    </w:p>
    <w:p w14:paraId="0FF04707">
      <w:pPr>
        <w:spacing w:before="156" w:line="600" w:lineRule="exact"/>
        <w:ind w:firstLine="640" w:firstLineChars="200"/>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2、服务期限：</w:t>
      </w:r>
      <w:r>
        <w:rPr>
          <w:rFonts w:hint="eastAsia" w:eastAsia="仿宋_GB2312"/>
          <w:color w:val="000000"/>
          <w:sz w:val="32"/>
          <w:szCs w:val="32"/>
          <w:lang w:val="en-US" w:eastAsia="zh-CN"/>
        </w:rPr>
        <w:t>自采购人通知之日起，</w:t>
      </w:r>
      <w:r>
        <w:rPr>
          <w:rFonts w:hint="eastAsia" w:eastAsia="仿宋_GB2312"/>
          <w:color w:val="000000"/>
          <w:sz w:val="32"/>
          <w:szCs w:val="32"/>
        </w:rPr>
        <w:t>暂定预计试验31天，具体天数根据试验情况</w:t>
      </w:r>
      <w:r>
        <w:rPr>
          <w:rFonts w:hint="eastAsia" w:eastAsia="仿宋_GB2312"/>
          <w:color w:val="000000"/>
          <w:sz w:val="32"/>
          <w:szCs w:val="32"/>
          <w:lang w:val="en-US" w:eastAsia="zh-CN"/>
        </w:rPr>
        <w:t>由采购人</w:t>
      </w:r>
      <w:r>
        <w:rPr>
          <w:rFonts w:hint="eastAsia" w:eastAsia="仿宋_GB2312"/>
          <w:color w:val="000000"/>
          <w:sz w:val="32"/>
          <w:szCs w:val="32"/>
        </w:rPr>
        <w:t>进行调整。</w:t>
      </w:r>
    </w:p>
    <w:p w14:paraId="1CDC06FF">
      <w:pPr>
        <w:spacing w:before="156" w:line="600" w:lineRule="exact"/>
        <w:ind w:firstLine="643"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3、对项目内容或现场如有疑问，可咨询项目负责人林工 18826451239。</w:t>
      </w:r>
    </w:p>
    <w:p w14:paraId="34F3E68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7C47ECB4">
      <w:pPr>
        <w:adjustRightInd w:val="0"/>
        <w:snapToGrid w:val="0"/>
        <w:spacing w:before="156"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在</w:t>
      </w:r>
      <w:r>
        <w:rPr>
          <w:rFonts w:hint="eastAsia" w:eastAsia="仿宋_GB2312"/>
          <w:color w:val="000000"/>
          <w:sz w:val="32"/>
          <w:szCs w:val="32"/>
          <w:lang w:eastAsia="zh-CN"/>
        </w:rPr>
        <w:t>成交通知书</w:t>
      </w:r>
      <w:r>
        <w:rPr>
          <w:rFonts w:hint="eastAsia" w:eastAsia="仿宋_GB2312"/>
          <w:color w:val="000000"/>
          <w:sz w:val="32"/>
          <w:szCs w:val="32"/>
        </w:rPr>
        <w:t>发出2日内</w:t>
      </w:r>
      <w:r>
        <w:rPr>
          <w:rFonts w:hint="eastAsia" w:eastAsia="仿宋_GB2312"/>
          <w:color w:val="000000"/>
          <w:sz w:val="32"/>
          <w:szCs w:val="32"/>
          <w:lang w:val="en-US" w:eastAsia="zh-CN"/>
        </w:rPr>
        <w:t>响应人</w:t>
      </w:r>
      <w:r>
        <w:rPr>
          <w:rFonts w:hint="eastAsia" w:eastAsia="仿宋_GB2312"/>
          <w:color w:val="000000"/>
          <w:sz w:val="32"/>
          <w:szCs w:val="32"/>
        </w:rPr>
        <w:t>须到</w:t>
      </w:r>
      <w:r>
        <w:rPr>
          <w:rFonts w:hint="eastAsia" w:eastAsia="仿宋_GB2312"/>
          <w:color w:val="000000"/>
          <w:sz w:val="32"/>
          <w:szCs w:val="32"/>
          <w:lang w:val="en-US" w:eastAsia="zh-CN"/>
        </w:rPr>
        <w:t>采购人</w:t>
      </w:r>
      <w:r>
        <w:rPr>
          <w:rFonts w:hint="eastAsia" w:eastAsia="仿宋_GB2312"/>
          <w:color w:val="000000"/>
          <w:sz w:val="32"/>
          <w:szCs w:val="32"/>
        </w:rPr>
        <w:t>现场勘查场地情况，制定储存设施安装方案，并在</w:t>
      </w:r>
      <w:r>
        <w:rPr>
          <w:rFonts w:hint="eastAsia" w:eastAsia="仿宋_GB2312"/>
          <w:color w:val="000000"/>
          <w:sz w:val="32"/>
          <w:szCs w:val="32"/>
          <w:lang w:eastAsia="zh-CN"/>
        </w:rPr>
        <w:t>成交通知书</w:t>
      </w:r>
      <w:r>
        <w:rPr>
          <w:rFonts w:hint="eastAsia" w:eastAsia="仿宋_GB2312"/>
          <w:color w:val="000000"/>
          <w:sz w:val="32"/>
          <w:szCs w:val="32"/>
        </w:rPr>
        <w:t>发出10日内完成储存设备安装及调试。</w:t>
      </w:r>
      <w:r>
        <w:rPr>
          <w:rFonts w:hint="eastAsia" w:eastAsia="仿宋_GB2312"/>
          <w:color w:val="000000"/>
          <w:sz w:val="32"/>
          <w:szCs w:val="32"/>
          <w:lang w:val="en-US" w:eastAsia="zh-CN"/>
        </w:rPr>
        <w:t>成交人完成设备调试并确保现场达到试验条件后，自采购人通知启动试验之日起，</w:t>
      </w:r>
      <w:r>
        <w:rPr>
          <w:rFonts w:hint="eastAsia" w:eastAsia="仿宋_GB2312"/>
          <w:color w:val="000000"/>
          <w:sz w:val="32"/>
          <w:szCs w:val="32"/>
        </w:rPr>
        <w:t>暂定预计试验31天，具体天数根据试验情况进行调整。</w:t>
      </w:r>
    </w:p>
    <w:p w14:paraId="4C434A0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149CCC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2,698</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CDE0CE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70EB3A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D1A54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78D05B04">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45CB4D4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7986FC88">
      <w:pPr>
        <w:spacing w:beforeLines="0" w:line="240" w:lineRule="auto"/>
        <w:ind w:firstLine="640" w:firstLineChars="200"/>
        <w:rPr>
          <w:rFonts w:hint="eastAsia" w:eastAsia="仿宋_GB2312"/>
          <w:color w:val="000000"/>
          <w:sz w:val="32"/>
          <w:szCs w:val="32"/>
        </w:rPr>
      </w:pPr>
      <w:bookmarkStart w:id="2" w:name="_Hlk90414088"/>
      <w:r>
        <w:rPr>
          <w:rFonts w:hint="eastAsia" w:eastAsia="仿宋_GB2312"/>
          <w:color w:val="000000"/>
          <w:sz w:val="32"/>
          <w:szCs w:val="32"/>
          <w:lang w:val="en-US" w:eastAsia="zh-CN"/>
        </w:rPr>
        <w:t>成交人</w:t>
      </w:r>
      <w:r>
        <w:rPr>
          <w:rFonts w:hint="eastAsia" w:eastAsia="仿宋_GB2312"/>
          <w:color w:val="000000"/>
          <w:sz w:val="32"/>
          <w:szCs w:val="32"/>
        </w:rPr>
        <w:t>完成储存设备安装及调试，相关性能指标满足</w:t>
      </w:r>
      <w:r>
        <w:rPr>
          <w:rFonts w:hint="eastAsia" w:eastAsia="仿宋_GB2312"/>
          <w:color w:val="000000"/>
          <w:sz w:val="32"/>
          <w:szCs w:val="32"/>
          <w:lang w:val="en-US" w:eastAsia="zh-CN"/>
        </w:rPr>
        <w:t>采购人</w:t>
      </w:r>
      <w:r>
        <w:rPr>
          <w:rFonts w:hint="eastAsia" w:eastAsia="仿宋_GB2312"/>
          <w:color w:val="000000"/>
          <w:sz w:val="32"/>
          <w:szCs w:val="32"/>
        </w:rPr>
        <w:t>技术要求并协助</w:t>
      </w:r>
      <w:r>
        <w:rPr>
          <w:rFonts w:hint="eastAsia" w:eastAsia="仿宋_GB2312"/>
          <w:color w:val="000000"/>
          <w:sz w:val="32"/>
          <w:szCs w:val="32"/>
          <w:lang w:val="en-US" w:eastAsia="zh-CN"/>
        </w:rPr>
        <w:t>采购人</w:t>
      </w:r>
      <w:r>
        <w:rPr>
          <w:rFonts w:hint="eastAsia" w:eastAsia="仿宋_GB2312"/>
          <w:color w:val="000000"/>
          <w:sz w:val="32"/>
          <w:szCs w:val="32"/>
        </w:rPr>
        <w:t>完成纳米液钙试验服务工作后，</w:t>
      </w:r>
      <w:r>
        <w:rPr>
          <w:rFonts w:hint="eastAsia" w:eastAsia="仿宋_GB2312"/>
          <w:color w:val="000000"/>
          <w:sz w:val="32"/>
          <w:szCs w:val="32"/>
          <w:lang w:val="en-US" w:eastAsia="zh-CN"/>
        </w:rPr>
        <w:t>成交人</w:t>
      </w:r>
      <w:r>
        <w:rPr>
          <w:rFonts w:hint="eastAsia" w:eastAsia="仿宋_GB2312"/>
          <w:color w:val="000000"/>
          <w:sz w:val="32"/>
          <w:szCs w:val="32"/>
        </w:rPr>
        <w:t>提交请款资料及</w:t>
      </w:r>
      <w:r>
        <w:rPr>
          <w:rFonts w:hint="eastAsia" w:eastAsia="仿宋_GB2312"/>
          <w:color w:val="000000"/>
          <w:sz w:val="32"/>
          <w:szCs w:val="32"/>
          <w:lang w:val="en-US" w:eastAsia="zh-CN"/>
        </w:rPr>
        <w:t>结算</w:t>
      </w:r>
      <w:r>
        <w:rPr>
          <w:rFonts w:hint="eastAsia" w:eastAsia="仿宋_GB2312"/>
          <w:color w:val="000000"/>
          <w:sz w:val="32"/>
          <w:szCs w:val="32"/>
        </w:rPr>
        <w:t>金额100%的增值税专用发票，</w:t>
      </w:r>
      <w:r>
        <w:rPr>
          <w:rFonts w:hint="eastAsia" w:eastAsia="仿宋_GB2312"/>
          <w:color w:val="000000"/>
          <w:sz w:val="32"/>
          <w:szCs w:val="32"/>
          <w:lang w:val="en-US" w:eastAsia="zh-CN"/>
        </w:rPr>
        <w:t>采购人</w:t>
      </w:r>
      <w:r>
        <w:rPr>
          <w:rFonts w:hint="eastAsia" w:eastAsia="仿宋_GB2312"/>
          <w:color w:val="000000"/>
          <w:sz w:val="32"/>
          <w:szCs w:val="32"/>
        </w:rPr>
        <w:t>在收到上述有效资料之日起30个工作日内支付至</w:t>
      </w:r>
      <w:r>
        <w:rPr>
          <w:rFonts w:hint="eastAsia" w:eastAsia="仿宋_GB2312"/>
          <w:color w:val="000000"/>
          <w:sz w:val="32"/>
          <w:szCs w:val="32"/>
          <w:lang w:val="en-US" w:eastAsia="zh-CN"/>
        </w:rPr>
        <w:t>结算</w:t>
      </w:r>
      <w:r>
        <w:rPr>
          <w:rFonts w:hint="eastAsia" w:eastAsia="仿宋_GB2312"/>
          <w:color w:val="000000"/>
          <w:sz w:val="32"/>
          <w:szCs w:val="32"/>
        </w:rPr>
        <w:t>金额的100%；</w:t>
      </w:r>
    </w:p>
    <w:p w14:paraId="3E9CB1D2">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6AB95175">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67D9820B">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：服务费单价不超过1.45元/吨入炉垃圾，</w:t>
      </w:r>
      <w:r>
        <w:rPr>
          <w:rFonts w:hint="eastAsia" w:eastAsia="仿宋_GB2312"/>
          <w:color w:val="000000"/>
          <w:sz w:val="32"/>
          <w:szCs w:val="32"/>
          <w:lang w:val="en-US" w:eastAsia="zh-CN"/>
        </w:rPr>
        <w:t>暂定总价</w:t>
      </w:r>
      <w:r>
        <w:rPr>
          <w:rFonts w:hint="eastAsia" w:eastAsia="仿宋_GB2312"/>
          <w:color w:val="000000"/>
          <w:sz w:val="32"/>
          <w:szCs w:val="32"/>
        </w:rPr>
        <w:t>134</w:t>
      </w:r>
      <w:r>
        <w:rPr>
          <w:rFonts w:hint="eastAsia" w:eastAsia="仿宋_GB2312"/>
          <w:color w:val="000000"/>
          <w:sz w:val="32"/>
          <w:szCs w:val="32"/>
          <w:lang w:val="en-US" w:eastAsia="zh-CN"/>
        </w:rPr>
        <w:t>,850.00</w:t>
      </w:r>
      <w:r>
        <w:rPr>
          <w:rFonts w:hint="eastAsia" w:eastAsia="仿宋_GB2312"/>
          <w:color w:val="000000"/>
          <w:sz w:val="32"/>
          <w:szCs w:val="32"/>
        </w:rPr>
        <w:t>元（</w:t>
      </w:r>
      <w:r>
        <w:rPr>
          <w:rFonts w:hint="eastAsia" w:eastAsia="仿宋_GB2312"/>
          <w:color w:val="000000"/>
          <w:sz w:val="32"/>
          <w:szCs w:val="32"/>
          <w:lang w:val="en-US" w:eastAsia="zh-CN"/>
        </w:rPr>
        <w:t>以暂定试验天数31天、暂定</w:t>
      </w:r>
      <w:r>
        <w:rPr>
          <w:rFonts w:hint="eastAsia" w:eastAsia="仿宋_GB2312"/>
          <w:color w:val="000000"/>
          <w:sz w:val="32"/>
          <w:szCs w:val="32"/>
        </w:rPr>
        <w:t>入炉垃圾</w:t>
      </w:r>
      <w:r>
        <w:rPr>
          <w:rFonts w:hint="eastAsia" w:eastAsia="仿宋_GB2312"/>
          <w:color w:val="000000"/>
          <w:sz w:val="32"/>
          <w:szCs w:val="32"/>
          <w:lang w:val="en-US" w:eastAsia="zh-CN"/>
        </w:rPr>
        <w:t>量按3000吨/天计算暂定总价，最终根据采购人实际需求进行试验，试验天数及入炉量不设保底，最终费用</w:t>
      </w:r>
      <w:r>
        <w:rPr>
          <w:rFonts w:hint="eastAsia" w:eastAsia="仿宋_GB2312"/>
          <w:color w:val="000000"/>
          <w:sz w:val="32"/>
          <w:szCs w:val="32"/>
        </w:rPr>
        <w:t>按入炉垃圾量*服务费单价据实结算）</w:t>
      </w:r>
    </w:p>
    <w:p w14:paraId="73CDDEA0">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w:t>
      </w:r>
      <w:r>
        <w:rPr>
          <w:rFonts w:hint="eastAsia" w:eastAsia="仿宋_GB2312"/>
          <w:color w:val="000000"/>
          <w:sz w:val="32"/>
          <w:szCs w:val="32"/>
          <w:lang w:val="en-US" w:eastAsia="zh-CN"/>
        </w:rPr>
        <w:t>单价暂定</w:t>
      </w:r>
      <w:r>
        <w:rPr>
          <w:rFonts w:hint="eastAsia" w:eastAsia="仿宋_GB2312"/>
          <w:color w:val="000000"/>
          <w:sz w:val="32"/>
          <w:szCs w:val="32"/>
        </w:rPr>
        <w:t>总价包干，实行固定</w:t>
      </w:r>
      <w:r>
        <w:rPr>
          <w:rFonts w:hint="eastAsia" w:eastAsia="仿宋_GB2312"/>
          <w:color w:val="000000"/>
          <w:sz w:val="32"/>
          <w:szCs w:val="32"/>
          <w:lang w:val="en-US" w:eastAsia="zh-CN"/>
        </w:rPr>
        <w:t>单价</w:t>
      </w:r>
      <w:r>
        <w:rPr>
          <w:rFonts w:hint="eastAsia" w:eastAsia="仿宋_GB2312"/>
          <w:color w:val="000000"/>
          <w:sz w:val="32"/>
          <w:szCs w:val="32"/>
        </w:rPr>
        <w:t>价格报价，包括但不限于：完成本项目的服务费、测试费、材料费、</w:t>
      </w:r>
      <w:r>
        <w:rPr>
          <w:rFonts w:hint="eastAsia" w:eastAsia="仿宋_GB2312"/>
          <w:color w:val="000000"/>
          <w:sz w:val="32"/>
          <w:szCs w:val="32"/>
          <w:lang w:val="en-US" w:eastAsia="zh-CN"/>
        </w:rPr>
        <w:t>设备费、</w:t>
      </w:r>
      <w:r>
        <w:rPr>
          <w:rFonts w:hint="eastAsia" w:eastAsia="仿宋_GB2312"/>
          <w:color w:val="000000"/>
          <w:sz w:val="32"/>
          <w:szCs w:val="32"/>
        </w:rPr>
        <w:t>人工费、交通费、税费、保险费等一切为满足项目实施可能产生的费用。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w:t>
      </w:r>
      <w:r>
        <w:rPr>
          <w:rFonts w:hint="eastAsia" w:eastAsia="仿宋_GB2312"/>
          <w:color w:val="000000"/>
          <w:sz w:val="32"/>
          <w:szCs w:val="32"/>
          <w:lang w:val="en-US" w:eastAsia="zh-CN"/>
        </w:rPr>
        <w:t>服务</w:t>
      </w:r>
      <w:r>
        <w:rPr>
          <w:rFonts w:hint="eastAsia" w:eastAsia="仿宋_GB2312"/>
          <w:color w:val="000000"/>
          <w:sz w:val="32"/>
          <w:szCs w:val="32"/>
        </w:rPr>
        <w:t>内容及要求描述工作量可能与最终实际工作量存在差距的风险。</w:t>
      </w:r>
    </w:p>
    <w:p w14:paraId="122FB3F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266D7F83">
      <w:pPr>
        <w:spacing w:line="360" w:lineRule="auto"/>
        <w:ind w:firstLine="640" w:firstLineChars="200"/>
        <w:outlineLvl w:val="1"/>
        <w:rPr>
          <w:rFonts w:eastAsia="仿宋_GB2312"/>
          <w:b w:val="0"/>
          <w:bCs w:val="0"/>
          <w:sz w:val="32"/>
          <w:szCs w:val="32"/>
          <w:highlight w:val="none"/>
        </w:rPr>
      </w:pPr>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w:t>
      </w:r>
      <w:r>
        <w:rPr>
          <w:rFonts w:hint="eastAsia" w:eastAsia="仿宋_GB2312"/>
          <w:b w:val="0"/>
          <w:bCs w:val="0"/>
          <w:sz w:val="32"/>
          <w:szCs w:val="32"/>
          <w:highlight w:val="none"/>
          <w:lang w:val="en-US" w:eastAsia="zh-CN"/>
        </w:rPr>
        <w:t>暂定</w:t>
      </w:r>
      <w:r>
        <w:rPr>
          <w:rFonts w:hint="eastAsia" w:eastAsia="仿宋_GB2312"/>
          <w:b w:val="0"/>
          <w:bCs w:val="0"/>
          <w:sz w:val="32"/>
          <w:szCs w:val="32"/>
          <w:highlight w:val="none"/>
        </w:rPr>
        <w:t>含税总价的最低报价的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w:t>
      </w:r>
      <w:r>
        <w:rPr>
          <w:rFonts w:hint="eastAsia" w:eastAsia="仿宋_GB2312"/>
          <w:sz w:val="32"/>
          <w:szCs w:val="32"/>
          <w:highlight w:val="none"/>
          <w:lang w:val="en-US" w:eastAsia="zh-CN"/>
        </w:rPr>
        <w:t>商务</w:t>
      </w:r>
      <w:r>
        <w:rPr>
          <w:rFonts w:hint="eastAsia" w:eastAsia="仿宋_GB2312"/>
          <w:sz w:val="32"/>
          <w:szCs w:val="32"/>
          <w:highlight w:val="none"/>
        </w:rPr>
        <w:t>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058D91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10E9764C">
      <w:pPr>
        <w:spacing w:before="156" w:line="600" w:lineRule="exact"/>
        <w:ind w:firstLine="640" w:firstLineChars="200"/>
        <w:rPr>
          <w:rFonts w:eastAsia="仿宋_GB2312"/>
          <w:color w:val="000000"/>
          <w:sz w:val="32"/>
          <w:szCs w:val="32"/>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w:t>
      </w:r>
      <w:r>
        <w:rPr>
          <w:rFonts w:ascii="仿宋" w:hAnsi="仿宋" w:eastAsia="仿宋"/>
          <w:sz w:val="32"/>
          <w:szCs w:val="32"/>
          <w:highlight w:val="none"/>
        </w:rPr>
        <w:t>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hint="eastAsia" w:eastAsia="仿宋_GB2312"/>
          <w:color w:val="000000"/>
          <w:sz w:val="32"/>
          <w:szCs w:val="32"/>
        </w:rPr>
        <w:t>。</w:t>
      </w:r>
    </w:p>
    <w:p w14:paraId="5E1F7ED1">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4DA353B6">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本项资料如有不全，则作无效</w:t>
      </w:r>
      <w:r>
        <w:rPr>
          <w:rFonts w:hint="eastAsia" w:ascii="仿宋" w:hAnsi="仿宋" w:eastAsia="仿宋"/>
          <w:b/>
          <w:bCs/>
          <w:sz w:val="32"/>
          <w:szCs w:val="32"/>
          <w:highlight w:val="none"/>
          <w:lang w:val="en-US" w:eastAsia="zh-CN"/>
        </w:rPr>
        <w:t>报价</w:t>
      </w:r>
      <w:r>
        <w:rPr>
          <w:rFonts w:hint="eastAsia" w:ascii="仿宋" w:hAnsi="仿宋" w:eastAsia="仿宋"/>
          <w:b/>
          <w:bCs/>
          <w:sz w:val="32"/>
          <w:szCs w:val="32"/>
          <w:highlight w:val="none"/>
        </w:rPr>
        <w:t>处理</w:t>
      </w:r>
      <w:r>
        <w:rPr>
          <w:rFonts w:hint="eastAsia" w:eastAsia="黑体"/>
          <w:color w:val="000000"/>
          <w:sz w:val="32"/>
          <w:szCs w:val="32"/>
        </w:rPr>
        <w:t>）</w:t>
      </w:r>
    </w:p>
    <w:p w14:paraId="3C064E1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6B956C27">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6C9E9FA">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3" w:name="_Hlk90414265"/>
      <w:r>
        <w:rPr>
          <w:rFonts w:hint="eastAsia" w:eastAsia="仿宋_GB2312"/>
          <w:color w:val="000000"/>
          <w:sz w:val="32"/>
          <w:szCs w:val="32"/>
        </w:rPr>
        <w:t>（法人本人参加报价不需提供）</w:t>
      </w:r>
      <w:bookmarkEnd w:id="3"/>
      <w:r>
        <w:rPr>
          <w:rFonts w:hint="eastAsia" w:eastAsia="仿宋_GB2312"/>
          <w:color w:val="000000"/>
          <w:sz w:val="32"/>
          <w:szCs w:val="32"/>
        </w:rPr>
        <w:t>（加盖公章）；</w:t>
      </w:r>
    </w:p>
    <w:p w14:paraId="04266C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290D0790">
      <w:pPr>
        <w:spacing w:before="156" w:line="600" w:lineRule="exact"/>
        <w:ind w:firstLine="640" w:firstLineChars="200"/>
        <w:rPr>
          <w:rFonts w:hint="eastAsia"/>
        </w:rPr>
      </w:pPr>
      <w:r>
        <w:rPr>
          <w:rFonts w:hint="eastAsia" w:eastAsia="仿宋_GB2312"/>
          <w:color w:val="000000"/>
          <w:sz w:val="32"/>
          <w:szCs w:val="32"/>
        </w:rPr>
        <w:t>5、业绩证明材料（按本项目</w:t>
      </w:r>
      <w:r>
        <w:rPr>
          <w:rFonts w:hint="eastAsia" w:eastAsia="仿宋_GB2312"/>
          <w:color w:val="000000"/>
          <w:sz w:val="32"/>
          <w:szCs w:val="32"/>
          <w:lang w:eastAsia="zh-CN"/>
        </w:rPr>
        <w:t>响应人</w:t>
      </w:r>
      <w:r>
        <w:rPr>
          <w:rFonts w:hint="eastAsia" w:eastAsia="仿宋_GB2312"/>
          <w:color w:val="000000"/>
          <w:sz w:val="32"/>
          <w:szCs w:val="32"/>
        </w:rPr>
        <w:t>资格要求提供资料，加盖公章）；</w:t>
      </w:r>
    </w:p>
    <w:p w14:paraId="103C98D8">
      <w:pPr>
        <w:spacing w:before="156" w:line="600" w:lineRule="exact"/>
        <w:ind w:firstLine="640" w:firstLineChars="200"/>
        <w:rPr>
          <w:rFonts w:hint="eastAsia" w:eastAsia="仿宋_GB2312"/>
          <w:color w:val="000000"/>
          <w:sz w:val="32"/>
          <w:szCs w:val="32"/>
        </w:rPr>
      </w:pPr>
      <w:r>
        <w:rPr>
          <w:rFonts w:hint="eastAsia" w:ascii="Times New Roman" w:hAnsi="Times New Roman" w:eastAsia="仿宋_GB2312" w:cs="Times New Roman"/>
          <w:color w:val="000000"/>
          <w:sz w:val="32"/>
          <w:szCs w:val="32"/>
          <w:lang w:val="en-US" w:eastAsia="zh-CN"/>
        </w:rPr>
        <w:t>6、</w:t>
      </w:r>
      <w:bookmarkStart w:id="4" w:name="_Hlk90414430"/>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如不参与现场开标会则必须提供，</w:t>
      </w:r>
      <w:r>
        <w:rPr>
          <w:rFonts w:hint="eastAsia" w:eastAsia="仿宋_GB2312"/>
          <w:color w:val="000000"/>
          <w:sz w:val="32"/>
          <w:szCs w:val="32"/>
        </w:rPr>
        <w:t>详见附件，加盖公章）</w:t>
      </w:r>
      <w:bookmarkEnd w:id="4"/>
      <w:r>
        <w:rPr>
          <w:rFonts w:hint="eastAsia" w:eastAsia="仿宋_GB2312"/>
          <w:color w:val="000000"/>
          <w:sz w:val="32"/>
          <w:szCs w:val="32"/>
        </w:rPr>
        <w:t>；</w:t>
      </w:r>
    </w:p>
    <w:p w14:paraId="160B4A01">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7</w:t>
      </w:r>
      <w:r>
        <w:rPr>
          <w:rFonts w:hint="default" w:eastAsia="仿宋_GB2312"/>
          <w:color w:val="000000"/>
          <w:sz w:val="32"/>
          <w:szCs w:val="32"/>
          <w:lang w:val="en-US" w:eastAsia="zh-CN"/>
        </w:rPr>
        <w:t>、响应人报价截止日前6个月内任意1个月依法缴纳税收证明材料。如依法免税的，须提供相应证明材料。(证明材料须加盖公章)</w:t>
      </w:r>
    </w:p>
    <w:p w14:paraId="5A3D1779">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8</w:t>
      </w:r>
      <w:r>
        <w:rPr>
          <w:rFonts w:hint="default" w:eastAsia="仿宋_GB2312"/>
          <w:color w:val="000000"/>
          <w:sz w:val="32"/>
          <w:szCs w:val="32"/>
          <w:lang w:val="en-US" w:eastAsia="zh-CN"/>
        </w:rPr>
        <w:t>、响应人无欠税证明材料（在全国统一规范电子税务局平台开具，证明材料须加盖公章）</w:t>
      </w:r>
    </w:p>
    <w:p w14:paraId="603CFA8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9、</w:t>
      </w:r>
      <w:r>
        <w:rPr>
          <w:rFonts w:hint="eastAsia" w:eastAsia="仿宋_GB2312"/>
          <w:color w:val="000000"/>
          <w:sz w:val="32"/>
          <w:szCs w:val="32"/>
        </w:rPr>
        <w:t>本项目询价文件要求的其他资料（如有）。</w:t>
      </w:r>
    </w:p>
    <w:p w14:paraId="29C451FA">
      <w:pPr>
        <w:spacing w:before="0" w:line="360" w:lineRule="auto"/>
        <w:ind w:firstLine="640" w:firstLineChars="200"/>
        <w:rPr>
          <w:rFonts w:hint="eastAsia" w:eastAsia="仿宋_GB2312"/>
          <w:color w:val="000000"/>
          <w:sz w:val="32"/>
          <w:szCs w:val="32"/>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须严格按照采购人提供的表单格式及要求</w:t>
      </w:r>
      <w:r>
        <w:rPr>
          <w:rFonts w:hint="eastAsia" w:ascii="仿宋" w:hAnsi="仿宋" w:eastAsia="仿宋"/>
          <w:sz w:val="32"/>
          <w:szCs w:val="32"/>
          <w:highlight w:val="none"/>
          <w:lang w:val="en-US" w:eastAsia="zh-CN"/>
        </w:rPr>
        <w:t>报价</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按文件模板要求签字、盖章。</w:t>
      </w:r>
      <w:r>
        <w:rPr>
          <w:rFonts w:hint="eastAsia" w:ascii="仿宋" w:hAnsi="仿宋" w:eastAsia="仿宋"/>
          <w:sz w:val="32"/>
          <w:szCs w:val="32"/>
          <w:highlight w:val="none"/>
        </w:rPr>
        <w:t>响应文件必须装订或胶装成册，正本必须每页加盖公章，副本可使用正本复印件</w:t>
      </w:r>
      <w:r>
        <w:rPr>
          <w:rFonts w:hint="eastAsia" w:ascii="仿宋" w:hAnsi="仿宋" w:eastAsia="仿宋"/>
          <w:sz w:val="32"/>
          <w:szCs w:val="32"/>
          <w:highlight w:val="none"/>
          <w:lang w:val="en-US" w:eastAsia="zh-CN"/>
        </w:rPr>
        <w:t>但必须</w:t>
      </w:r>
      <w:r>
        <w:rPr>
          <w:rFonts w:hint="eastAsia" w:ascii="仿宋" w:hAnsi="仿宋" w:eastAsia="仿宋"/>
          <w:sz w:val="32"/>
          <w:szCs w:val="32"/>
          <w:highlight w:val="none"/>
        </w:rPr>
        <w:t>于封面及骑缝处加盖公章。</w:t>
      </w:r>
    </w:p>
    <w:p w14:paraId="4EBBCCBF">
      <w:pPr>
        <w:adjustRightInd w:val="0"/>
        <w:snapToGrid w:val="0"/>
        <w:spacing w:before="156" w:line="600" w:lineRule="exact"/>
        <w:ind w:firstLine="643" w:firstLineChars="200"/>
        <w:outlineLvl w:val="1"/>
        <w:rPr>
          <w:rFonts w:eastAsia="黑体"/>
          <w:b/>
          <w:bCs/>
          <w:color w:val="000000"/>
          <w:sz w:val="32"/>
          <w:szCs w:val="32"/>
        </w:rPr>
      </w:pPr>
      <w:bookmarkStart w:id="5" w:name="_Hlk90416918"/>
      <w:r>
        <w:rPr>
          <w:rFonts w:hint="eastAsia" w:eastAsia="黑体"/>
          <w:b/>
          <w:bCs/>
          <w:color w:val="000000"/>
          <w:sz w:val="32"/>
          <w:szCs w:val="32"/>
        </w:rPr>
        <w:t>十一、响应文件份数</w:t>
      </w:r>
      <w:bookmarkStart w:id="6" w:name="_Hlk90414502"/>
      <w:r>
        <w:rPr>
          <w:rFonts w:hint="eastAsia" w:eastAsia="黑体"/>
          <w:b/>
          <w:bCs/>
          <w:color w:val="000000"/>
          <w:sz w:val="32"/>
          <w:szCs w:val="32"/>
        </w:rPr>
        <w:t>及要求</w:t>
      </w:r>
      <w:bookmarkEnd w:id="5"/>
      <w:bookmarkEnd w:id="6"/>
    </w:p>
    <w:p w14:paraId="21FD30D9">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1、正本一份、副本一份。</w:t>
      </w:r>
    </w:p>
    <w:p w14:paraId="10839767">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2、响应人所递交的响应文件正本必须为盖章原件，公章、私章或签字不得为彩色/黑白的打印件/复印件。</w:t>
      </w:r>
    </w:p>
    <w:p w14:paraId="5AA1910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078D873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p>
    <w:p w14:paraId="4BB28B4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2316937">
      <w:pPr>
        <w:spacing w:before="156" w:line="600" w:lineRule="exact"/>
        <w:ind w:firstLine="643" w:firstLineChars="200"/>
        <w:rPr>
          <w:rFonts w:eastAsia="仿宋_GB2312"/>
          <w:b/>
          <w:color w:val="000000"/>
          <w:sz w:val="32"/>
          <w:szCs w:val="32"/>
        </w:rPr>
      </w:pPr>
      <w:bookmarkStart w:id="7"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3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18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三）</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10：30</w:t>
      </w:r>
      <w:r>
        <w:rPr>
          <w:rFonts w:hint="eastAsia" w:eastAsia="仿宋_GB2312"/>
          <w:b/>
          <w:color w:val="000000"/>
          <w:sz w:val="32"/>
          <w:szCs w:val="32"/>
        </w:rPr>
        <w:t>。</w:t>
      </w:r>
    </w:p>
    <w:bookmarkEnd w:id="7"/>
    <w:p w14:paraId="6BEBAFF1">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49E8D7C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EBD7A5C">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8C72661">
      <w:pPr>
        <w:pStyle w:val="2"/>
        <w:rPr>
          <w:rFonts w:hint="eastAsia" w:eastAsia="宋体"/>
          <w:lang w:eastAsia="zh-CN"/>
        </w:rPr>
      </w:pPr>
      <w:r>
        <w:rPr>
          <w:rFonts w:hint="eastAsia" w:eastAsia="宋体"/>
          <w:lang w:eastAsia="zh-CN"/>
        </w:rPr>
        <w:drawing>
          <wp:inline distT="0" distB="0" distL="114300" distR="114300">
            <wp:extent cx="4711700" cy="3401695"/>
            <wp:effectExtent l="0" t="0" r="5715"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711700" cy="3401695"/>
                    </a:xfrm>
                    <a:prstGeom prst="rect">
                      <a:avLst/>
                    </a:prstGeom>
                  </pic:spPr>
                </pic:pic>
              </a:graphicData>
            </a:graphic>
          </wp:inline>
        </w:drawing>
      </w:r>
    </w:p>
    <w:p w14:paraId="08BB1E76">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6C8B326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0DF29DA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1A13A6F6">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3FA440F5">
      <w:pPr>
        <w:spacing w:before="156"/>
        <w:rPr>
          <w:rFonts w:eastAsia="黑体"/>
          <w:color w:val="000000"/>
          <w:sz w:val="32"/>
          <w:szCs w:val="32"/>
        </w:rPr>
      </w:pPr>
      <w:r>
        <w:rPr>
          <w:rFonts w:hint="eastAsia" w:eastAsia="黑体"/>
          <w:color w:val="000000"/>
          <w:sz w:val="32"/>
          <w:szCs w:val="32"/>
        </w:rPr>
        <w:t>十三、注意事项</w:t>
      </w:r>
    </w:p>
    <w:p w14:paraId="5C6BB3C1">
      <w:pPr>
        <w:spacing w:before="156" w:line="600" w:lineRule="exact"/>
        <w:ind w:firstLine="640" w:firstLineChars="200"/>
        <w:rPr>
          <w:rFonts w:eastAsia="仿宋_GB2312"/>
          <w:color w:val="000000"/>
          <w:sz w:val="32"/>
          <w:szCs w:val="32"/>
        </w:rPr>
      </w:pPr>
      <w:bookmarkStart w:id="8" w:name="_Hlk517879660"/>
      <w:r>
        <w:rPr>
          <w:rFonts w:hint="eastAsia" w:eastAsia="仿宋_GB2312"/>
          <w:color w:val="000000"/>
          <w:sz w:val="32"/>
          <w:szCs w:val="32"/>
        </w:rPr>
        <w:t>1、若</w:t>
      </w:r>
      <w:r>
        <w:rPr>
          <w:rFonts w:hint="eastAsia" w:eastAsia="仿宋_GB2312"/>
          <w:color w:val="000000"/>
          <w:sz w:val="32"/>
          <w:szCs w:val="32"/>
          <w:lang w:eastAsia="zh-CN"/>
        </w:rPr>
        <w:t>响应人</w:t>
      </w:r>
      <w:r>
        <w:rPr>
          <w:rFonts w:hint="eastAsia" w:eastAsia="仿宋_GB2312"/>
          <w:color w:val="000000"/>
          <w:sz w:val="32"/>
          <w:szCs w:val="32"/>
        </w:rPr>
        <w:t>未按规定时间递交响应文件，视为放弃报价资格。</w:t>
      </w:r>
    </w:p>
    <w:bookmarkEnd w:id="8"/>
    <w:p w14:paraId="1CBAE99D">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如未按要求交纳报价保证金，则视为放弃报价资格。</w:t>
      </w:r>
    </w:p>
    <w:p w14:paraId="5842DC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w:t>
      </w:r>
      <w:r>
        <w:rPr>
          <w:rFonts w:hint="eastAsia" w:eastAsia="仿宋_GB2312"/>
          <w:color w:val="000000"/>
          <w:sz w:val="32"/>
          <w:szCs w:val="32"/>
          <w:lang w:eastAsia="zh-CN"/>
        </w:rPr>
        <w:t>响应人</w:t>
      </w:r>
      <w:r>
        <w:rPr>
          <w:rFonts w:hint="eastAsia" w:eastAsia="仿宋_GB2312"/>
          <w:color w:val="000000"/>
          <w:sz w:val="32"/>
          <w:szCs w:val="32"/>
        </w:rPr>
        <w:t>提供的有关资料和数据，是采购人现有的能使</w:t>
      </w:r>
      <w:r>
        <w:rPr>
          <w:rFonts w:hint="eastAsia" w:eastAsia="仿宋_GB2312"/>
          <w:color w:val="000000"/>
          <w:sz w:val="32"/>
          <w:szCs w:val="32"/>
          <w:lang w:eastAsia="zh-CN"/>
        </w:rPr>
        <w:t>响应人</w:t>
      </w:r>
      <w:r>
        <w:rPr>
          <w:rFonts w:hint="eastAsia" w:eastAsia="仿宋_GB2312"/>
          <w:color w:val="000000"/>
          <w:sz w:val="32"/>
          <w:szCs w:val="32"/>
        </w:rPr>
        <w:t>利用的资料，采购人对</w:t>
      </w:r>
      <w:r>
        <w:rPr>
          <w:rFonts w:hint="eastAsia" w:eastAsia="仿宋_GB2312"/>
          <w:color w:val="000000"/>
          <w:sz w:val="32"/>
          <w:szCs w:val="32"/>
          <w:lang w:eastAsia="zh-CN"/>
        </w:rPr>
        <w:t>响应人</w:t>
      </w:r>
      <w:r>
        <w:rPr>
          <w:rFonts w:hint="eastAsia" w:eastAsia="仿宋_GB2312"/>
          <w:color w:val="000000"/>
          <w:sz w:val="32"/>
          <w:szCs w:val="32"/>
        </w:rPr>
        <w:t>由此而做出的推论、理解和结论概不负责。</w:t>
      </w:r>
    </w:p>
    <w:p w14:paraId="620282C7">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711670B3">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7C818AA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w:t>
      </w:r>
      <w:r>
        <w:rPr>
          <w:rFonts w:hint="eastAsia" w:eastAsia="仿宋_GB2312"/>
          <w:color w:val="000000"/>
          <w:sz w:val="32"/>
          <w:szCs w:val="32"/>
          <w:lang w:eastAsia="zh-CN"/>
        </w:rPr>
        <w:t>响应人</w:t>
      </w:r>
      <w:r>
        <w:rPr>
          <w:rFonts w:hint="eastAsia" w:eastAsia="仿宋_GB2312"/>
          <w:color w:val="000000"/>
          <w:sz w:val="32"/>
          <w:szCs w:val="32"/>
        </w:rPr>
        <w:t>其他附加条件。</w:t>
      </w:r>
    </w:p>
    <w:p w14:paraId="28B797CF">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AF5531D">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7B258573">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3A2165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响应人</w:t>
      </w:r>
      <w:r>
        <w:rPr>
          <w:rFonts w:hint="eastAsia" w:eastAsia="仿宋_GB2312"/>
          <w:color w:val="000000"/>
          <w:sz w:val="32"/>
          <w:szCs w:val="32"/>
        </w:rPr>
        <w:t>提供虚假响应文件或虚假补充文件。</w:t>
      </w:r>
    </w:p>
    <w:p w14:paraId="22C4718C">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628728B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w:t>
      </w:r>
      <w:r>
        <w:rPr>
          <w:rFonts w:hint="eastAsia" w:eastAsia="仿宋_GB2312"/>
          <w:color w:val="000000"/>
          <w:sz w:val="32"/>
          <w:szCs w:val="32"/>
          <w:lang w:eastAsia="zh-CN"/>
        </w:rPr>
        <w:t>响应人</w:t>
      </w:r>
      <w:r>
        <w:rPr>
          <w:rFonts w:hint="eastAsia" w:eastAsia="仿宋_GB2312"/>
          <w:color w:val="000000"/>
          <w:sz w:val="32"/>
          <w:szCs w:val="32"/>
        </w:rPr>
        <w:t>串通询价，其报价无效</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4A7A5F2">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w:t>
      </w:r>
      <w:r>
        <w:rPr>
          <w:rFonts w:hint="eastAsia" w:eastAsia="仿宋_GB2312"/>
          <w:color w:val="000000"/>
          <w:sz w:val="32"/>
          <w:szCs w:val="32"/>
          <w:lang w:eastAsia="zh-CN"/>
        </w:rPr>
        <w:t>响应人</w:t>
      </w:r>
      <w:r>
        <w:rPr>
          <w:rFonts w:hint="eastAsia" w:eastAsia="仿宋_GB2312"/>
          <w:color w:val="000000"/>
          <w:sz w:val="32"/>
          <w:szCs w:val="32"/>
        </w:rPr>
        <w:t>的响应文件由同一单位或者个人编制；</w:t>
      </w:r>
    </w:p>
    <w:p w14:paraId="0BA2947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w:t>
      </w:r>
      <w:r>
        <w:rPr>
          <w:rFonts w:hint="eastAsia" w:eastAsia="仿宋_GB2312"/>
          <w:color w:val="000000"/>
          <w:sz w:val="32"/>
          <w:szCs w:val="32"/>
          <w:lang w:eastAsia="zh-CN"/>
        </w:rPr>
        <w:t>响应人</w:t>
      </w:r>
      <w:r>
        <w:rPr>
          <w:rFonts w:hint="eastAsia" w:eastAsia="仿宋_GB2312"/>
          <w:color w:val="000000"/>
          <w:sz w:val="32"/>
          <w:szCs w:val="32"/>
        </w:rPr>
        <w:t>委托同一单位或者个人办理报价事宜；</w:t>
      </w:r>
    </w:p>
    <w:p w14:paraId="16337E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w:t>
      </w:r>
      <w:r>
        <w:rPr>
          <w:rFonts w:hint="eastAsia" w:eastAsia="仿宋_GB2312"/>
          <w:color w:val="000000"/>
          <w:sz w:val="32"/>
          <w:szCs w:val="32"/>
          <w:lang w:eastAsia="zh-CN"/>
        </w:rPr>
        <w:t>响应人</w:t>
      </w:r>
      <w:r>
        <w:rPr>
          <w:rFonts w:hint="eastAsia" w:eastAsia="仿宋_GB2312"/>
          <w:color w:val="000000"/>
          <w:sz w:val="32"/>
          <w:szCs w:val="32"/>
        </w:rPr>
        <w:t>的响应文件载明的项目管理成员或者联系人员为同一人；</w:t>
      </w:r>
    </w:p>
    <w:p w14:paraId="7B973E9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w:t>
      </w:r>
      <w:r>
        <w:rPr>
          <w:rFonts w:hint="eastAsia" w:eastAsia="仿宋_GB2312"/>
          <w:color w:val="000000"/>
          <w:sz w:val="32"/>
          <w:szCs w:val="32"/>
          <w:lang w:eastAsia="zh-CN"/>
        </w:rPr>
        <w:t>响应人</w:t>
      </w:r>
      <w:r>
        <w:rPr>
          <w:rFonts w:hint="eastAsia" w:eastAsia="仿宋_GB2312"/>
          <w:color w:val="000000"/>
          <w:sz w:val="32"/>
          <w:szCs w:val="32"/>
        </w:rPr>
        <w:t>的响应文件异常一致或者报价呈规律性差异；</w:t>
      </w:r>
    </w:p>
    <w:p w14:paraId="181DDAB7">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w:t>
      </w:r>
      <w:r>
        <w:rPr>
          <w:rFonts w:hint="eastAsia" w:eastAsia="仿宋_GB2312"/>
          <w:color w:val="000000"/>
          <w:sz w:val="32"/>
          <w:szCs w:val="32"/>
          <w:lang w:eastAsia="zh-CN"/>
        </w:rPr>
        <w:t>响应人</w:t>
      </w:r>
      <w:r>
        <w:rPr>
          <w:rFonts w:hint="eastAsia" w:eastAsia="仿宋_GB2312"/>
          <w:color w:val="000000"/>
          <w:sz w:val="32"/>
          <w:szCs w:val="32"/>
        </w:rPr>
        <w:t>的响应文件相互混装；</w:t>
      </w:r>
    </w:p>
    <w:p w14:paraId="4D4CD88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w:t>
      </w:r>
      <w:r>
        <w:rPr>
          <w:rFonts w:hint="eastAsia" w:eastAsia="仿宋_GB2312"/>
          <w:color w:val="000000"/>
          <w:sz w:val="32"/>
          <w:szCs w:val="32"/>
          <w:lang w:eastAsia="zh-CN"/>
        </w:rPr>
        <w:t>响应人</w:t>
      </w:r>
      <w:r>
        <w:rPr>
          <w:rFonts w:hint="eastAsia" w:eastAsia="仿宋_GB2312"/>
          <w:color w:val="000000"/>
          <w:sz w:val="32"/>
          <w:szCs w:val="32"/>
        </w:rPr>
        <w:t>的报价保证金从同一单位或者个人的账户转出。</w:t>
      </w:r>
    </w:p>
    <w:p w14:paraId="16C3A14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9、已列入采购人及上级单位部门黑名单的</w:t>
      </w:r>
      <w:r>
        <w:rPr>
          <w:rFonts w:hint="eastAsia" w:eastAsia="仿宋_GB2312"/>
          <w:color w:val="000000"/>
          <w:sz w:val="32"/>
          <w:szCs w:val="32"/>
          <w:lang w:eastAsia="zh-CN"/>
        </w:rPr>
        <w:t>响应人</w:t>
      </w:r>
      <w:r>
        <w:rPr>
          <w:rFonts w:hint="eastAsia" w:eastAsia="仿宋_GB2312"/>
          <w:color w:val="000000"/>
          <w:sz w:val="32"/>
          <w:szCs w:val="32"/>
        </w:rPr>
        <w:t>的响应文件视为无效。</w:t>
      </w:r>
    </w:p>
    <w:p w14:paraId="7AAEBE6E">
      <w:pPr>
        <w:pStyle w:val="68"/>
        <w:rPr>
          <w:rFonts w:hint="eastAsia" w:ascii="宋体" w:hAnsi="宋体"/>
          <w:sz w:val="28"/>
          <w:szCs w:val="28"/>
        </w:rPr>
      </w:pPr>
      <w:r>
        <w:rPr>
          <w:rFonts w:hint="eastAsia" w:eastAsia="仿宋_GB2312"/>
          <w:color w:val="000000"/>
          <w:sz w:val="32"/>
          <w:szCs w:val="32"/>
          <w:lang w:val="en-US" w:eastAsia="zh-CN"/>
        </w:rPr>
        <w:t>10</w:t>
      </w:r>
      <w:r>
        <w:rPr>
          <w:rFonts w:hint="eastAsia" w:eastAsia="仿宋_GB2312"/>
          <w:color w:val="000000"/>
          <w:sz w:val="32"/>
          <w:szCs w:val="32"/>
        </w:rPr>
        <w:t>.有下列情形之一的，其报价无效</w:t>
      </w:r>
      <w:r>
        <w:rPr>
          <w:rFonts w:hint="eastAsia" w:eastAsia="仿宋_GB2312"/>
          <w:color w:val="000000"/>
          <w:sz w:val="32"/>
          <w:szCs w:val="32"/>
          <w:lang w:eastAsia="zh-CN"/>
        </w:rPr>
        <w:t>，</w:t>
      </w:r>
      <w:r>
        <w:rPr>
          <w:rFonts w:hint="eastAsia" w:eastAsia="仿宋_GB2312"/>
          <w:color w:val="000000"/>
          <w:sz w:val="32"/>
          <w:szCs w:val="32"/>
          <w:lang w:val="en-US" w:eastAsia="zh-CN"/>
        </w:rPr>
        <w:t>并</w:t>
      </w:r>
      <w:r>
        <w:rPr>
          <w:rFonts w:hint="eastAsia" w:eastAsia="仿宋_GB2312"/>
          <w:color w:val="000000"/>
          <w:sz w:val="32"/>
          <w:szCs w:val="32"/>
        </w:rPr>
        <w:t>纳入采购人供应商黑名单</w:t>
      </w:r>
      <w:r>
        <w:rPr>
          <w:rFonts w:hint="eastAsia" w:ascii="宋体" w:hAnsi="宋体"/>
          <w:sz w:val="28"/>
          <w:szCs w:val="28"/>
        </w:rPr>
        <w:t>：</w:t>
      </w:r>
    </w:p>
    <w:p w14:paraId="527A32F0">
      <w:pPr>
        <w:pStyle w:val="68"/>
        <w:rPr>
          <w:rFonts w:hint="eastAsia" w:eastAsia="仿宋_GB2312"/>
          <w:color w:val="000000"/>
          <w:sz w:val="32"/>
          <w:szCs w:val="32"/>
        </w:rPr>
      </w:pPr>
      <w:r>
        <w:rPr>
          <w:rFonts w:hint="eastAsia" w:eastAsia="仿宋_GB2312"/>
          <w:color w:val="000000"/>
          <w:sz w:val="32"/>
          <w:szCs w:val="32"/>
        </w:rPr>
        <w:t xml:space="preserve">（1）单位负责人为同一人或者存在控股、管理关系的不同单位，同时参加本项目投标的； </w:t>
      </w:r>
    </w:p>
    <w:p w14:paraId="7D0F1A80">
      <w:pPr>
        <w:pStyle w:val="68"/>
        <w:rPr>
          <w:rFonts w:hint="eastAsia" w:eastAsia="仿宋_GB2312"/>
          <w:color w:val="000000"/>
          <w:sz w:val="32"/>
          <w:szCs w:val="32"/>
        </w:rPr>
      </w:pPr>
      <w:r>
        <w:rPr>
          <w:rFonts w:hint="eastAsia" w:eastAsia="仿宋_GB2312"/>
          <w:color w:val="000000"/>
          <w:sz w:val="32"/>
          <w:szCs w:val="32"/>
        </w:rPr>
        <w:t>（2）主要财产被接管或查封、冻结或者处于破产、重整、和解期间的；</w:t>
      </w:r>
    </w:p>
    <w:p w14:paraId="509830CB">
      <w:pPr>
        <w:pStyle w:val="68"/>
        <w:rPr>
          <w:rFonts w:hint="eastAsia" w:eastAsia="仿宋_GB2312"/>
          <w:color w:val="000000"/>
          <w:sz w:val="32"/>
          <w:szCs w:val="32"/>
        </w:rPr>
      </w:pPr>
      <w:r>
        <w:rPr>
          <w:rFonts w:hint="eastAsia" w:eastAsia="仿宋_GB2312"/>
          <w:color w:val="000000"/>
          <w:sz w:val="32"/>
          <w:szCs w:val="32"/>
        </w:rPr>
        <w:t>（3）处于停产停业状态、被责令停产停业期间或者停业整顿期间的；</w:t>
      </w:r>
    </w:p>
    <w:p w14:paraId="40B4A564">
      <w:pPr>
        <w:pStyle w:val="68"/>
        <w:rPr>
          <w:rFonts w:hint="eastAsia" w:eastAsia="仿宋_GB2312"/>
          <w:color w:val="000000"/>
          <w:sz w:val="32"/>
          <w:szCs w:val="32"/>
        </w:rPr>
      </w:pPr>
      <w:r>
        <w:rPr>
          <w:rFonts w:hint="eastAsia" w:eastAsia="仿宋_GB2312"/>
          <w:color w:val="000000"/>
          <w:sz w:val="32"/>
          <w:szCs w:val="32"/>
        </w:rPr>
        <w:t>（4）被法院纳入失信被执行人名单的。</w:t>
      </w:r>
    </w:p>
    <w:p w14:paraId="04378AD2">
      <w:pPr>
        <w:spacing w:before="156" w:line="600" w:lineRule="exact"/>
        <w:ind w:firstLine="640" w:firstLineChars="200"/>
        <w:rPr>
          <w:rFonts w:hint="eastAsia" w:eastAsia="仿宋_GB2312"/>
          <w:color w:val="000000"/>
          <w:sz w:val="32"/>
          <w:szCs w:val="32"/>
        </w:rPr>
      </w:pPr>
    </w:p>
    <w:p w14:paraId="0E577D95">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1B2C276">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 3 </w:t>
      </w:r>
      <w:r>
        <w:rPr>
          <w:rFonts w:hint="eastAsia" w:eastAsia="仿宋_GB2312"/>
          <w:color w:val="000000"/>
          <w:sz w:val="32"/>
          <w:szCs w:val="32"/>
        </w:rPr>
        <w:t>月</w:t>
      </w:r>
      <w:r>
        <w:rPr>
          <w:rFonts w:hint="eastAsia" w:eastAsia="仿宋_GB2312"/>
          <w:color w:val="000000"/>
          <w:sz w:val="32"/>
          <w:szCs w:val="32"/>
          <w:lang w:val="en-US" w:eastAsia="zh-CN"/>
        </w:rPr>
        <w:t xml:space="preserve"> 10 </w:t>
      </w:r>
      <w:r>
        <w:rPr>
          <w:rFonts w:hint="eastAsia" w:eastAsia="仿宋_GB2312"/>
          <w:color w:val="000000"/>
          <w:sz w:val="32"/>
          <w:szCs w:val="32"/>
        </w:rPr>
        <w:t>日</w:t>
      </w:r>
    </w:p>
    <w:p w14:paraId="7BEB223E">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47E2E593">
      <w:pPr>
        <w:pStyle w:val="255"/>
        <w:numPr>
          <w:ilvl w:val="0"/>
          <w:numId w:val="5"/>
        </w:numPr>
        <w:spacing w:before="156"/>
        <w:ind w:left="420" w:firstLineChars="0"/>
        <w:outlineLvl w:val="1"/>
        <w:rPr>
          <w:rFonts w:ascii="仿宋" w:hAnsi="仿宋" w:eastAsia="仿宋"/>
          <w:b/>
          <w:bCs/>
          <w:sz w:val="28"/>
          <w:szCs w:val="44"/>
        </w:rPr>
      </w:pPr>
      <w:bookmarkStart w:id="9" w:name="_Hlk524442005"/>
      <w:r>
        <w:rPr>
          <w:rFonts w:hint="eastAsia" w:ascii="仿宋" w:hAnsi="仿宋" w:eastAsia="仿宋"/>
          <w:b/>
          <w:bCs/>
          <w:sz w:val="28"/>
          <w:szCs w:val="44"/>
        </w:rPr>
        <w:t>密封文件袋封面</w:t>
      </w:r>
    </w:p>
    <w:p w14:paraId="440DC2C0">
      <w:pPr>
        <w:adjustRightInd w:val="0"/>
        <w:snapToGrid w:val="0"/>
        <w:spacing w:before="156"/>
        <w:jc w:val="center"/>
        <w:rPr>
          <w:rFonts w:hint="eastAsia" w:ascii="仿宋" w:hAnsi="仿宋" w:eastAsia="仿宋"/>
          <w:b/>
          <w:bCs/>
          <w:sz w:val="52"/>
          <w:szCs w:val="52"/>
          <w:lang w:eastAsia="zh-CN"/>
        </w:rPr>
      </w:pPr>
      <w:r>
        <w:rPr>
          <w:rFonts w:hint="eastAsia" w:ascii="仿宋" w:hAnsi="仿宋" w:eastAsia="仿宋"/>
          <w:b/>
          <w:bCs/>
          <w:sz w:val="52"/>
          <w:szCs w:val="52"/>
        </w:rPr>
        <w:t>海心沙环保热电厂纳米液钙试验技术服务采购项目</w:t>
      </w:r>
      <w:r>
        <w:rPr>
          <w:rFonts w:hint="eastAsia" w:ascii="仿宋" w:hAnsi="仿宋" w:eastAsia="仿宋"/>
          <w:b/>
          <w:bCs/>
          <w:sz w:val="52"/>
          <w:szCs w:val="52"/>
          <w:lang w:eastAsia="zh-CN"/>
        </w:rPr>
        <w:t>（</w:t>
      </w:r>
      <w:r>
        <w:rPr>
          <w:rFonts w:hint="eastAsia" w:ascii="仿宋" w:hAnsi="仿宋" w:eastAsia="仿宋"/>
          <w:b/>
          <w:bCs/>
          <w:sz w:val="52"/>
          <w:szCs w:val="52"/>
          <w:lang w:val="en-US" w:eastAsia="zh-CN"/>
        </w:rPr>
        <w:t>重新采购</w:t>
      </w:r>
      <w:r>
        <w:rPr>
          <w:rFonts w:hint="eastAsia" w:ascii="仿宋" w:hAnsi="仿宋" w:eastAsia="仿宋"/>
          <w:b/>
          <w:bCs/>
          <w:sz w:val="52"/>
          <w:szCs w:val="52"/>
          <w:lang w:eastAsia="zh-CN"/>
        </w:rPr>
        <w:t>）</w:t>
      </w:r>
    </w:p>
    <w:p w14:paraId="3C9279CC">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响应文件</w:t>
      </w:r>
    </w:p>
    <w:p w14:paraId="50A31D3D">
      <w:pPr>
        <w:spacing w:before="156"/>
        <w:rPr>
          <w:rFonts w:ascii="仿宋" w:hAnsi="仿宋" w:eastAsia="仿宋"/>
          <w:sz w:val="32"/>
          <w:szCs w:val="32"/>
        </w:rPr>
      </w:pPr>
    </w:p>
    <w:p w14:paraId="78A747C2">
      <w:pPr>
        <w:spacing w:before="156"/>
        <w:rPr>
          <w:rFonts w:ascii="仿宋" w:hAnsi="仿宋" w:eastAsia="仿宋"/>
          <w:sz w:val="32"/>
          <w:szCs w:val="32"/>
        </w:rPr>
      </w:pPr>
    </w:p>
    <w:p w14:paraId="377D907A">
      <w:pPr>
        <w:spacing w:before="156"/>
        <w:rPr>
          <w:rFonts w:ascii="仿宋" w:hAnsi="仿宋" w:eastAsia="仿宋"/>
          <w:sz w:val="32"/>
          <w:szCs w:val="32"/>
        </w:rPr>
      </w:pPr>
    </w:p>
    <w:p w14:paraId="7C17991D">
      <w:pPr>
        <w:spacing w:before="156"/>
        <w:rPr>
          <w:rFonts w:ascii="仿宋" w:hAnsi="仿宋" w:eastAsia="仿宋"/>
          <w:sz w:val="32"/>
          <w:szCs w:val="32"/>
        </w:rPr>
      </w:pPr>
    </w:p>
    <w:p w14:paraId="63D2274D">
      <w:pPr>
        <w:spacing w:before="156"/>
        <w:rPr>
          <w:rFonts w:ascii="仿宋" w:hAnsi="仿宋" w:eastAsia="仿宋"/>
          <w:sz w:val="32"/>
          <w:szCs w:val="32"/>
        </w:rPr>
      </w:pPr>
    </w:p>
    <w:p w14:paraId="4D63B2B5">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3F37796">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BAFE75B">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664A3DAD">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D3C6632">
      <w:pPr>
        <w:pStyle w:val="50"/>
        <w:spacing w:before="156"/>
        <w:ind w:left="0" w:leftChars="0" w:firstLine="480"/>
      </w:pPr>
    </w:p>
    <w:p w14:paraId="755FF54F">
      <w:pPr>
        <w:pStyle w:val="50"/>
        <w:spacing w:before="156"/>
        <w:ind w:left="0" w:leftChars="0" w:firstLine="480"/>
      </w:pPr>
    </w:p>
    <w:p w14:paraId="74BE1A4E">
      <w:pPr>
        <w:pStyle w:val="50"/>
        <w:spacing w:before="156"/>
        <w:ind w:left="0" w:leftChars="0" w:firstLine="480"/>
      </w:pPr>
    </w:p>
    <w:p w14:paraId="6D759CA1">
      <w:pPr>
        <w:pStyle w:val="50"/>
        <w:spacing w:before="156"/>
        <w:ind w:left="0" w:leftChars="0" w:firstLine="480"/>
      </w:pPr>
    </w:p>
    <w:p w14:paraId="10DFA8F5">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2BD37290">
      <w:pPr>
        <w:spacing w:before="156"/>
        <w:jc w:val="center"/>
        <w:rPr>
          <w:rFonts w:ascii="仿宋" w:hAnsi="仿宋" w:eastAsia="仿宋"/>
          <w:sz w:val="44"/>
          <w:szCs w:val="44"/>
        </w:rPr>
      </w:pPr>
      <w:r>
        <w:rPr>
          <w:rFonts w:ascii="仿宋" w:hAnsi="仿宋" w:eastAsia="仿宋"/>
          <w:sz w:val="44"/>
          <w:szCs w:val="44"/>
        </w:rPr>
        <w:t>报价函</w:t>
      </w:r>
    </w:p>
    <w:p w14:paraId="7AEFD777">
      <w:pPr>
        <w:spacing w:before="156"/>
        <w:ind w:firstLine="560"/>
        <w:rPr>
          <w:rFonts w:ascii="仿宋" w:hAnsi="仿宋" w:eastAsia="仿宋"/>
          <w:sz w:val="32"/>
          <w:szCs w:val="32"/>
        </w:rPr>
      </w:pPr>
    </w:p>
    <w:p w14:paraId="72D6BF0F">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73E117C9">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rPr>
        <w:t>海心沙环保热电厂纳米液钙试验技术服务采购项目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ascii="仿宋" w:hAnsi="仿宋" w:eastAsia="仿宋"/>
          <w:sz w:val="32"/>
          <w:szCs w:val="32"/>
        </w:rPr>
        <w:t>，我司愿意以</w:t>
      </w:r>
      <w:r>
        <w:rPr>
          <w:rFonts w:hint="eastAsia" w:ascii="仿宋" w:hAnsi="仿宋" w:eastAsia="仿宋"/>
          <w:sz w:val="32"/>
          <w:szCs w:val="32"/>
          <w:lang w:val="en-US" w:eastAsia="zh-CN"/>
        </w:rPr>
        <w:t>服务费单价xxx元/吨入炉垃圾，暂定</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技术服务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720EDA5F">
      <w:pPr>
        <w:spacing w:before="156"/>
        <w:rPr>
          <w:rFonts w:hint="eastAsia" w:ascii="仿宋" w:hAnsi="仿宋" w:eastAsia="仿宋"/>
          <w:sz w:val="22"/>
          <w:szCs w:val="22"/>
          <w:lang w:val="en-US" w:eastAsia="zh-CN"/>
        </w:rPr>
      </w:pPr>
      <w:r>
        <w:rPr>
          <w:rFonts w:hint="eastAsia" w:ascii="仿宋" w:hAnsi="仿宋" w:eastAsia="仿宋"/>
          <w:sz w:val="22"/>
          <w:szCs w:val="22"/>
          <w:lang w:val="en-US" w:eastAsia="zh-CN"/>
        </w:rPr>
        <w:t>注：以暂定试验天数31天、暂定入炉垃圾量按3000吨/天计算暂定总价，最终根据采购人实际需求进行试验，试验天数及入炉量不设保底，最终费用按入炉垃圾量*服务费单价据实结算。</w:t>
      </w:r>
    </w:p>
    <w:p w14:paraId="4C8152B5">
      <w:pPr>
        <w:spacing w:before="156"/>
        <w:rPr>
          <w:rFonts w:ascii="仿宋" w:hAnsi="仿宋" w:eastAsia="仿宋"/>
          <w:sz w:val="32"/>
          <w:szCs w:val="32"/>
        </w:rPr>
      </w:pPr>
    </w:p>
    <w:p w14:paraId="075344B8">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179CD549">
      <w:pPr>
        <w:wordWrap w:val="0"/>
        <w:spacing w:before="156"/>
        <w:rPr>
          <w:rFonts w:ascii="仿宋" w:hAnsi="仿宋" w:eastAsia="仿宋"/>
          <w:sz w:val="32"/>
          <w:szCs w:val="32"/>
        </w:rPr>
      </w:pPr>
      <w:r>
        <w:rPr>
          <w:rFonts w:ascii="仿宋" w:hAnsi="仿宋" w:eastAsia="仿宋"/>
          <w:sz w:val="32"/>
          <w:szCs w:val="32"/>
        </w:rPr>
        <w:t>法定代表人（签名或盖章）：</w:t>
      </w:r>
    </w:p>
    <w:p w14:paraId="78A4EF2A">
      <w:pPr>
        <w:wordWrap w:val="0"/>
        <w:spacing w:before="156"/>
        <w:rPr>
          <w:rFonts w:ascii="仿宋" w:hAnsi="仿宋" w:eastAsia="仿宋"/>
          <w:sz w:val="32"/>
          <w:szCs w:val="32"/>
        </w:rPr>
      </w:pPr>
      <w:r>
        <w:rPr>
          <w:rFonts w:ascii="仿宋" w:hAnsi="仿宋" w:eastAsia="仿宋"/>
          <w:sz w:val="32"/>
          <w:szCs w:val="32"/>
        </w:rPr>
        <w:t>联系人：</w:t>
      </w:r>
    </w:p>
    <w:p w14:paraId="3721715E">
      <w:pPr>
        <w:wordWrap w:val="0"/>
        <w:spacing w:before="156"/>
        <w:rPr>
          <w:rFonts w:ascii="仿宋" w:hAnsi="仿宋" w:eastAsia="仿宋"/>
          <w:sz w:val="32"/>
          <w:szCs w:val="32"/>
        </w:rPr>
      </w:pPr>
      <w:r>
        <w:rPr>
          <w:rFonts w:ascii="仿宋" w:hAnsi="仿宋" w:eastAsia="仿宋"/>
          <w:sz w:val="32"/>
          <w:szCs w:val="32"/>
        </w:rPr>
        <w:t>联系电话：</w:t>
      </w:r>
    </w:p>
    <w:p w14:paraId="340C9C71">
      <w:pPr>
        <w:wordWrap w:val="0"/>
        <w:spacing w:before="156"/>
        <w:rPr>
          <w:rFonts w:ascii="仿宋" w:hAnsi="仿宋" w:eastAsia="仿宋"/>
          <w:sz w:val="32"/>
          <w:szCs w:val="32"/>
        </w:rPr>
      </w:pPr>
      <w:r>
        <w:rPr>
          <w:rFonts w:ascii="仿宋" w:hAnsi="仿宋" w:eastAsia="仿宋"/>
          <w:sz w:val="32"/>
          <w:szCs w:val="32"/>
        </w:rPr>
        <w:t>日期：</w:t>
      </w:r>
    </w:p>
    <w:p w14:paraId="6356B16A">
      <w:pPr>
        <w:spacing w:before="156"/>
        <w:rPr>
          <w:rFonts w:ascii="宋体" w:hAnsi="宋体"/>
          <w:sz w:val="36"/>
          <w:szCs w:val="36"/>
        </w:rPr>
      </w:pPr>
    </w:p>
    <w:p w14:paraId="235FC663">
      <w:pPr>
        <w:widowControl/>
        <w:spacing w:beforeLines="0" w:line="240" w:lineRule="auto"/>
        <w:rPr>
          <w:rFonts w:ascii="宋体" w:hAnsi="宋体"/>
          <w:sz w:val="36"/>
          <w:szCs w:val="36"/>
        </w:rPr>
      </w:pPr>
      <w:r>
        <w:rPr>
          <w:rFonts w:ascii="宋体" w:hAnsi="宋体"/>
          <w:sz w:val="36"/>
          <w:szCs w:val="36"/>
        </w:rPr>
        <w:br w:type="page"/>
      </w:r>
    </w:p>
    <w:p w14:paraId="7F2641FB">
      <w:pPr>
        <w:spacing w:before="156"/>
        <w:jc w:val="center"/>
        <w:rPr>
          <w:rFonts w:ascii="宋体" w:hAnsi="宋体"/>
          <w:sz w:val="32"/>
          <w:szCs w:val="32"/>
        </w:rPr>
      </w:pPr>
      <w:r>
        <w:rPr>
          <w:rFonts w:hint="eastAsia" w:ascii="宋体" w:hAnsi="宋体"/>
          <w:sz w:val="36"/>
          <w:szCs w:val="36"/>
        </w:rPr>
        <w:t>报价清单（格式自拟）</w:t>
      </w:r>
    </w:p>
    <w:p w14:paraId="146979E2">
      <w:pPr>
        <w:wordWrap w:val="0"/>
        <w:spacing w:before="156"/>
        <w:rPr>
          <w:rFonts w:ascii="仿宋" w:hAnsi="仿宋" w:eastAsia="仿宋"/>
          <w:sz w:val="32"/>
          <w:szCs w:val="32"/>
        </w:rPr>
      </w:pPr>
    </w:p>
    <w:p w14:paraId="4B93D75D">
      <w:pPr>
        <w:wordWrap w:val="0"/>
        <w:spacing w:before="156"/>
        <w:rPr>
          <w:rFonts w:ascii="仿宋" w:hAnsi="仿宋" w:eastAsia="仿宋"/>
          <w:sz w:val="32"/>
          <w:szCs w:val="32"/>
        </w:rPr>
      </w:pPr>
    </w:p>
    <w:p w14:paraId="523904EA">
      <w:pPr>
        <w:wordWrap w:val="0"/>
        <w:spacing w:before="156"/>
        <w:rPr>
          <w:rFonts w:ascii="仿宋" w:hAnsi="仿宋" w:eastAsia="仿宋"/>
          <w:sz w:val="32"/>
          <w:szCs w:val="32"/>
        </w:rPr>
      </w:pPr>
    </w:p>
    <w:p w14:paraId="65F8CCD9">
      <w:pPr>
        <w:wordWrap w:val="0"/>
        <w:spacing w:before="156"/>
        <w:rPr>
          <w:rFonts w:ascii="仿宋" w:hAnsi="仿宋" w:eastAsia="仿宋"/>
          <w:sz w:val="32"/>
          <w:szCs w:val="32"/>
        </w:rPr>
      </w:pPr>
    </w:p>
    <w:p w14:paraId="47C2985D">
      <w:pPr>
        <w:wordWrap w:val="0"/>
        <w:spacing w:before="156"/>
        <w:rPr>
          <w:rFonts w:ascii="仿宋" w:hAnsi="仿宋" w:eastAsia="仿宋"/>
          <w:sz w:val="32"/>
          <w:szCs w:val="32"/>
        </w:rPr>
      </w:pPr>
    </w:p>
    <w:p w14:paraId="3FBCC7EF">
      <w:pPr>
        <w:wordWrap w:val="0"/>
        <w:spacing w:before="156"/>
        <w:rPr>
          <w:rFonts w:ascii="仿宋" w:hAnsi="仿宋" w:eastAsia="仿宋"/>
          <w:sz w:val="32"/>
          <w:szCs w:val="32"/>
        </w:rPr>
      </w:pPr>
    </w:p>
    <w:p w14:paraId="0D04270C">
      <w:pPr>
        <w:wordWrap w:val="0"/>
        <w:spacing w:before="156"/>
        <w:rPr>
          <w:rFonts w:ascii="仿宋" w:hAnsi="仿宋" w:eastAsia="仿宋"/>
          <w:sz w:val="32"/>
          <w:szCs w:val="32"/>
        </w:rPr>
      </w:pPr>
    </w:p>
    <w:p w14:paraId="0EC0A944">
      <w:pPr>
        <w:wordWrap w:val="0"/>
        <w:spacing w:before="156"/>
        <w:rPr>
          <w:rFonts w:ascii="仿宋" w:hAnsi="仿宋" w:eastAsia="仿宋"/>
          <w:sz w:val="32"/>
          <w:szCs w:val="32"/>
        </w:rPr>
      </w:pPr>
    </w:p>
    <w:p w14:paraId="2F8EE419">
      <w:pPr>
        <w:wordWrap w:val="0"/>
        <w:spacing w:before="156"/>
        <w:rPr>
          <w:rFonts w:ascii="仿宋" w:hAnsi="仿宋" w:eastAsia="仿宋"/>
          <w:sz w:val="32"/>
          <w:szCs w:val="32"/>
        </w:rPr>
      </w:pPr>
    </w:p>
    <w:p w14:paraId="2EFB7222">
      <w:pPr>
        <w:wordWrap w:val="0"/>
        <w:spacing w:before="156"/>
        <w:rPr>
          <w:rFonts w:ascii="仿宋" w:hAnsi="仿宋" w:eastAsia="仿宋"/>
          <w:sz w:val="32"/>
          <w:szCs w:val="32"/>
        </w:rPr>
      </w:pPr>
    </w:p>
    <w:p w14:paraId="181F8F70">
      <w:pPr>
        <w:wordWrap w:val="0"/>
        <w:spacing w:before="156"/>
        <w:rPr>
          <w:rFonts w:ascii="仿宋" w:hAnsi="仿宋" w:eastAsia="仿宋"/>
          <w:sz w:val="32"/>
          <w:szCs w:val="32"/>
        </w:rPr>
      </w:pPr>
    </w:p>
    <w:p w14:paraId="3889DA56">
      <w:pPr>
        <w:wordWrap w:val="0"/>
        <w:spacing w:before="156"/>
        <w:rPr>
          <w:rFonts w:ascii="仿宋" w:hAnsi="仿宋" w:eastAsia="仿宋"/>
          <w:sz w:val="32"/>
          <w:szCs w:val="32"/>
        </w:rPr>
      </w:pPr>
    </w:p>
    <w:p w14:paraId="11FA4066">
      <w:pPr>
        <w:wordWrap w:val="0"/>
        <w:spacing w:before="156"/>
        <w:rPr>
          <w:rFonts w:ascii="仿宋" w:hAnsi="仿宋" w:eastAsia="仿宋"/>
          <w:sz w:val="32"/>
          <w:szCs w:val="32"/>
        </w:rPr>
      </w:pPr>
    </w:p>
    <w:p w14:paraId="4D8BCE52">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0B26F7B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7B40B402">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09597753">
      <w:pPr>
        <w:spacing w:before="156"/>
        <w:rPr>
          <w:rFonts w:ascii="仿宋" w:hAnsi="仿宋" w:eastAsia="仿宋"/>
          <w:sz w:val="32"/>
          <w:szCs w:val="32"/>
        </w:rPr>
      </w:pPr>
    </w:p>
    <w:p w14:paraId="26E97540">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68C93FD0">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1CD5E3BE">
      <w:pPr>
        <w:spacing w:before="156"/>
        <w:ind w:firstLine="480" w:firstLineChars="150"/>
        <w:rPr>
          <w:rFonts w:ascii="仿宋" w:hAnsi="仿宋" w:eastAsia="仿宋"/>
          <w:sz w:val="32"/>
          <w:szCs w:val="32"/>
        </w:rPr>
      </w:pPr>
      <w:r>
        <w:rPr>
          <w:rFonts w:ascii="仿宋" w:hAnsi="仿宋" w:eastAsia="仿宋"/>
          <w:sz w:val="32"/>
          <w:szCs w:val="32"/>
        </w:rPr>
        <w:t>特此证明</w:t>
      </w:r>
    </w:p>
    <w:p w14:paraId="3DBFDF70">
      <w:pPr>
        <w:spacing w:before="156"/>
        <w:rPr>
          <w:rFonts w:ascii="仿宋" w:hAnsi="仿宋" w:eastAsia="仿宋"/>
          <w:sz w:val="32"/>
          <w:szCs w:val="32"/>
        </w:rPr>
      </w:pPr>
    </w:p>
    <w:p w14:paraId="27760FED">
      <w:pPr>
        <w:spacing w:before="156"/>
        <w:rPr>
          <w:rFonts w:ascii="仿宋" w:hAnsi="仿宋" w:eastAsia="仿宋"/>
          <w:sz w:val="32"/>
          <w:szCs w:val="32"/>
        </w:rPr>
      </w:pPr>
    </w:p>
    <w:p w14:paraId="13E18D5A">
      <w:pPr>
        <w:spacing w:before="156"/>
        <w:rPr>
          <w:rFonts w:ascii="仿宋" w:hAnsi="仿宋" w:eastAsia="仿宋"/>
          <w:sz w:val="32"/>
          <w:szCs w:val="32"/>
        </w:rPr>
      </w:pPr>
    </w:p>
    <w:p w14:paraId="32D765E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7A9AF74C">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5BAA9C6A">
      <w:pPr>
        <w:spacing w:before="156"/>
        <w:rPr>
          <w:rFonts w:ascii="仿宋" w:hAnsi="仿宋" w:eastAsia="仿宋"/>
          <w:sz w:val="32"/>
          <w:szCs w:val="32"/>
        </w:rPr>
      </w:pPr>
      <w:r>
        <w:rPr>
          <w:rFonts w:ascii="仿宋" w:hAnsi="仿宋" w:eastAsia="仿宋"/>
          <w:sz w:val="32"/>
          <w:szCs w:val="32"/>
        </w:rPr>
        <w:t>法定代表人（签名或盖私章）：</w:t>
      </w:r>
    </w:p>
    <w:p w14:paraId="269D0B11">
      <w:pPr>
        <w:spacing w:before="156"/>
        <w:rPr>
          <w:rFonts w:ascii="仿宋" w:hAnsi="仿宋" w:eastAsia="仿宋"/>
          <w:sz w:val="32"/>
          <w:szCs w:val="32"/>
        </w:rPr>
      </w:pPr>
      <w:r>
        <w:rPr>
          <w:rFonts w:ascii="仿宋" w:hAnsi="仿宋" w:eastAsia="仿宋"/>
          <w:sz w:val="32"/>
          <w:szCs w:val="32"/>
        </w:rPr>
        <w:t>职务：</w:t>
      </w:r>
    </w:p>
    <w:p w14:paraId="523CAEFC">
      <w:pPr>
        <w:pStyle w:val="50"/>
        <w:spacing w:before="156"/>
        <w:ind w:left="480" w:firstLine="480"/>
      </w:pPr>
      <w:r>
        <w:br w:type="page"/>
      </w:r>
    </w:p>
    <w:p w14:paraId="1227FDC2">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1B96E056">
      <w:pPr>
        <w:spacing w:before="156"/>
        <w:rPr>
          <w:rFonts w:ascii="仿宋" w:hAnsi="仿宋" w:eastAsia="仿宋"/>
          <w:sz w:val="32"/>
          <w:szCs w:val="32"/>
        </w:rPr>
      </w:pPr>
    </w:p>
    <w:p w14:paraId="25001713">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4D0612F6">
      <w:pPr>
        <w:widowControl/>
        <w:spacing w:before="156"/>
        <w:jc w:val="center"/>
        <w:rPr>
          <w:rFonts w:ascii="仿宋" w:hAnsi="仿宋" w:eastAsia="仿宋"/>
          <w:sz w:val="32"/>
          <w:szCs w:val="32"/>
        </w:rPr>
      </w:pPr>
      <w:r>
        <w:rPr>
          <w:rFonts w:ascii="仿宋" w:hAnsi="仿宋" w:eastAsia="仿宋"/>
          <w:b/>
          <w:sz w:val="32"/>
          <w:szCs w:val="32"/>
        </w:rPr>
        <w:t>授权委托书</w:t>
      </w:r>
    </w:p>
    <w:p w14:paraId="23A834D2">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4DADE7E8">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rPr>
        <w:t>海心沙环保热电厂纳米液钙试验技术服务采购项目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0BB11336">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78EE8FD6">
      <w:pPr>
        <w:pStyle w:val="256"/>
        <w:spacing w:before="156" w:line="360" w:lineRule="auto"/>
        <w:ind w:right="160" w:firstLine="0" w:firstLineChars="0"/>
        <w:rPr>
          <w:rFonts w:hint="eastAsia" w:ascii="仿宋" w:hAnsi="仿宋" w:eastAsia="仿宋"/>
          <w:sz w:val="32"/>
          <w:szCs w:val="32"/>
        </w:rPr>
      </w:pPr>
    </w:p>
    <w:p w14:paraId="42FFD06D">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1C2D0974">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7BE158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D61DF2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2D5A2FC">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2F3B28A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1539DA62">
      <w:pPr>
        <w:widowControl/>
        <w:spacing w:beforeLines="0" w:line="240" w:lineRule="auto"/>
      </w:pPr>
      <w:r>
        <w:br w:type="page"/>
      </w:r>
    </w:p>
    <w:p w14:paraId="185E0DCB">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1D2E3947">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2F7C5202">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9"/>
    <w:p w14:paraId="1786856B">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1780AE75">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C7C6D25">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1E83D4F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我司就参加海心沙环保热电厂纳米液钙试验技术服务采购项目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重新采购</w:t>
      </w:r>
      <w:r>
        <w:rPr>
          <w:rFonts w:hint="eastAsia" w:ascii="仿宋" w:hAnsi="仿宋" w:eastAsia="仿宋" w:cs="仿宋"/>
          <w:sz w:val="32"/>
          <w:szCs w:val="32"/>
          <w:lang w:eastAsia="zh-CN"/>
        </w:rPr>
        <w:t>）</w:t>
      </w:r>
      <w:r>
        <w:rPr>
          <w:rFonts w:hint="eastAsia" w:ascii="仿宋" w:hAnsi="仿宋" w:eastAsia="仿宋" w:cs="仿宋"/>
          <w:sz w:val="32"/>
          <w:szCs w:val="32"/>
        </w:rPr>
        <w:t>报价工作，作出郑重说明：</w:t>
      </w:r>
    </w:p>
    <w:p w14:paraId="406B4947">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15A0751C">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187C6B07">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0B384E5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E092A93">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1F05EF3">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683D18C">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583EFA7E">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22767C0">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667D6077">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33902E8D">
      <w:pPr>
        <w:pStyle w:val="2"/>
      </w:pPr>
    </w:p>
    <w:p w14:paraId="239A74B1">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2F8711EF">
      <w:pPr>
        <w:pStyle w:val="255"/>
        <w:numPr>
          <w:ilvl w:val="255"/>
          <w:numId w:val="0"/>
        </w:numPr>
        <w:spacing w:before="120"/>
        <w:outlineLvl w:val="1"/>
        <w:rPr>
          <w:b/>
        </w:rPr>
      </w:pPr>
      <w:r>
        <w:rPr>
          <w:rFonts w:hint="eastAsia"/>
          <w:b/>
        </w:rPr>
        <w:t>甲方合同编号：</w:t>
      </w:r>
    </w:p>
    <w:p w14:paraId="7E499AAD">
      <w:pPr>
        <w:pStyle w:val="45"/>
        <w:shd w:val="clear" w:color="auto" w:fill="FFFFFF"/>
        <w:spacing w:beforeAutospacing="0" w:afterAutospacing="0" w:line="560" w:lineRule="exact"/>
        <w:rPr>
          <w:b/>
        </w:rPr>
      </w:pPr>
      <w:r>
        <w:rPr>
          <w:rFonts w:hint="eastAsia"/>
          <w:b/>
        </w:rPr>
        <w:t>乙方合同编号：</w:t>
      </w:r>
    </w:p>
    <w:p w14:paraId="5B69EB52">
      <w:pPr>
        <w:widowControl w:val="0"/>
        <w:adjustRightInd/>
        <w:jc w:val="center"/>
        <w:rPr>
          <w:b/>
          <w:color w:val="auto"/>
          <w:sz w:val="32"/>
          <w:szCs w:val="32"/>
        </w:rPr>
      </w:pPr>
      <w:r>
        <w:rPr>
          <w:rFonts w:hint="eastAsia" w:eastAsia="仿宋_GB2312"/>
          <w:b/>
          <w:color w:val="auto"/>
          <w:sz w:val="32"/>
          <w:szCs w:val="32"/>
        </w:rPr>
        <w:t>海心沙环保热电厂纳米液钙试验技术服务采购项目合同</w:t>
      </w:r>
    </w:p>
    <w:p w14:paraId="09759EF4">
      <w:pPr>
        <w:widowControl w:val="0"/>
        <w:adjustRightInd/>
        <w:rPr>
          <w:color w:val="auto"/>
          <w:sz w:val="24"/>
          <w:szCs w:val="24"/>
        </w:rPr>
      </w:pPr>
      <w:r>
        <w:rPr>
          <w:color w:val="auto"/>
          <w:sz w:val="24"/>
          <w:szCs w:val="24"/>
        </w:rPr>
        <w:t xml:space="preserve">                                                             </w:t>
      </w:r>
    </w:p>
    <w:p w14:paraId="005FBB47">
      <w:pPr>
        <w:widowControl w:val="0"/>
        <w:adjustRightInd/>
        <w:ind w:firstLine="480" w:firstLineChars="200"/>
        <w:rPr>
          <w:bCs/>
          <w:color w:val="auto"/>
          <w:sz w:val="24"/>
          <w:szCs w:val="24"/>
        </w:rPr>
      </w:pPr>
      <w:r>
        <w:rPr>
          <w:rFonts w:hint="eastAsia"/>
          <w:bCs/>
          <w:color w:val="auto"/>
          <w:sz w:val="24"/>
          <w:szCs w:val="24"/>
        </w:rPr>
        <w:t>甲方：</w:t>
      </w:r>
      <w:r>
        <w:rPr>
          <w:bCs/>
          <w:color w:val="auto"/>
          <w:sz w:val="24"/>
          <w:szCs w:val="24"/>
        </w:rPr>
        <w:t xml:space="preserve"> </w:t>
      </w:r>
      <w:r>
        <w:rPr>
          <w:rFonts w:hint="eastAsia"/>
          <w:bCs/>
          <w:color w:val="auto"/>
          <w:sz w:val="24"/>
          <w:szCs w:val="24"/>
        </w:rPr>
        <w:t>东莞市新东元环保投资有限公司</w:t>
      </w:r>
      <w:r>
        <w:rPr>
          <w:bCs/>
          <w:color w:val="auto"/>
          <w:sz w:val="24"/>
          <w:szCs w:val="24"/>
        </w:rPr>
        <w:t xml:space="preserve"> </w:t>
      </w:r>
    </w:p>
    <w:p w14:paraId="68E7FD64">
      <w:pPr>
        <w:widowControl w:val="0"/>
        <w:adjustRightInd/>
        <w:ind w:firstLine="480" w:firstLineChars="200"/>
        <w:rPr>
          <w:color w:val="auto"/>
          <w:sz w:val="24"/>
          <w:szCs w:val="24"/>
        </w:rPr>
      </w:pPr>
      <w:r>
        <w:rPr>
          <w:rFonts w:hint="eastAsia"/>
          <w:bCs/>
          <w:color w:val="auto"/>
          <w:sz w:val="24"/>
          <w:szCs w:val="24"/>
        </w:rPr>
        <w:t>乙方：</w:t>
      </w:r>
      <w:r>
        <w:rPr>
          <w:bCs/>
          <w:color w:val="auto"/>
          <w:sz w:val="24"/>
          <w:szCs w:val="24"/>
        </w:rPr>
        <w:t xml:space="preserve"> </w:t>
      </w:r>
      <w:r>
        <w:rPr>
          <w:color w:val="auto"/>
          <w:sz w:val="24"/>
          <w:szCs w:val="24"/>
        </w:rPr>
        <w:t xml:space="preserve"> </w:t>
      </w:r>
    </w:p>
    <w:p w14:paraId="26F0CB02">
      <w:pPr>
        <w:widowControl w:val="0"/>
        <w:adjustRightInd/>
        <w:ind w:firstLine="480" w:firstLineChars="200"/>
        <w:rPr>
          <w:color w:val="auto"/>
          <w:sz w:val="24"/>
          <w:szCs w:val="24"/>
        </w:rPr>
      </w:pPr>
      <w:r>
        <w:rPr>
          <w:rFonts w:hint="eastAsia"/>
          <w:color w:val="auto"/>
          <w:sz w:val="24"/>
          <w:szCs w:val="24"/>
        </w:rPr>
        <w:t>根据《中华人民共和国民法典》及其他有关法律、法规，遵循平等、自愿、公平和诚实信用的原则，甲乙双方就</w:t>
      </w:r>
      <w:r>
        <w:rPr>
          <w:rFonts w:hint="eastAsia"/>
          <w:color w:val="auto"/>
          <w:sz w:val="24"/>
          <w:szCs w:val="24"/>
          <w:u w:val="single"/>
        </w:rPr>
        <w:t>海心沙环保热电厂纳米液钙试验技术服务采购项目</w:t>
      </w:r>
      <w:r>
        <w:rPr>
          <w:rFonts w:hint="eastAsia"/>
          <w:color w:val="auto"/>
          <w:sz w:val="24"/>
          <w:szCs w:val="24"/>
        </w:rPr>
        <w:t>的相关服务（含材料供货、安装、调试）事宜协商一致，特订立本合同，由甲乙双方共同遵守履行。</w:t>
      </w:r>
    </w:p>
    <w:p w14:paraId="7EA8D1DB">
      <w:pPr>
        <w:widowControl w:val="0"/>
        <w:adjustRightInd/>
        <w:ind w:firstLine="482" w:firstLineChars="200"/>
        <w:rPr>
          <w:b/>
          <w:color w:val="auto"/>
          <w:sz w:val="24"/>
          <w:szCs w:val="24"/>
        </w:rPr>
      </w:pPr>
      <w:bookmarkStart w:id="10" w:name="_Toc16526_WPSOffice_Level1"/>
      <w:r>
        <w:rPr>
          <w:rFonts w:hint="eastAsia"/>
          <w:b/>
          <w:color w:val="auto"/>
          <w:sz w:val="24"/>
          <w:szCs w:val="24"/>
        </w:rPr>
        <w:t>一、合同价款及要求</w:t>
      </w:r>
      <w:bookmarkEnd w:id="10"/>
    </w:p>
    <w:p w14:paraId="2D87BF5D">
      <w:pPr>
        <w:widowControl w:val="0"/>
        <w:adjustRightInd/>
        <w:ind w:firstLine="480" w:firstLineChars="200"/>
        <w:rPr>
          <w:color w:val="auto"/>
          <w:sz w:val="24"/>
          <w:szCs w:val="24"/>
        </w:rPr>
      </w:pPr>
      <w:r>
        <w:rPr>
          <w:rFonts w:hint="eastAsia"/>
          <w:color w:val="auto"/>
          <w:sz w:val="24"/>
          <w:szCs w:val="24"/>
        </w:rPr>
        <w:t>本合同固定</w:t>
      </w:r>
      <w:r>
        <w:rPr>
          <w:rFonts w:hint="eastAsia"/>
          <w:color w:val="auto"/>
          <w:sz w:val="24"/>
          <w:szCs w:val="24"/>
          <w:lang w:val="en-US" w:eastAsia="zh-CN"/>
        </w:rPr>
        <w:t>单价暂定</w:t>
      </w:r>
      <w:r>
        <w:rPr>
          <w:rFonts w:hint="eastAsia"/>
          <w:color w:val="auto"/>
          <w:sz w:val="24"/>
          <w:szCs w:val="24"/>
        </w:rPr>
        <w:t>总价包干，</w:t>
      </w:r>
      <w:r>
        <w:rPr>
          <w:rFonts w:hint="eastAsia"/>
          <w:color w:val="auto"/>
          <w:sz w:val="24"/>
          <w:szCs w:val="24"/>
          <w:lang w:val="en-US" w:eastAsia="zh-CN"/>
        </w:rPr>
        <w:t>合同服务费单价为       元/吨入炉垃圾，</w:t>
      </w:r>
      <w:r>
        <w:rPr>
          <w:rFonts w:hint="eastAsia"/>
          <w:color w:val="auto"/>
          <w:sz w:val="24"/>
          <w:szCs w:val="24"/>
        </w:rPr>
        <w:t>合同</w:t>
      </w:r>
      <w:r>
        <w:rPr>
          <w:rFonts w:hint="eastAsia"/>
          <w:color w:val="auto"/>
          <w:sz w:val="24"/>
          <w:szCs w:val="24"/>
          <w:lang w:val="en-US" w:eastAsia="zh-CN"/>
        </w:rPr>
        <w:t>暂定</w:t>
      </w:r>
      <w:r>
        <w:rPr>
          <w:rFonts w:hint="eastAsia"/>
          <w:color w:val="auto"/>
          <w:sz w:val="24"/>
          <w:szCs w:val="24"/>
        </w:rPr>
        <w:t>总服务费：￥</w:t>
      </w:r>
      <w:r>
        <w:rPr>
          <w:rFonts w:hint="eastAsia"/>
          <w:color w:val="auto"/>
          <w:sz w:val="24"/>
          <w:szCs w:val="24"/>
          <w:u w:val="single"/>
          <w:lang w:val="en-US" w:eastAsia="zh-CN"/>
        </w:rPr>
        <w:t xml:space="preserve">           </w:t>
      </w:r>
      <w:r>
        <w:rPr>
          <w:rFonts w:hint="eastAsia"/>
          <w:color w:val="auto"/>
          <w:sz w:val="24"/>
          <w:szCs w:val="24"/>
        </w:rPr>
        <w:t>元，大写：人民币</w:t>
      </w:r>
      <w:r>
        <w:rPr>
          <w:rFonts w:hint="eastAsia"/>
          <w:color w:val="auto"/>
          <w:sz w:val="24"/>
          <w:szCs w:val="24"/>
          <w:u w:val="single"/>
          <w:lang w:val="en-US" w:eastAsia="zh-CN"/>
        </w:rPr>
        <w:t xml:space="preserve">       </w:t>
      </w:r>
      <w:r>
        <w:rPr>
          <w:rFonts w:hint="eastAsia"/>
          <w:color w:val="auto"/>
          <w:sz w:val="24"/>
          <w:szCs w:val="24"/>
          <w:lang w:val="en-US" w:eastAsia="zh-CN"/>
        </w:rPr>
        <w:t>元</w:t>
      </w:r>
      <w:r>
        <w:rPr>
          <w:rFonts w:hint="eastAsia"/>
          <w:color w:val="auto"/>
          <w:sz w:val="24"/>
          <w:szCs w:val="24"/>
        </w:rPr>
        <w:t>，以暂定试验天数31天、暂定入炉垃圾量按3000吨/天计算暂定总价，最终根据</w:t>
      </w:r>
      <w:r>
        <w:rPr>
          <w:rFonts w:hint="eastAsia"/>
          <w:color w:val="auto"/>
          <w:sz w:val="24"/>
          <w:szCs w:val="24"/>
          <w:lang w:val="en-US" w:eastAsia="zh-CN"/>
        </w:rPr>
        <w:t>甲方</w:t>
      </w:r>
      <w:r>
        <w:rPr>
          <w:rFonts w:hint="eastAsia"/>
          <w:color w:val="auto"/>
          <w:sz w:val="24"/>
          <w:szCs w:val="24"/>
        </w:rPr>
        <w:t>实际需求进行试验，试验天数及入炉量不设保底，最终费用按入炉垃圾量*服务费单价据实结算</w:t>
      </w:r>
      <w:r>
        <w:rPr>
          <w:rFonts w:hint="eastAsia"/>
          <w:color w:val="auto"/>
          <w:sz w:val="24"/>
          <w:szCs w:val="24"/>
          <w:lang w:eastAsia="zh-CN"/>
        </w:rPr>
        <w:t>。</w:t>
      </w:r>
      <w:r>
        <w:rPr>
          <w:rFonts w:hint="eastAsia"/>
          <w:color w:val="auto"/>
          <w:sz w:val="24"/>
          <w:szCs w:val="24"/>
        </w:rPr>
        <w:t>费用明细详见附件</w:t>
      </w:r>
      <w:r>
        <w:rPr>
          <w:color w:val="auto"/>
          <w:sz w:val="24"/>
          <w:szCs w:val="24"/>
        </w:rPr>
        <w:t>1</w:t>
      </w:r>
      <w:r>
        <w:rPr>
          <w:rFonts w:hint="eastAsia"/>
          <w:color w:val="auto"/>
          <w:sz w:val="24"/>
          <w:szCs w:val="24"/>
        </w:rPr>
        <w:t>《报价清单》，其中增值税税率为</w:t>
      </w:r>
      <w:r>
        <w:rPr>
          <w:rFonts w:hint="eastAsia"/>
          <w:color w:val="auto"/>
          <w:sz w:val="24"/>
          <w:szCs w:val="24"/>
          <w:u w:val="single"/>
          <w:lang w:val="en-US" w:eastAsia="zh-CN"/>
        </w:rPr>
        <w:t xml:space="preserve">   </w:t>
      </w:r>
      <w:r>
        <w:rPr>
          <w:color w:val="auto"/>
          <w:sz w:val="24"/>
          <w:szCs w:val="24"/>
        </w:rPr>
        <w:t>%</w:t>
      </w:r>
      <w:r>
        <w:rPr>
          <w:rFonts w:hint="eastAsia"/>
          <w:color w:val="auto"/>
          <w:sz w:val="24"/>
          <w:szCs w:val="24"/>
        </w:rPr>
        <w:t>。合同价格含材料、安装费、</w:t>
      </w:r>
      <w:r>
        <w:rPr>
          <w:rFonts w:hint="eastAsia"/>
          <w:color w:val="auto"/>
          <w:sz w:val="24"/>
          <w:szCs w:val="24"/>
          <w:lang w:val="en-US" w:eastAsia="zh-CN"/>
        </w:rPr>
        <w:t>设备费、</w:t>
      </w:r>
      <w:r>
        <w:rPr>
          <w:rFonts w:hint="eastAsia"/>
          <w:color w:val="auto"/>
          <w:sz w:val="24"/>
          <w:szCs w:val="24"/>
        </w:rPr>
        <w:t>调试费、配件费、税费、运费、装卸</w:t>
      </w:r>
      <w:r>
        <w:rPr>
          <w:rFonts w:hint="eastAsia"/>
          <w:color w:val="auto"/>
          <w:sz w:val="24"/>
          <w:szCs w:val="24"/>
          <w:lang w:val="en-US" w:eastAsia="zh-CN"/>
        </w:rPr>
        <w:t>费</w:t>
      </w:r>
      <w:r>
        <w:rPr>
          <w:rFonts w:hint="eastAsia"/>
          <w:color w:val="auto"/>
          <w:sz w:val="24"/>
          <w:szCs w:val="24"/>
          <w:lang w:eastAsia="zh-CN"/>
        </w:rPr>
        <w:t>、</w:t>
      </w:r>
      <w:r>
        <w:rPr>
          <w:rFonts w:hint="eastAsia"/>
          <w:color w:val="auto"/>
          <w:sz w:val="24"/>
          <w:szCs w:val="24"/>
        </w:rPr>
        <w:t>人工费以及乙方履行本合同下的其他义务所应收取的全部费用，乙方无权要求甲方再支付任何费用。具体要求详见合同附件2《海心沙环保热电厂纳米液钙试验技术服务采购项目技术需求书》。</w:t>
      </w:r>
    </w:p>
    <w:p w14:paraId="4BC50F8D">
      <w:pPr>
        <w:widowControl w:val="0"/>
        <w:adjustRightInd/>
        <w:ind w:firstLine="482" w:firstLineChars="200"/>
        <w:rPr>
          <w:b/>
          <w:color w:val="auto"/>
          <w:sz w:val="24"/>
          <w:szCs w:val="24"/>
        </w:rPr>
      </w:pPr>
      <w:bookmarkStart w:id="11" w:name="_Toc30470_WPSOffice_Level1"/>
      <w:r>
        <w:rPr>
          <w:rFonts w:hint="eastAsia"/>
          <w:b/>
          <w:color w:val="auto"/>
          <w:sz w:val="24"/>
          <w:szCs w:val="24"/>
        </w:rPr>
        <w:t>二、服务时间、地点</w:t>
      </w:r>
      <w:bookmarkEnd w:id="11"/>
    </w:p>
    <w:p w14:paraId="61F279F9">
      <w:pPr>
        <w:widowControl w:val="0"/>
        <w:adjustRightInd/>
        <w:ind w:firstLine="480" w:firstLineChars="200"/>
        <w:rPr>
          <w:color w:val="auto"/>
          <w:sz w:val="24"/>
          <w:szCs w:val="24"/>
        </w:rPr>
      </w:pPr>
      <w:r>
        <w:rPr>
          <w:rFonts w:hint="eastAsia"/>
          <w:color w:val="auto"/>
          <w:sz w:val="24"/>
          <w:szCs w:val="24"/>
        </w:rPr>
        <w:t>（一）在</w:t>
      </w:r>
      <w:r>
        <w:rPr>
          <w:rFonts w:hint="eastAsia"/>
          <w:color w:val="auto"/>
          <w:sz w:val="24"/>
          <w:szCs w:val="24"/>
          <w:lang w:eastAsia="zh-CN"/>
        </w:rPr>
        <w:t>成交通知书</w:t>
      </w:r>
      <w:r>
        <w:rPr>
          <w:rFonts w:hint="eastAsia"/>
          <w:color w:val="auto"/>
          <w:sz w:val="24"/>
          <w:szCs w:val="24"/>
        </w:rPr>
        <w:t>发出2日内</w:t>
      </w:r>
      <w:r>
        <w:rPr>
          <w:rFonts w:hint="eastAsia"/>
          <w:color w:val="auto"/>
          <w:sz w:val="24"/>
          <w:szCs w:val="24"/>
          <w:lang w:val="en-US" w:eastAsia="zh-CN"/>
        </w:rPr>
        <w:t>乙方</w:t>
      </w:r>
      <w:r>
        <w:rPr>
          <w:rFonts w:hint="eastAsia"/>
          <w:color w:val="auto"/>
          <w:sz w:val="24"/>
          <w:szCs w:val="24"/>
        </w:rPr>
        <w:t>须到</w:t>
      </w:r>
      <w:r>
        <w:rPr>
          <w:rFonts w:hint="eastAsia"/>
          <w:color w:val="auto"/>
          <w:sz w:val="24"/>
          <w:szCs w:val="24"/>
          <w:lang w:val="en-US" w:eastAsia="zh-CN"/>
        </w:rPr>
        <w:t>甲方</w:t>
      </w:r>
      <w:r>
        <w:rPr>
          <w:rFonts w:hint="eastAsia"/>
          <w:color w:val="auto"/>
          <w:sz w:val="24"/>
          <w:szCs w:val="24"/>
        </w:rPr>
        <w:t>现场勘查场地情况，制定储存设施安装方案，并在</w:t>
      </w:r>
      <w:r>
        <w:rPr>
          <w:rFonts w:hint="eastAsia"/>
          <w:color w:val="auto"/>
          <w:sz w:val="24"/>
          <w:szCs w:val="24"/>
          <w:lang w:eastAsia="zh-CN"/>
        </w:rPr>
        <w:t>成交通知书</w:t>
      </w:r>
      <w:r>
        <w:rPr>
          <w:rFonts w:hint="eastAsia"/>
          <w:color w:val="auto"/>
          <w:sz w:val="24"/>
          <w:szCs w:val="24"/>
        </w:rPr>
        <w:t>发出10日内完成储存设备安装及调试。。</w:t>
      </w:r>
    </w:p>
    <w:p w14:paraId="2E3E38EC">
      <w:pPr>
        <w:widowControl w:val="0"/>
        <w:adjustRightInd/>
        <w:ind w:firstLine="480" w:firstLineChars="200"/>
        <w:rPr>
          <w:rFonts w:hint="eastAsia" w:ascii="仿宋" w:hAnsi="仿宋" w:eastAsia="宋体"/>
          <w:color w:val="auto"/>
          <w:sz w:val="32"/>
          <w:szCs w:val="32"/>
          <w:lang w:eastAsia="zh-CN"/>
        </w:rPr>
      </w:pPr>
      <w:r>
        <w:rPr>
          <w:rFonts w:hint="eastAsia"/>
          <w:color w:val="auto"/>
          <w:sz w:val="24"/>
          <w:szCs w:val="24"/>
        </w:rPr>
        <w:t>（二）服务期：</w:t>
      </w:r>
      <w:r>
        <w:rPr>
          <w:rFonts w:hint="eastAsia"/>
          <w:color w:val="auto"/>
          <w:sz w:val="24"/>
          <w:szCs w:val="24"/>
          <w:lang w:val="en-US" w:eastAsia="zh-CN"/>
        </w:rPr>
        <w:t>乙方</w:t>
      </w:r>
      <w:r>
        <w:rPr>
          <w:rFonts w:hint="eastAsia"/>
          <w:color w:val="auto"/>
          <w:sz w:val="24"/>
          <w:szCs w:val="24"/>
        </w:rPr>
        <w:t>完成设备调试并确保现场达到试验条件后，自</w:t>
      </w:r>
      <w:r>
        <w:rPr>
          <w:rFonts w:hint="eastAsia"/>
          <w:color w:val="auto"/>
          <w:sz w:val="24"/>
          <w:szCs w:val="24"/>
          <w:lang w:val="en-US" w:eastAsia="zh-CN"/>
        </w:rPr>
        <w:t>甲方</w:t>
      </w:r>
      <w:r>
        <w:rPr>
          <w:rFonts w:hint="eastAsia"/>
          <w:color w:val="auto"/>
          <w:sz w:val="24"/>
          <w:szCs w:val="24"/>
        </w:rPr>
        <w:t>通知启动试验之日起，暂定预计试验31天，具体天数根据试验情况</w:t>
      </w:r>
      <w:r>
        <w:rPr>
          <w:rFonts w:hint="eastAsia"/>
          <w:color w:val="auto"/>
          <w:sz w:val="24"/>
          <w:szCs w:val="24"/>
          <w:lang w:val="en-US" w:eastAsia="zh-CN"/>
        </w:rPr>
        <w:t>由甲方</w:t>
      </w:r>
      <w:r>
        <w:rPr>
          <w:rFonts w:hint="eastAsia"/>
          <w:color w:val="auto"/>
          <w:sz w:val="24"/>
          <w:szCs w:val="24"/>
        </w:rPr>
        <w:t>进行调整</w:t>
      </w:r>
      <w:r>
        <w:rPr>
          <w:rFonts w:hint="eastAsia"/>
          <w:color w:val="auto"/>
          <w:sz w:val="24"/>
          <w:szCs w:val="24"/>
          <w:lang w:eastAsia="zh-CN"/>
        </w:rPr>
        <w:t>。</w:t>
      </w:r>
    </w:p>
    <w:p w14:paraId="241A8C0E">
      <w:pPr>
        <w:widowControl w:val="0"/>
        <w:adjustRightInd/>
        <w:ind w:firstLine="480" w:firstLineChars="200"/>
        <w:rPr>
          <w:color w:val="auto"/>
          <w:sz w:val="24"/>
          <w:szCs w:val="24"/>
        </w:rPr>
      </w:pPr>
      <w:r>
        <w:rPr>
          <w:rFonts w:hint="eastAsia"/>
          <w:color w:val="auto"/>
          <w:sz w:val="24"/>
          <w:szCs w:val="24"/>
        </w:rPr>
        <w:t>（三）服务地点：东莞市麻涌镇大步村海心沙岛。</w:t>
      </w:r>
    </w:p>
    <w:p w14:paraId="297BB227">
      <w:pPr>
        <w:widowControl w:val="0"/>
        <w:adjustRightInd/>
        <w:ind w:firstLine="482" w:firstLineChars="200"/>
        <w:rPr>
          <w:b/>
          <w:color w:val="auto"/>
          <w:sz w:val="24"/>
          <w:szCs w:val="24"/>
        </w:rPr>
      </w:pPr>
      <w:bookmarkStart w:id="12" w:name="_Toc28374_WPSOffice_Level1"/>
      <w:r>
        <w:rPr>
          <w:rFonts w:hint="eastAsia"/>
          <w:b/>
          <w:color w:val="auto"/>
          <w:sz w:val="24"/>
          <w:szCs w:val="24"/>
        </w:rPr>
        <w:t>三、付款方式</w:t>
      </w:r>
      <w:bookmarkEnd w:id="12"/>
    </w:p>
    <w:p w14:paraId="24C3EE91">
      <w:pPr>
        <w:widowControl w:val="0"/>
        <w:adjustRightInd/>
        <w:ind w:firstLine="480" w:firstLineChars="200"/>
        <w:outlineLvl w:val="1"/>
        <w:rPr>
          <w:rFonts w:hint="eastAsia"/>
          <w:bCs/>
          <w:color w:val="auto"/>
          <w:sz w:val="24"/>
          <w:szCs w:val="24"/>
        </w:rPr>
      </w:pPr>
      <w:r>
        <w:rPr>
          <w:rFonts w:hint="eastAsia"/>
          <w:bCs/>
          <w:color w:val="auto"/>
          <w:sz w:val="24"/>
          <w:szCs w:val="24"/>
        </w:rPr>
        <w:t>（一）</w:t>
      </w:r>
      <w:r>
        <w:rPr>
          <w:rFonts w:hint="eastAsia"/>
          <w:bCs/>
          <w:color w:val="auto"/>
          <w:sz w:val="24"/>
          <w:szCs w:val="24"/>
          <w:lang w:val="en-US" w:eastAsia="zh-CN"/>
        </w:rPr>
        <w:t>乙方完成</w:t>
      </w:r>
      <w:r>
        <w:rPr>
          <w:rFonts w:hint="eastAsia"/>
          <w:color w:val="auto"/>
          <w:sz w:val="24"/>
          <w:szCs w:val="24"/>
        </w:rPr>
        <w:t>储存设备安装及调试</w:t>
      </w:r>
      <w:r>
        <w:rPr>
          <w:rFonts w:hint="eastAsia"/>
          <w:color w:val="auto"/>
          <w:sz w:val="24"/>
          <w:szCs w:val="24"/>
          <w:lang w:eastAsia="zh-CN"/>
        </w:rPr>
        <w:t>，</w:t>
      </w:r>
      <w:r>
        <w:rPr>
          <w:rFonts w:hint="eastAsia"/>
          <w:bCs/>
          <w:color w:val="auto"/>
          <w:sz w:val="24"/>
          <w:szCs w:val="24"/>
        </w:rPr>
        <w:t>相关性能指标满足</w:t>
      </w:r>
      <w:r>
        <w:rPr>
          <w:rFonts w:hint="eastAsia"/>
          <w:bCs/>
          <w:color w:val="auto"/>
          <w:sz w:val="24"/>
          <w:szCs w:val="24"/>
          <w:lang w:val="en-US" w:eastAsia="zh-CN"/>
        </w:rPr>
        <w:t>甲方</w:t>
      </w:r>
      <w:r>
        <w:rPr>
          <w:rFonts w:hint="eastAsia"/>
          <w:bCs/>
          <w:color w:val="auto"/>
          <w:sz w:val="24"/>
          <w:szCs w:val="24"/>
        </w:rPr>
        <w:t>技术要求</w:t>
      </w:r>
      <w:r>
        <w:rPr>
          <w:rFonts w:hint="eastAsia"/>
          <w:color w:val="auto"/>
          <w:sz w:val="24"/>
          <w:szCs w:val="24"/>
          <w:lang w:val="en-US" w:eastAsia="zh-CN"/>
        </w:rPr>
        <w:t>并</w:t>
      </w:r>
      <w:r>
        <w:rPr>
          <w:rFonts w:hint="eastAsia"/>
          <w:bCs/>
          <w:color w:val="auto"/>
          <w:sz w:val="24"/>
          <w:szCs w:val="24"/>
        </w:rPr>
        <w:t>协助</w:t>
      </w:r>
      <w:r>
        <w:rPr>
          <w:rFonts w:hint="eastAsia"/>
          <w:bCs/>
          <w:color w:val="auto"/>
          <w:sz w:val="24"/>
          <w:szCs w:val="24"/>
          <w:lang w:val="en-US" w:eastAsia="zh-CN"/>
        </w:rPr>
        <w:t>甲方</w:t>
      </w:r>
      <w:r>
        <w:rPr>
          <w:rFonts w:hint="eastAsia"/>
          <w:bCs/>
          <w:color w:val="auto"/>
          <w:sz w:val="24"/>
          <w:szCs w:val="24"/>
        </w:rPr>
        <w:t>完成纳米液钙试验服务工作</w:t>
      </w:r>
      <w:r>
        <w:rPr>
          <w:rFonts w:hint="eastAsia"/>
          <w:bCs/>
          <w:color w:val="auto"/>
          <w:sz w:val="24"/>
          <w:szCs w:val="24"/>
          <w:lang w:val="en-US" w:eastAsia="zh-CN"/>
        </w:rPr>
        <w:t>后</w:t>
      </w:r>
      <w:r>
        <w:rPr>
          <w:rFonts w:hint="eastAsia"/>
          <w:bCs/>
          <w:color w:val="auto"/>
          <w:sz w:val="24"/>
          <w:szCs w:val="24"/>
        </w:rPr>
        <w:t>，</w:t>
      </w:r>
      <w:r>
        <w:rPr>
          <w:rFonts w:hint="eastAsia"/>
          <w:bCs/>
          <w:color w:val="auto"/>
          <w:sz w:val="24"/>
          <w:szCs w:val="24"/>
          <w:lang w:val="en-US" w:eastAsia="zh-CN"/>
        </w:rPr>
        <w:t>乙方</w:t>
      </w:r>
      <w:r>
        <w:rPr>
          <w:rFonts w:hint="eastAsia"/>
          <w:bCs/>
          <w:color w:val="auto"/>
          <w:sz w:val="24"/>
          <w:szCs w:val="24"/>
        </w:rPr>
        <w:t>提交请款资料及</w:t>
      </w:r>
      <w:r>
        <w:rPr>
          <w:rFonts w:hint="eastAsia"/>
          <w:bCs/>
          <w:color w:val="auto"/>
          <w:sz w:val="24"/>
          <w:szCs w:val="24"/>
          <w:lang w:val="en-US" w:eastAsia="zh-CN"/>
        </w:rPr>
        <w:t>结算</w:t>
      </w:r>
      <w:r>
        <w:rPr>
          <w:rFonts w:hint="eastAsia"/>
          <w:bCs/>
          <w:color w:val="auto"/>
          <w:sz w:val="24"/>
          <w:szCs w:val="24"/>
        </w:rPr>
        <w:t>金额100%的增值税专用发票，</w:t>
      </w:r>
      <w:r>
        <w:rPr>
          <w:rFonts w:hint="eastAsia"/>
          <w:bCs/>
          <w:color w:val="auto"/>
          <w:sz w:val="24"/>
          <w:szCs w:val="24"/>
          <w:lang w:val="en-US" w:eastAsia="zh-CN"/>
        </w:rPr>
        <w:t>甲方</w:t>
      </w:r>
      <w:r>
        <w:rPr>
          <w:rFonts w:hint="eastAsia"/>
          <w:bCs/>
          <w:color w:val="auto"/>
          <w:sz w:val="24"/>
          <w:szCs w:val="24"/>
        </w:rPr>
        <w:t>在收到上述有效资料之日起30个工作日内支付至</w:t>
      </w:r>
      <w:r>
        <w:rPr>
          <w:rFonts w:hint="eastAsia"/>
          <w:bCs/>
          <w:color w:val="auto"/>
          <w:sz w:val="24"/>
          <w:szCs w:val="24"/>
          <w:lang w:val="en-US" w:eastAsia="zh-CN"/>
        </w:rPr>
        <w:t>结算</w:t>
      </w:r>
      <w:r>
        <w:rPr>
          <w:rFonts w:hint="eastAsia"/>
          <w:bCs/>
          <w:color w:val="auto"/>
          <w:sz w:val="24"/>
          <w:szCs w:val="24"/>
        </w:rPr>
        <w:t>金额的100%</w:t>
      </w:r>
    </w:p>
    <w:p w14:paraId="49EFE760">
      <w:pPr>
        <w:widowControl w:val="0"/>
        <w:adjustRightInd/>
        <w:ind w:firstLine="480" w:firstLineChars="200"/>
        <w:outlineLvl w:val="1"/>
        <w:rPr>
          <w:bCs/>
          <w:color w:val="auto"/>
          <w:sz w:val="24"/>
          <w:szCs w:val="24"/>
        </w:rPr>
      </w:pPr>
      <w:r>
        <w:rPr>
          <w:rFonts w:hint="eastAsia"/>
          <w:bCs/>
          <w:color w:val="auto"/>
          <w:sz w:val="24"/>
          <w:szCs w:val="24"/>
        </w:rPr>
        <w:t>（三）开标结束后，</w:t>
      </w:r>
      <w:r>
        <w:rPr>
          <w:rFonts w:hint="eastAsia"/>
          <w:bCs/>
          <w:color w:val="auto"/>
          <w:sz w:val="24"/>
          <w:szCs w:val="24"/>
          <w:lang w:val="en-US" w:eastAsia="zh-CN"/>
        </w:rPr>
        <w:t>乙方</w:t>
      </w:r>
      <w:r>
        <w:rPr>
          <w:rFonts w:hint="eastAsia"/>
          <w:bCs/>
          <w:color w:val="auto"/>
          <w:sz w:val="24"/>
          <w:szCs w:val="24"/>
        </w:rPr>
        <w:t>需</w:t>
      </w:r>
      <w:r>
        <w:rPr>
          <w:rFonts w:hint="eastAsia"/>
          <w:bCs/>
          <w:color w:val="auto"/>
          <w:sz w:val="24"/>
          <w:szCs w:val="24"/>
          <w:lang w:val="en-US" w:eastAsia="zh-CN"/>
        </w:rPr>
        <w:t>向甲方</w:t>
      </w:r>
      <w:r>
        <w:rPr>
          <w:rFonts w:hint="eastAsia"/>
          <w:bCs/>
          <w:color w:val="auto"/>
          <w:sz w:val="24"/>
          <w:szCs w:val="24"/>
        </w:rPr>
        <w:t>缴纳人民币2,698.00元作为</w:t>
      </w:r>
      <w:r>
        <w:rPr>
          <w:rFonts w:hint="eastAsia"/>
          <w:bCs/>
          <w:color w:val="auto"/>
          <w:sz w:val="24"/>
          <w:szCs w:val="24"/>
          <w:lang w:val="en-US" w:eastAsia="zh-CN"/>
        </w:rPr>
        <w:t>履约</w:t>
      </w:r>
      <w:r>
        <w:rPr>
          <w:rFonts w:hint="eastAsia"/>
          <w:bCs/>
          <w:color w:val="auto"/>
          <w:sz w:val="24"/>
          <w:szCs w:val="24"/>
        </w:rPr>
        <w:t>保证金，履约保证金作为履行合同的担保，</w:t>
      </w:r>
      <w:r>
        <w:rPr>
          <w:rFonts w:hint="eastAsia"/>
          <w:bCs/>
          <w:color w:val="auto"/>
          <w:sz w:val="24"/>
          <w:szCs w:val="24"/>
          <w:lang w:val="en-US" w:eastAsia="zh-CN"/>
        </w:rPr>
        <w:t>乙方</w:t>
      </w:r>
      <w:r>
        <w:rPr>
          <w:rFonts w:hint="eastAsia"/>
          <w:bCs/>
          <w:color w:val="auto"/>
          <w:sz w:val="24"/>
          <w:szCs w:val="24"/>
        </w:rPr>
        <w:t>缴存的履约保证金作为</w:t>
      </w:r>
      <w:r>
        <w:rPr>
          <w:rFonts w:hint="eastAsia"/>
          <w:bCs/>
          <w:color w:val="auto"/>
          <w:sz w:val="24"/>
          <w:szCs w:val="24"/>
          <w:lang w:val="en-US" w:eastAsia="zh-CN"/>
        </w:rPr>
        <w:t>甲方</w:t>
      </w:r>
      <w:r>
        <w:rPr>
          <w:rFonts w:hint="eastAsia"/>
          <w:bCs/>
          <w:color w:val="auto"/>
          <w:sz w:val="24"/>
          <w:szCs w:val="24"/>
        </w:rPr>
        <w:t>垫付</w:t>
      </w:r>
      <w:r>
        <w:rPr>
          <w:rFonts w:hint="eastAsia"/>
          <w:bCs/>
          <w:color w:val="auto"/>
          <w:sz w:val="24"/>
          <w:szCs w:val="24"/>
          <w:lang w:val="en-US" w:eastAsia="zh-CN"/>
        </w:rPr>
        <w:t>乙方</w:t>
      </w:r>
      <w:r>
        <w:rPr>
          <w:rFonts w:hint="eastAsia"/>
          <w:bCs/>
          <w:color w:val="auto"/>
          <w:sz w:val="24"/>
          <w:szCs w:val="24"/>
        </w:rPr>
        <w:t>服务过程中产生应由</w:t>
      </w:r>
      <w:r>
        <w:rPr>
          <w:rFonts w:hint="eastAsia"/>
          <w:bCs/>
          <w:color w:val="auto"/>
          <w:sz w:val="24"/>
          <w:szCs w:val="24"/>
          <w:lang w:val="en-US" w:eastAsia="zh-CN"/>
        </w:rPr>
        <w:t>乙方</w:t>
      </w:r>
      <w:r>
        <w:rPr>
          <w:rFonts w:hint="eastAsia"/>
          <w:bCs/>
          <w:color w:val="auto"/>
          <w:sz w:val="24"/>
          <w:szCs w:val="24"/>
        </w:rPr>
        <w:t>支付的费用或违约罚款的来源。履约保证金返还申请时间为项目竣工验收合格之日后，</w:t>
      </w:r>
      <w:r>
        <w:rPr>
          <w:rFonts w:hint="eastAsia"/>
          <w:bCs/>
          <w:color w:val="auto"/>
          <w:sz w:val="24"/>
          <w:szCs w:val="24"/>
          <w:lang w:val="en-US" w:eastAsia="zh-CN"/>
        </w:rPr>
        <w:t>乙方</w:t>
      </w:r>
      <w:r>
        <w:rPr>
          <w:rFonts w:hint="eastAsia"/>
          <w:bCs/>
          <w:color w:val="auto"/>
          <w:sz w:val="24"/>
          <w:szCs w:val="24"/>
        </w:rPr>
        <w:t>没有任何违约的情况下由</w:t>
      </w:r>
      <w:r>
        <w:rPr>
          <w:rFonts w:hint="eastAsia"/>
          <w:bCs/>
          <w:color w:val="auto"/>
          <w:sz w:val="24"/>
          <w:szCs w:val="24"/>
          <w:lang w:val="en-US" w:eastAsia="zh-CN"/>
        </w:rPr>
        <w:t>乙方</w:t>
      </w:r>
      <w:r>
        <w:rPr>
          <w:rFonts w:hint="eastAsia"/>
          <w:bCs/>
          <w:color w:val="auto"/>
          <w:sz w:val="24"/>
          <w:szCs w:val="24"/>
        </w:rPr>
        <w:t>提交退款申请，收到</w:t>
      </w:r>
      <w:r>
        <w:rPr>
          <w:rFonts w:hint="eastAsia"/>
          <w:bCs/>
          <w:color w:val="auto"/>
          <w:sz w:val="24"/>
          <w:szCs w:val="24"/>
          <w:lang w:val="en-US" w:eastAsia="zh-CN"/>
        </w:rPr>
        <w:t>乙方</w:t>
      </w:r>
      <w:r>
        <w:rPr>
          <w:rFonts w:hint="eastAsia"/>
          <w:bCs/>
          <w:color w:val="auto"/>
          <w:sz w:val="24"/>
          <w:szCs w:val="24"/>
        </w:rPr>
        <w:t>申请后30个日历日内，</w:t>
      </w:r>
      <w:r>
        <w:rPr>
          <w:rFonts w:hint="eastAsia"/>
          <w:bCs/>
          <w:color w:val="auto"/>
          <w:sz w:val="24"/>
          <w:szCs w:val="24"/>
          <w:lang w:val="en-US" w:eastAsia="zh-CN"/>
        </w:rPr>
        <w:t>甲方</w:t>
      </w:r>
      <w:r>
        <w:rPr>
          <w:rFonts w:hint="eastAsia"/>
          <w:bCs/>
          <w:color w:val="auto"/>
          <w:sz w:val="24"/>
          <w:szCs w:val="24"/>
        </w:rPr>
        <w:t>一次性无息退回。</w:t>
      </w:r>
    </w:p>
    <w:p w14:paraId="138C2D1D">
      <w:pPr>
        <w:widowControl w:val="0"/>
        <w:adjustRightInd/>
        <w:ind w:firstLine="480" w:firstLineChars="200"/>
        <w:rPr>
          <w:bCs/>
          <w:color w:val="auto"/>
          <w:sz w:val="24"/>
          <w:szCs w:val="24"/>
        </w:rPr>
      </w:pPr>
      <w:r>
        <w:rPr>
          <w:rFonts w:hint="eastAsia"/>
          <w:bCs/>
          <w:color w:val="auto"/>
          <w:sz w:val="24"/>
          <w:szCs w:val="24"/>
        </w:rPr>
        <w:t>（三）乙方的收款账户信息如下：</w:t>
      </w:r>
    </w:p>
    <w:p w14:paraId="03AB5FD8">
      <w:pPr>
        <w:widowControl w:val="0"/>
        <w:adjustRightInd/>
        <w:ind w:firstLine="480" w:firstLineChars="200"/>
        <w:rPr>
          <w:color w:val="auto"/>
          <w:sz w:val="24"/>
          <w:szCs w:val="24"/>
        </w:rPr>
      </w:pPr>
      <w:r>
        <w:rPr>
          <w:rFonts w:hint="eastAsia"/>
          <w:color w:val="auto"/>
          <w:sz w:val="24"/>
          <w:szCs w:val="24"/>
        </w:rPr>
        <w:t>开户银行：</w:t>
      </w:r>
    </w:p>
    <w:p w14:paraId="60889EAF">
      <w:pPr>
        <w:widowControl w:val="0"/>
        <w:adjustRightInd/>
        <w:ind w:firstLine="480" w:firstLineChars="200"/>
        <w:rPr>
          <w:color w:val="auto"/>
          <w:sz w:val="24"/>
          <w:szCs w:val="24"/>
        </w:rPr>
      </w:pPr>
      <w:r>
        <w:rPr>
          <w:rFonts w:hint="eastAsia"/>
          <w:color w:val="auto"/>
          <w:sz w:val="24"/>
          <w:szCs w:val="24"/>
        </w:rPr>
        <w:t>开户行账号：</w:t>
      </w:r>
      <w:r>
        <w:rPr>
          <w:color w:val="auto"/>
          <w:sz w:val="24"/>
          <w:szCs w:val="24"/>
        </w:rPr>
        <w:t xml:space="preserve"> </w:t>
      </w:r>
    </w:p>
    <w:p w14:paraId="743C88C5">
      <w:pPr>
        <w:widowControl w:val="0"/>
        <w:adjustRightInd/>
        <w:ind w:firstLine="480" w:firstLineChars="200"/>
        <w:rPr>
          <w:color w:val="auto"/>
          <w:sz w:val="24"/>
          <w:szCs w:val="24"/>
        </w:rPr>
      </w:pPr>
      <w:r>
        <w:rPr>
          <w:rFonts w:hint="eastAsia"/>
          <w:color w:val="auto"/>
          <w:sz w:val="24"/>
          <w:szCs w:val="24"/>
        </w:rPr>
        <w:t>收款单位名：</w:t>
      </w:r>
    </w:p>
    <w:p w14:paraId="5157EEAB">
      <w:pPr>
        <w:widowControl w:val="0"/>
        <w:adjustRightInd/>
        <w:ind w:firstLine="480" w:firstLineChars="200"/>
        <w:rPr>
          <w:color w:val="auto"/>
          <w:sz w:val="24"/>
          <w:szCs w:val="24"/>
        </w:rPr>
      </w:pPr>
      <w:r>
        <w:rPr>
          <w:rFonts w:hint="eastAsia"/>
          <w:color w:val="auto"/>
          <w:sz w:val="24"/>
          <w:szCs w:val="24"/>
        </w:rPr>
        <w:t>收款单位统一社会信用代码（纳税人识别号）：</w:t>
      </w:r>
    </w:p>
    <w:p w14:paraId="356BEEC3">
      <w:pPr>
        <w:widowControl w:val="0"/>
        <w:adjustRightInd/>
        <w:ind w:firstLine="480" w:firstLineChars="200"/>
        <w:rPr>
          <w:color w:val="auto"/>
          <w:sz w:val="24"/>
          <w:szCs w:val="24"/>
        </w:rPr>
      </w:pPr>
      <w:r>
        <w:rPr>
          <w:rFonts w:hint="eastAsia"/>
          <w:color w:val="auto"/>
          <w:sz w:val="24"/>
          <w:szCs w:val="24"/>
        </w:rPr>
        <w:t>注：（1）因乙方收款账户信息填写错误、变更账户、账户被冻结等非甲方原因，导致乙方未能收到本合同款项的，甲方不承担责任；</w:t>
      </w:r>
    </w:p>
    <w:p w14:paraId="08B3841D">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kern w:val="2"/>
          <w:sz w:val="24"/>
          <w:szCs w:val="24"/>
          <w:lang w:val="en-US" w:eastAsia="zh-CN" w:bidi="ar-SA"/>
        </w:rPr>
        <w:t>如因乙方未按照本合同约定提供相关结算材料或未满足付款条件的，甲方有权拒绝付款并不承担任何违约责任。如乙方出具虚假违规发票，导致甲方受到经济处罚，乙方应向甲方赔偿因此遭受的全部损失，并承担相应的违约责任。</w:t>
      </w:r>
    </w:p>
    <w:p w14:paraId="69DFF4C5">
      <w:pPr>
        <w:widowControl w:val="0"/>
        <w:adjustRightInd/>
        <w:ind w:firstLine="482" w:firstLineChars="200"/>
        <w:rPr>
          <w:bCs/>
          <w:color w:val="auto"/>
          <w:sz w:val="24"/>
          <w:szCs w:val="24"/>
        </w:rPr>
      </w:pPr>
      <w:bookmarkStart w:id="13" w:name="_Toc25644_WPSOffice_Level1"/>
      <w:r>
        <w:rPr>
          <w:rFonts w:hint="eastAsia"/>
          <w:b/>
          <w:color w:val="auto"/>
          <w:sz w:val="24"/>
          <w:szCs w:val="24"/>
        </w:rPr>
        <w:t>四、材料的验收和服务</w:t>
      </w:r>
      <w:bookmarkEnd w:id="13"/>
    </w:p>
    <w:p w14:paraId="4FBE1829">
      <w:pPr>
        <w:widowControl w:val="0"/>
        <w:adjustRightInd/>
        <w:ind w:firstLine="480" w:firstLineChars="200"/>
        <w:rPr>
          <w:bCs/>
          <w:color w:val="auto"/>
          <w:sz w:val="24"/>
          <w:szCs w:val="24"/>
        </w:rPr>
      </w:pPr>
      <w:r>
        <w:rPr>
          <w:rFonts w:hint="eastAsia"/>
          <w:bCs/>
          <w:color w:val="auto"/>
          <w:sz w:val="24"/>
          <w:szCs w:val="24"/>
        </w:rPr>
        <w:t>（一）材料送达甲方指定地点并按甲方现场要求完成</w:t>
      </w:r>
      <w:r>
        <w:rPr>
          <w:rFonts w:hint="eastAsia"/>
          <w:color w:val="auto"/>
          <w:sz w:val="24"/>
          <w:szCs w:val="24"/>
        </w:rPr>
        <w:t>储存设备安装及调试</w:t>
      </w:r>
      <w:r>
        <w:rPr>
          <w:rFonts w:hint="eastAsia"/>
          <w:bCs/>
          <w:color w:val="auto"/>
          <w:sz w:val="24"/>
          <w:szCs w:val="24"/>
        </w:rPr>
        <w:t>、调试服务合格后，在甲乙双方共同参加下进行验收，</w:t>
      </w:r>
      <w:r>
        <w:rPr>
          <w:rFonts w:hint="eastAsia"/>
          <w:color w:val="auto"/>
          <w:sz w:val="24"/>
          <w:szCs w:val="24"/>
        </w:rPr>
        <w:t>采购文件、报价文件、合同、厂家货物技术标准说明及国家有关的质量和环保标准规定，均为验收依据。验收过程所发生的一切费用由乙方承担，并签署项目验收报告</w:t>
      </w:r>
      <w:r>
        <w:rPr>
          <w:rFonts w:hint="eastAsia"/>
          <w:bCs/>
          <w:color w:val="auto"/>
          <w:sz w:val="24"/>
          <w:szCs w:val="24"/>
        </w:rPr>
        <w:t>。</w:t>
      </w:r>
    </w:p>
    <w:p w14:paraId="4AB1BAA1">
      <w:pPr>
        <w:widowControl w:val="0"/>
        <w:adjustRightInd/>
        <w:ind w:firstLine="480" w:firstLineChars="200"/>
        <w:rPr>
          <w:color w:val="auto"/>
          <w:sz w:val="24"/>
          <w:szCs w:val="24"/>
        </w:rPr>
      </w:pPr>
      <w:r>
        <w:rPr>
          <w:rFonts w:hint="eastAsia"/>
          <w:color w:val="auto"/>
          <w:sz w:val="24"/>
          <w:szCs w:val="24"/>
        </w:rPr>
        <w:t>（二）材料的包装应满足附件2《海心沙环保热电厂纳米液钙试验技术服务采购项目技术需求书》，均应有良好的防湿、防锈、防潮、防雨、防腐及防碰撞的措施，</w:t>
      </w:r>
      <w:r>
        <w:rPr>
          <w:rFonts w:hint="eastAsia"/>
          <w:bCs/>
          <w:color w:val="auto"/>
          <w:sz w:val="24"/>
          <w:szCs w:val="24"/>
        </w:rPr>
        <w:t>在正常情况下能够保证材料的完好</w:t>
      </w:r>
      <w:r>
        <w:rPr>
          <w:rFonts w:hint="eastAsia"/>
          <w:color w:val="auto"/>
          <w:sz w:val="24"/>
          <w:szCs w:val="24"/>
        </w:rPr>
        <w:t>。凡由于包装不良造成的损失和由此产生的费用均由乙方承担。</w:t>
      </w:r>
    </w:p>
    <w:p w14:paraId="1F51953F">
      <w:pPr>
        <w:widowControl w:val="0"/>
        <w:adjustRightInd/>
        <w:ind w:firstLine="480" w:firstLineChars="200"/>
        <w:rPr>
          <w:color w:val="auto"/>
          <w:sz w:val="24"/>
          <w:szCs w:val="24"/>
        </w:rPr>
      </w:pPr>
      <w:r>
        <w:rPr>
          <w:rFonts w:hint="eastAsia"/>
          <w:color w:val="auto"/>
          <w:sz w:val="24"/>
          <w:szCs w:val="24"/>
        </w:rPr>
        <w:t>（三）验收按国家有关的规定、规范进行。验收时如发现乙方所交付的材料存在任何质量问题或不符合国家有关的规定、规范、行业标准或其它不符合本合同规定之情形者，甲方有权要求乙方立即予以更换或退货。如甲方选择更换的，乙方应在</w:t>
      </w:r>
      <w:r>
        <w:rPr>
          <w:color w:val="auto"/>
          <w:sz w:val="24"/>
          <w:szCs w:val="24"/>
        </w:rPr>
        <w:t>10</w:t>
      </w:r>
      <w:r>
        <w:rPr>
          <w:rFonts w:hint="eastAsia"/>
          <w:color w:val="auto"/>
          <w:sz w:val="24"/>
          <w:szCs w:val="24"/>
        </w:rPr>
        <w:t>个日历日内更换，并且承担甲方由此产生的费用或损失，逾期则按照第六条第（一）款向甲方承担违约责任。如甲方选择退货的，甲方无须向乙方支付任何费用，并有权要求乙方支付合同总金额</w:t>
      </w:r>
      <w:r>
        <w:rPr>
          <w:color w:val="auto"/>
          <w:sz w:val="24"/>
          <w:szCs w:val="24"/>
        </w:rPr>
        <w:t>20%</w:t>
      </w:r>
      <w:r>
        <w:rPr>
          <w:rFonts w:hint="eastAsia"/>
          <w:color w:val="auto"/>
          <w:sz w:val="24"/>
          <w:szCs w:val="24"/>
        </w:rPr>
        <w:t>的违约金，违约金不足以赔偿因此给甲方造成的损失的，甲方有权另行追偿。</w:t>
      </w:r>
    </w:p>
    <w:p w14:paraId="17D754CD">
      <w:pPr>
        <w:widowControl w:val="0"/>
        <w:adjustRightInd/>
        <w:ind w:firstLine="480" w:firstLineChars="200"/>
        <w:rPr>
          <w:color w:val="auto"/>
          <w:sz w:val="24"/>
          <w:szCs w:val="24"/>
        </w:rPr>
      </w:pPr>
      <w:r>
        <w:rPr>
          <w:rFonts w:hint="eastAsia"/>
          <w:color w:val="auto"/>
          <w:sz w:val="24"/>
          <w:szCs w:val="24"/>
        </w:rPr>
        <w:t>（四）材料在验收后，如因质量或安装问题导致在使用过程中损坏而无法正常使用，经甲乙双方确认为质量问题后，甲方有权要求乙方立即予以更换或退货。如甲方选择更换的，乙方应在</w:t>
      </w:r>
      <w:r>
        <w:rPr>
          <w:color w:val="auto"/>
          <w:sz w:val="24"/>
          <w:szCs w:val="24"/>
        </w:rPr>
        <w:t>3</w:t>
      </w:r>
      <w:r>
        <w:rPr>
          <w:rFonts w:hint="eastAsia"/>
          <w:color w:val="auto"/>
          <w:sz w:val="24"/>
          <w:szCs w:val="24"/>
        </w:rPr>
        <w:t>个日历日内更换，并且承担甲方由此产生的费用或损失，逾期则按照第六条第（一）款向甲方承担违约责任。如甲方选择退货的，甲方无须向乙方支付任何费用，并有权要求乙方退还已支付的费用，同时支付合同总金额</w:t>
      </w:r>
      <w:r>
        <w:rPr>
          <w:color w:val="auto"/>
          <w:sz w:val="24"/>
          <w:szCs w:val="24"/>
        </w:rPr>
        <w:t>20%</w:t>
      </w:r>
      <w:r>
        <w:rPr>
          <w:rFonts w:hint="eastAsia"/>
          <w:color w:val="auto"/>
          <w:sz w:val="24"/>
          <w:szCs w:val="24"/>
        </w:rPr>
        <w:t>的违约金，违约金不足以赔偿因此给甲方造成的损失的，甲方有权另行追偿。如甲乙双方对材料是否存在质量问题无法达成一致的，甲方有权聘请第三方机构进行检测，检测费用由乙方承担。</w:t>
      </w:r>
    </w:p>
    <w:p w14:paraId="3ADCF7D1">
      <w:pPr>
        <w:widowControl w:val="0"/>
        <w:adjustRightInd/>
        <w:ind w:firstLine="480" w:firstLineChars="200"/>
        <w:rPr>
          <w:color w:val="auto"/>
          <w:sz w:val="24"/>
          <w:szCs w:val="24"/>
        </w:rPr>
      </w:pPr>
      <w:r>
        <w:rPr>
          <w:rFonts w:hint="eastAsia"/>
          <w:color w:val="auto"/>
          <w:sz w:val="24"/>
          <w:szCs w:val="24"/>
        </w:rPr>
        <w:t>（五）材料必须具备出厂合格证，乙方保证合同材料是全新、未曾使用过的，其质量、规格及技术特征符合合同附件2《海心沙环保热电厂纳米液钙试验技术服务采购项目技术需求书》的要求，乙方严禁提供假冒伪劣、盗版、山寨、仿冒或产权不明等不合格材料。否则，甲方有权要求乙方立即予以更换或退货。如甲方选择更换的，乙方应在</w:t>
      </w:r>
      <w:r>
        <w:rPr>
          <w:color w:val="auto"/>
          <w:sz w:val="24"/>
          <w:szCs w:val="24"/>
        </w:rPr>
        <w:t>10</w:t>
      </w:r>
      <w:r>
        <w:rPr>
          <w:rFonts w:hint="eastAsia"/>
          <w:color w:val="auto"/>
          <w:sz w:val="24"/>
          <w:szCs w:val="24"/>
        </w:rPr>
        <w:t>个日历日内更换，并且承担甲方由此产生的费用或损失，逾期则按照第六条第（一）款向甲方承担违约责任。如甲方选择退货的，甲方无须向乙方支付任何费用，并有权要求乙方支付合同总金额</w:t>
      </w:r>
      <w:r>
        <w:rPr>
          <w:color w:val="auto"/>
          <w:sz w:val="24"/>
          <w:szCs w:val="24"/>
        </w:rPr>
        <w:t>20%</w:t>
      </w:r>
      <w:r>
        <w:rPr>
          <w:rFonts w:hint="eastAsia"/>
          <w:color w:val="auto"/>
          <w:sz w:val="24"/>
          <w:szCs w:val="24"/>
        </w:rPr>
        <w:t>的违约金，违约金不足以赔偿因此给甲方造成的损失的，甲方有权另行追偿。</w:t>
      </w:r>
    </w:p>
    <w:p w14:paraId="4A1BE15F">
      <w:pPr>
        <w:widowControl w:val="0"/>
        <w:adjustRightInd/>
        <w:ind w:firstLine="480"/>
        <w:rPr>
          <w:color w:val="auto"/>
          <w:sz w:val="24"/>
          <w:szCs w:val="24"/>
        </w:rPr>
      </w:pPr>
      <w:r>
        <w:rPr>
          <w:rFonts w:hint="eastAsia"/>
          <w:color w:val="auto"/>
          <w:sz w:val="24"/>
          <w:szCs w:val="24"/>
        </w:rPr>
        <w:t>（六）材料的样式、外观情况、材质等应符合甲方要求及国家或行业相关标准，且均为合格产品。</w:t>
      </w:r>
    </w:p>
    <w:p w14:paraId="2AA1C830">
      <w:pPr>
        <w:widowControl w:val="0"/>
        <w:adjustRightInd/>
        <w:ind w:firstLine="480"/>
        <w:rPr>
          <w:color w:val="auto"/>
          <w:sz w:val="24"/>
          <w:szCs w:val="24"/>
        </w:rPr>
      </w:pPr>
      <w:r>
        <w:rPr>
          <w:rFonts w:hint="eastAsia"/>
          <w:color w:val="auto"/>
          <w:sz w:val="24"/>
          <w:szCs w:val="24"/>
        </w:rPr>
        <w:t>（七）乙方在甲方现场交货、拆除、安装、调试过程中必须遵守甲方的安全管理制度，为现场服务人员购买工伤及保额不低于120万/人的人身意外伤害保险，保险费用由乙方自行承担。如服务期间造成甲方或第三方财产损失或人身损伤的，乙方承担全部赔偿责任。乙方服务期间非因甲方原因导致的自身的损失及人员伤亡责任由乙方自行负责。</w:t>
      </w:r>
    </w:p>
    <w:p w14:paraId="1B89A8A4">
      <w:pPr>
        <w:widowControl w:val="0"/>
        <w:adjustRightInd/>
        <w:ind w:firstLine="480" w:firstLineChars="200"/>
        <w:rPr>
          <w:bCs/>
          <w:color w:val="auto"/>
          <w:sz w:val="24"/>
          <w:szCs w:val="24"/>
        </w:rPr>
      </w:pPr>
      <w:r>
        <w:rPr>
          <w:rFonts w:hint="eastAsia"/>
          <w:color w:val="auto"/>
          <w:sz w:val="24"/>
          <w:szCs w:val="24"/>
        </w:rPr>
        <w:t>（八）乙方所提供材料的规格、样式必须经甲方书面确认后进行供货，否则视为不合格材料予以退货，因此造成的任何损失由乙方承担。</w:t>
      </w:r>
      <w:r>
        <w:rPr>
          <w:rFonts w:hint="eastAsia"/>
          <w:bCs/>
          <w:color w:val="auto"/>
          <w:sz w:val="24"/>
          <w:szCs w:val="24"/>
        </w:rPr>
        <w:t>如甲方对材料的采购数量及款式作适当调整，</w:t>
      </w:r>
      <w:r>
        <w:rPr>
          <w:rFonts w:hint="eastAsia"/>
          <w:color w:val="auto"/>
          <w:sz w:val="24"/>
          <w:szCs w:val="24"/>
        </w:rPr>
        <w:t>乙方</w:t>
      </w:r>
      <w:r>
        <w:rPr>
          <w:rFonts w:hint="eastAsia"/>
          <w:bCs/>
          <w:color w:val="auto"/>
          <w:sz w:val="24"/>
          <w:szCs w:val="24"/>
        </w:rPr>
        <w:t>在本项目材料未着手制作前应当予以配合并作相应变更，如乙方已着手制作，可由甲乙双方另行协商。</w:t>
      </w:r>
    </w:p>
    <w:p w14:paraId="0B174ED5">
      <w:pPr>
        <w:widowControl w:val="0"/>
        <w:adjustRightInd/>
        <w:ind w:firstLine="480" w:firstLineChars="200"/>
        <w:rPr>
          <w:bCs/>
          <w:color w:val="auto"/>
          <w:sz w:val="24"/>
          <w:szCs w:val="24"/>
        </w:rPr>
      </w:pPr>
      <w:r>
        <w:rPr>
          <w:rFonts w:hint="eastAsia"/>
          <w:color w:val="auto"/>
          <w:sz w:val="24"/>
          <w:szCs w:val="24"/>
        </w:rPr>
        <w:t>（九）如材料</w:t>
      </w:r>
      <w:r>
        <w:rPr>
          <w:rFonts w:hint="eastAsia"/>
          <w:bCs/>
          <w:color w:val="auto"/>
          <w:sz w:val="24"/>
          <w:szCs w:val="24"/>
        </w:rPr>
        <w:t>随附装箱清单、质量合格证明书、</w:t>
      </w:r>
      <w:r>
        <w:rPr>
          <w:rFonts w:hint="eastAsia"/>
          <w:color w:val="auto"/>
          <w:sz w:val="24"/>
          <w:szCs w:val="24"/>
        </w:rPr>
        <w:t>图纸资料、技术文件、</w:t>
      </w:r>
      <w:r>
        <w:rPr>
          <w:rFonts w:hint="eastAsia"/>
          <w:bCs/>
          <w:color w:val="auto"/>
          <w:sz w:val="24"/>
          <w:szCs w:val="24"/>
        </w:rPr>
        <w:t>检测报告</w:t>
      </w:r>
      <w:r>
        <w:rPr>
          <w:rFonts w:hint="eastAsia"/>
          <w:color w:val="auto"/>
          <w:sz w:val="24"/>
          <w:szCs w:val="24"/>
        </w:rPr>
        <w:t>等</w:t>
      </w:r>
      <w:r>
        <w:rPr>
          <w:rFonts w:hint="eastAsia"/>
          <w:bCs/>
          <w:color w:val="auto"/>
          <w:sz w:val="24"/>
          <w:szCs w:val="24"/>
        </w:rPr>
        <w:t>文件</w:t>
      </w:r>
      <w:r>
        <w:rPr>
          <w:rFonts w:hint="eastAsia"/>
          <w:color w:val="auto"/>
          <w:sz w:val="24"/>
          <w:szCs w:val="24"/>
        </w:rPr>
        <w:t>资</w:t>
      </w:r>
      <w:r>
        <w:rPr>
          <w:rFonts w:hint="eastAsia"/>
          <w:bCs/>
          <w:color w:val="auto"/>
          <w:sz w:val="24"/>
          <w:szCs w:val="24"/>
        </w:rPr>
        <w:t>料的，乙方应于交货时一并交付该等文件资料，并且确保该等资料有相应的、能够保证文件完好的包封。供货时乙方有义务配合甲方进行材料真伪验证（供货时出具合格有效的出厂证明、合格证、检测证明等相关文件）。</w:t>
      </w:r>
    </w:p>
    <w:p w14:paraId="1837FE26">
      <w:pPr>
        <w:widowControl w:val="0"/>
        <w:adjustRightInd/>
        <w:ind w:firstLine="480" w:firstLineChars="200"/>
        <w:rPr>
          <w:bCs/>
          <w:color w:val="auto"/>
          <w:sz w:val="24"/>
          <w:szCs w:val="24"/>
        </w:rPr>
      </w:pPr>
      <w:r>
        <w:rPr>
          <w:rFonts w:hint="eastAsia"/>
          <w:bCs/>
          <w:color w:val="auto"/>
          <w:sz w:val="24"/>
          <w:szCs w:val="24"/>
        </w:rPr>
        <w:t>（十）对于有规定有效期的材料（须注明出厂日期），乙方所提供的材料必须在有效期内，且质保期须大于或等于本项目服务期。</w:t>
      </w:r>
    </w:p>
    <w:p w14:paraId="371DB732">
      <w:pPr>
        <w:widowControl w:val="0"/>
        <w:adjustRightInd/>
        <w:ind w:firstLine="480" w:firstLineChars="200"/>
        <w:rPr>
          <w:color w:val="auto"/>
          <w:sz w:val="24"/>
          <w:szCs w:val="24"/>
        </w:rPr>
      </w:pPr>
      <w:r>
        <w:rPr>
          <w:rFonts w:hint="eastAsia"/>
          <w:bCs/>
          <w:color w:val="auto"/>
          <w:sz w:val="24"/>
          <w:szCs w:val="24"/>
        </w:rPr>
        <w:t>（十一）乙方提供的所有材料均应符合技术需求书内的品牌</w:t>
      </w:r>
      <w:r>
        <w:rPr>
          <w:bCs/>
          <w:color w:val="auto"/>
          <w:sz w:val="24"/>
          <w:szCs w:val="24"/>
        </w:rPr>
        <w:t>/</w:t>
      </w:r>
      <w:r>
        <w:rPr>
          <w:rFonts w:hint="eastAsia"/>
          <w:bCs/>
          <w:color w:val="auto"/>
          <w:sz w:val="24"/>
          <w:szCs w:val="24"/>
        </w:rPr>
        <w:t>规格</w:t>
      </w:r>
      <w:r>
        <w:rPr>
          <w:bCs/>
          <w:color w:val="auto"/>
          <w:sz w:val="24"/>
          <w:szCs w:val="24"/>
        </w:rPr>
        <w:t>/</w:t>
      </w:r>
      <w:r>
        <w:rPr>
          <w:rFonts w:hint="eastAsia"/>
          <w:bCs/>
          <w:color w:val="auto"/>
          <w:sz w:val="24"/>
          <w:szCs w:val="24"/>
        </w:rPr>
        <w:t>型号标准，并且来源合法</w:t>
      </w:r>
      <w:r>
        <w:rPr>
          <w:rFonts w:hint="eastAsia"/>
          <w:color w:val="auto"/>
          <w:sz w:val="24"/>
          <w:szCs w:val="24"/>
        </w:rPr>
        <w:t>。</w:t>
      </w:r>
    </w:p>
    <w:p w14:paraId="0A09C645">
      <w:pPr>
        <w:widowControl w:val="0"/>
        <w:adjustRightInd/>
        <w:ind w:firstLine="482" w:firstLineChars="200"/>
        <w:rPr>
          <w:b/>
          <w:color w:val="auto"/>
          <w:sz w:val="24"/>
          <w:szCs w:val="24"/>
        </w:rPr>
      </w:pPr>
      <w:bookmarkStart w:id="14" w:name="_Toc8841_WPSOffice_Level1"/>
      <w:r>
        <w:rPr>
          <w:rFonts w:hint="eastAsia"/>
          <w:b/>
          <w:color w:val="auto"/>
          <w:sz w:val="24"/>
          <w:szCs w:val="24"/>
        </w:rPr>
        <w:t>五、双方义务</w:t>
      </w:r>
      <w:bookmarkEnd w:id="14"/>
    </w:p>
    <w:p w14:paraId="3407F506">
      <w:pPr>
        <w:widowControl w:val="0"/>
        <w:adjustRightInd/>
        <w:ind w:firstLine="480" w:firstLineChars="200"/>
        <w:rPr>
          <w:color w:val="auto"/>
          <w:sz w:val="24"/>
          <w:szCs w:val="24"/>
        </w:rPr>
      </w:pPr>
      <w:bookmarkStart w:id="15" w:name="_Toc28030_WPSOffice_Level2"/>
      <w:r>
        <w:rPr>
          <w:color w:val="auto"/>
          <w:sz w:val="24"/>
          <w:szCs w:val="24"/>
        </w:rPr>
        <w:t>(</w:t>
      </w:r>
      <w:r>
        <w:rPr>
          <w:rFonts w:hint="eastAsia"/>
          <w:color w:val="auto"/>
          <w:sz w:val="24"/>
          <w:szCs w:val="24"/>
        </w:rPr>
        <w:t>一</w:t>
      </w:r>
      <w:r>
        <w:rPr>
          <w:color w:val="auto"/>
          <w:sz w:val="24"/>
          <w:szCs w:val="24"/>
        </w:rPr>
        <w:t xml:space="preserve">) </w:t>
      </w:r>
      <w:r>
        <w:rPr>
          <w:rFonts w:hint="eastAsia"/>
          <w:color w:val="auto"/>
          <w:sz w:val="24"/>
          <w:szCs w:val="24"/>
        </w:rPr>
        <w:t>甲方义务</w:t>
      </w:r>
      <w:bookmarkEnd w:id="15"/>
    </w:p>
    <w:p w14:paraId="304FA43F">
      <w:pPr>
        <w:widowControl w:val="0"/>
        <w:adjustRightInd/>
        <w:ind w:firstLine="480" w:firstLineChars="200"/>
        <w:rPr>
          <w:color w:val="auto"/>
          <w:sz w:val="24"/>
          <w:szCs w:val="24"/>
        </w:rPr>
      </w:pPr>
      <w:r>
        <w:rPr>
          <w:color w:val="auto"/>
          <w:sz w:val="24"/>
          <w:szCs w:val="24"/>
        </w:rPr>
        <w:t>1</w:t>
      </w:r>
      <w:r>
        <w:rPr>
          <w:rFonts w:hint="eastAsia"/>
          <w:color w:val="auto"/>
          <w:sz w:val="24"/>
          <w:szCs w:val="24"/>
        </w:rPr>
        <w:t>、负责按合同规定日期向乙方支付合同款；</w:t>
      </w:r>
    </w:p>
    <w:p w14:paraId="7A5CE025">
      <w:pPr>
        <w:widowControl w:val="0"/>
        <w:adjustRightInd/>
        <w:ind w:firstLine="480" w:firstLineChars="200"/>
        <w:rPr>
          <w:color w:val="auto"/>
          <w:sz w:val="24"/>
          <w:szCs w:val="24"/>
        </w:rPr>
      </w:pPr>
      <w:r>
        <w:rPr>
          <w:color w:val="auto"/>
          <w:sz w:val="24"/>
          <w:szCs w:val="24"/>
        </w:rPr>
        <w:t>2</w:t>
      </w:r>
      <w:r>
        <w:rPr>
          <w:rFonts w:hint="eastAsia"/>
          <w:color w:val="auto"/>
          <w:sz w:val="24"/>
          <w:szCs w:val="24"/>
        </w:rPr>
        <w:t>、负责对乙方服务成果进行验收并确认项目服务要求等；</w:t>
      </w:r>
    </w:p>
    <w:p w14:paraId="580FF4C9">
      <w:pPr>
        <w:widowControl w:val="0"/>
        <w:adjustRightInd/>
        <w:ind w:right="240" w:rightChars="100" w:firstLine="480" w:firstLineChars="200"/>
        <w:rPr>
          <w:color w:val="auto"/>
          <w:sz w:val="24"/>
          <w:szCs w:val="24"/>
        </w:rPr>
      </w:pPr>
      <w:r>
        <w:rPr>
          <w:color w:val="auto"/>
          <w:sz w:val="24"/>
          <w:szCs w:val="24"/>
        </w:rPr>
        <w:t>3</w:t>
      </w:r>
      <w:r>
        <w:rPr>
          <w:rFonts w:hint="eastAsia"/>
          <w:color w:val="auto"/>
          <w:sz w:val="24"/>
          <w:szCs w:val="24"/>
        </w:rPr>
        <w:t>、对乙方需要确认的内容，甲方应在</w:t>
      </w:r>
      <w:r>
        <w:rPr>
          <w:color w:val="auto"/>
          <w:sz w:val="24"/>
          <w:szCs w:val="24"/>
        </w:rPr>
        <w:t>48</w:t>
      </w:r>
      <w:r>
        <w:rPr>
          <w:rFonts w:hint="eastAsia"/>
          <w:color w:val="auto"/>
          <w:sz w:val="24"/>
          <w:szCs w:val="24"/>
        </w:rPr>
        <w:t>个工作小时内给以确认或提出修改意见。</w:t>
      </w:r>
    </w:p>
    <w:p w14:paraId="772E9AE8">
      <w:pPr>
        <w:widowControl w:val="0"/>
        <w:adjustRightInd/>
        <w:ind w:right="240" w:rightChars="100" w:firstLine="480" w:firstLineChars="200"/>
        <w:rPr>
          <w:color w:val="auto"/>
          <w:sz w:val="24"/>
          <w:szCs w:val="24"/>
        </w:rPr>
      </w:pPr>
      <w:bookmarkStart w:id="16" w:name="_Toc14680_WPSOffice_Level2"/>
      <w:r>
        <w:rPr>
          <w:color w:val="auto"/>
          <w:sz w:val="24"/>
          <w:szCs w:val="24"/>
        </w:rPr>
        <w:t>(</w:t>
      </w:r>
      <w:r>
        <w:rPr>
          <w:rFonts w:hint="eastAsia"/>
          <w:color w:val="auto"/>
          <w:sz w:val="24"/>
          <w:szCs w:val="24"/>
        </w:rPr>
        <w:t>二</w:t>
      </w:r>
      <w:r>
        <w:rPr>
          <w:color w:val="auto"/>
          <w:sz w:val="24"/>
          <w:szCs w:val="24"/>
        </w:rPr>
        <w:t xml:space="preserve">) </w:t>
      </w:r>
      <w:r>
        <w:rPr>
          <w:rFonts w:hint="eastAsia"/>
          <w:color w:val="auto"/>
          <w:sz w:val="24"/>
          <w:szCs w:val="24"/>
        </w:rPr>
        <w:t>乙方义务</w:t>
      </w:r>
      <w:bookmarkEnd w:id="16"/>
    </w:p>
    <w:p w14:paraId="51F9B8F5">
      <w:pPr>
        <w:widowControl w:val="0"/>
        <w:adjustRightInd/>
        <w:ind w:right="240" w:rightChars="100" w:firstLine="480" w:firstLineChars="200"/>
        <w:rPr>
          <w:color w:val="auto"/>
          <w:sz w:val="24"/>
          <w:szCs w:val="24"/>
        </w:rPr>
      </w:pPr>
      <w:r>
        <w:rPr>
          <w:color w:val="auto"/>
          <w:sz w:val="24"/>
          <w:szCs w:val="24"/>
        </w:rPr>
        <w:t>1</w:t>
      </w:r>
      <w:r>
        <w:rPr>
          <w:rFonts w:hint="eastAsia"/>
          <w:color w:val="auto"/>
          <w:sz w:val="24"/>
          <w:szCs w:val="24"/>
        </w:rPr>
        <w:t>、乙方按本合同的约定时间及标准进行服务；</w:t>
      </w:r>
    </w:p>
    <w:p w14:paraId="74396073">
      <w:pPr>
        <w:widowControl w:val="0"/>
        <w:adjustRightInd/>
        <w:ind w:right="240" w:rightChars="100" w:firstLine="480" w:firstLineChars="200"/>
        <w:rPr>
          <w:color w:val="auto"/>
          <w:sz w:val="24"/>
          <w:szCs w:val="24"/>
        </w:rPr>
      </w:pPr>
      <w:r>
        <w:rPr>
          <w:color w:val="auto"/>
          <w:sz w:val="24"/>
          <w:szCs w:val="24"/>
        </w:rPr>
        <w:t>2</w:t>
      </w:r>
      <w:r>
        <w:rPr>
          <w:rFonts w:hint="eastAsia"/>
          <w:color w:val="auto"/>
          <w:sz w:val="24"/>
          <w:szCs w:val="24"/>
        </w:rPr>
        <w:t>、服务应满足甲方需求及本合同的约定，具体以附件2《海心沙环保热电厂纳米液钙试验技术服务采购项目技术需求书》及本合同相关约定为准。如在服务过程中发现项目、材料存在与附件2不符或无法正常使用等问题，乙方须按照本合同第四条第（三）、（四）、（五）款的约定予以整改，否则，乙方应按照第六条第（一）款向甲方承担违约责任；</w:t>
      </w:r>
    </w:p>
    <w:p w14:paraId="583606A0">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3、乙方应按照甲方质量管理体系的各项管理制度及规定，服从甲方的质量监督；</w:t>
      </w:r>
    </w:p>
    <w:p w14:paraId="2BA902DD">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4、乙方应在进场施工前向甲方提供国内有效的营业执照、相关资质证书、管理人员执业（职业）资格证书（所有证件为复印件加盖公章），安装质量向甲方负责，组织具有相应资格证书的熟练工人投入工作；</w:t>
      </w:r>
    </w:p>
    <w:p w14:paraId="0DDFB0DB">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5、乙方必须独立完成本合同任务，不得分包或转包，甲方一经发现，有权解除合同并要求乙方承担违约责任；</w:t>
      </w:r>
    </w:p>
    <w:p w14:paraId="5990697F">
      <w:pPr>
        <w:widowControl w:val="0"/>
        <w:adjustRightInd/>
        <w:ind w:right="240" w:rightChars="100" w:firstLine="480" w:firstLineChars="200"/>
        <w:rPr>
          <w:color w:val="auto"/>
          <w:sz w:val="24"/>
          <w:szCs w:val="24"/>
        </w:rPr>
      </w:pPr>
      <w:r>
        <w:rPr>
          <w:rFonts w:hint="eastAsia"/>
          <w:color w:val="auto"/>
          <w:sz w:val="24"/>
          <w:szCs w:val="24"/>
        </w:rPr>
        <w:t>6、乙方在收到甲方服务通知后，须在48小时内到达项目现场提供服务，否则，乙方应按照第六条第（一）款向甲方承担违约责任。</w:t>
      </w:r>
    </w:p>
    <w:p w14:paraId="142BFFDC">
      <w:pPr>
        <w:widowControl w:val="0"/>
        <w:adjustRightInd/>
        <w:ind w:right="240" w:rightChars="100" w:firstLine="482" w:firstLineChars="200"/>
        <w:rPr>
          <w:b/>
          <w:color w:val="auto"/>
          <w:sz w:val="24"/>
          <w:szCs w:val="24"/>
        </w:rPr>
      </w:pPr>
      <w:bookmarkStart w:id="17" w:name="_Toc11843_WPSOffice_Level1"/>
      <w:r>
        <w:rPr>
          <w:rFonts w:hint="eastAsia"/>
          <w:b/>
          <w:color w:val="auto"/>
          <w:sz w:val="24"/>
          <w:szCs w:val="24"/>
        </w:rPr>
        <w:t>六、违约责任</w:t>
      </w:r>
      <w:bookmarkEnd w:id="17"/>
    </w:p>
    <w:p w14:paraId="770362C6">
      <w:pPr>
        <w:widowControl w:val="0"/>
        <w:adjustRightInd/>
        <w:ind w:right="240" w:rightChars="100" w:firstLine="480" w:firstLineChars="200"/>
        <w:rPr>
          <w:color w:val="auto"/>
          <w:sz w:val="24"/>
          <w:szCs w:val="24"/>
        </w:rPr>
      </w:pPr>
      <w:r>
        <w:rPr>
          <w:rFonts w:hint="eastAsia"/>
          <w:color w:val="auto"/>
          <w:sz w:val="24"/>
          <w:szCs w:val="24"/>
        </w:rPr>
        <w:t>（一）乙方未按合同约定按时交货、安装、</w:t>
      </w:r>
      <w:r>
        <w:rPr>
          <w:rFonts w:hint="eastAsia"/>
          <w:color w:val="auto"/>
          <w:sz w:val="24"/>
          <w:szCs w:val="24"/>
          <w:lang w:val="en-US" w:eastAsia="zh-CN"/>
        </w:rPr>
        <w:t>调试</w:t>
      </w:r>
      <w:r>
        <w:rPr>
          <w:rFonts w:hint="eastAsia"/>
          <w:color w:val="auto"/>
          <w:sz w:val="24"/>
          <w:szCs w:val="24"/>
        </w:rPr>
        <w:t>、服务或交付相关的技术资料的，每逾期一天则应向甲方支付合同总额的</w:t>
      </w:r>
      <w:r>
        <w:rPr>
          <w:color w:val="auto"/>
          <w:sz w:val="24"/>
          <w:szCs w:val="24"/>
        </w:rPr>
        <w:t>3‰</w:t>
      </w:r>
      <w:r>
        <w:rPr>
          <w:rFonts w:hint="eastAsia"/>
          <w:color w:val="auto"/>
          <w:sz w:val="24"/>
          <w:szCs w:val="24"/>
        </w:rPr>
        <w:t>作为违约金，逾期达</w:t>
      </w:r>
      <w:r>
        <w:rPr>
          <w:color w:val="auto"/>
          <w:sz w:val="24"/>
          <w:szCs w:val="24"/>
        </w:rPr>
        <w:t>20</w:t>
      </w:r>
      <w:r>
        <w:rPr>
          <w:rFonts w:hint="eastAsia"/>
          <w:color w:val="auto"/>
          <w:sz w:val="24"/>
          <w:szCs w:val="24"/>
        </w:rPr>
        <w:t>个日历日的，甲方有权单方解除合同，没收全部履约保证金，乙方应退还已支付的货款，并另行支付合同总金额</w:t>
      </w:r>
      <w:r>
        <w:rPr>
          <w:color w:val="auto"/>
          <w:sz w:val="24"/>
          <w:szCs w:val="24"/>
        </w:rPr>
        <w:t>20%</w:t>
      </w:r>
      <w:r>
        <w:rPr>
          <w:rFonts w:hint="eastAsia"/>
          <w:color w:val="auto"/>
          <w:sz w:val="24"/>
          <w:szCs w:val="24"/>
        </w:rPr>
        <w:t>的违约金，违约金不足以赔偿因此给甲方造成的损失的，甲方有权另行追偿。</w:t>
      </w:r>
    </w:p>
    <w:p w14:paraId="57F14D8C">
      <w:pPr>
        <w:ind w:right="240" w:rightChars="100" w:firstLine="480" w:firstLineChars="200"/>
        <w:rPr>
          <w:color w:val="auto"/>
          <w:sz w:val="24"/>
          <w:szCs w:val="24"/>
        </w:rPr>
      </w:pPr>
      <w:r>
        <w:rPr>
          <w:rFonts w:hint="eastAsia"/>
          <w:color w:val="auto"/>
          <w:sz w:val="24"/>
          <w:szCs w:val="24"/>
        </w:rPr>
        <w:t>（二）乙方在服务期内未按甲方要求履行服务责任的，甲方有权委托第三方提供服务，由此产生的费用由乙方承担，乙方还须另行向甲方支付合同总金额20%的违约金，违约金不足以弥补甲方损失的，甲方有权继续追偿。</w:t>
      </w:r>
    </w:p>
    <w:p w14:paraId="5F38EB5E">
      <w:pPr>
        <w:ind w:right="240" w:rightChars="100" w:firstLine="480" w:firstLineChars="200"/>
        <w:rPr>
          <w:color w:val="auto"/>
          <w:sz w:val="24"/>
          <w:szCs w:val="24"/>
        </w:rPr>
      </w:pPr>
      <w:r>
        <w:rPr>
          <w:rFonts w:hint="eastAsia"/>
          <w:color w:val="auto"/>
          <w:sz w:val="24"/>
          <w:szCs w:val="24"/>
        </w:rPr>
        <w:t>（三）乙方违反约定终止合同或未经甲方书面同意向任何第三方转让本合同项下权利义务的，应当向甲方返还已收取的款项，并承担相当于合同总价20%的违约金，违约金不足以弥补甲方损失的，甲方有权继续追偿，且甲方有权没收全部履约保证金；</w:t>
      </w:r>
    </w:p>
    <w:p w14:paraId="25AA6A7D">
      <w:pPr>
        <w:ind w:right="240" w:rightChars="100" w:firstLine="480" w:firstLineChars="200"/>
        <w:rPr>
          <w:color w:val="auto"/>
          <w:sz w:val="24"/>
          <w:szCs w:val="24"/>
        </w:rPr>
      </w:pPr>
      <w:r>
        <w:rPr>
          <w:rFonts w:hint="eastAsia"/>
          <w:color w:val="auto"/>
          <w:sz w:val="24"/>
          <w:szCs w:val="24"/>
        </w:rPr>
        <w:t>（四）本合同所述之损失是指守约方因违约方原因而造成的经济损失，包含但不限于因此而支付的罚金罚款，向第三方支付的赔偿金、违约金，为维权或追索而发生的诉讼费、律师费、公证费、鉴定费、评估费、财产保全担保费等全部费用；</w:t>
      </w:r>
    </w:p>
    <w:p w14:paraId="15C4021F">
      <w:pPr>
        <w:ind w:right="240" w:rightChars="100" w:firstLine="480" w:firstLineChars="200"/>
        <w:rPr>
          <w:color w:val="auto"/>
          <w:sz w:val="24"/>
          <w:szCs w:val="24"/>
        </w:rPr>
      </w:pPr>
      <w:r>
        <w:rPr>
          <w:rFonts w:hint="eastAsia"/>
          <w:color w:val="auto"/>
          <w:sz w:val="24"/>
          <w:szCs w:val="24"/>
        </w:rPr>
        <w:t>（五）甲方有权自应付而未付乙方款项中和履约保证金中直接抵扣乙方应付之违约金、赔偿款等所有款项或费用。</w:t>
      </w:r>
    </w:p>
    <w:p w14:paraId="1B922865">
      <w:pPr>
        <w:widowControl w:val="0"/>
        <w:adjustRightInd/>
        <w:ind w:right="240" w:rightChars="100" w:firstLine="482" w:firstLineChars="200"/>
        <w:rPr>
          <w:b/>
          <w:bCs/>
          <w:color w:val="auto"/>
          <w:sz w:val="24"/>
          <w:szCs w:val="24"/>
        </w:rPr>
      </w:pPr>
      <w:bookmarkStart w:id="18" w:name="_Toc4307_WPSOffice_Level1"/>
      <w:r>
        <w:rPr>
          <w:rFonts w:hint="eastAsia"/>
          <w:b/>
          <w:bCs/>
          <w:color w:val="auto"/>
          <w:sz w:val="24"/>
          <w:szCs w:val="24"/>
        </w:rPr>
        <w:t>七、不可抗力</w:t>
      </w:r>
      <w:bookmarkEnd w:id="18"/>
    </w:p>
    <w:p w14:paraId="512468F5">
      <w:pPr>
        <w:widowControl w:val="0"/>
        <w:adjustRightInd/>
        <w:ind w:right="240" w:rightChars="100" w:firstLine="480" w:firstLineChars="200"/>
        <w:rPr>
          <w:color w:val="auto"/>
          <w:sz w:val="24"/>
          <w:szCs w:val="24"/>
        </w:rPr>
      </w:pPr>
      <w:r>
        <w:rPr>
          <w:rFonts w:hint="eastAsia"/>
          <w:color w:val="auto"/>
          <w:sz w:val="24"/>
          <w:szCs w:val="24"/>
        </w:rPr>
        <w:t>（一）不可抗力指战争、严重火灾、洪水、台风、地震等或其它双方认定的不可抗力事件。</w:t>
      </w:r>
    </w:p>
    <w:p w14:paraId="7CDB56AB">
      <w:pPr>
        <w:widowControl w:val="0"/>
        <w:adjustRightInd/>
        <w:ind w:right="240" w:rightChars="100" w:firstLine="480" w:firstLineChars="200"/>
        <w:rPr>
          <w:color w:val="auto"/>
          <w:sz w:val="24"/>
          <w:szCs w:val="24"/>
        </w:rPr>
      </w:pPr>
      <w:r>
        <w:rPr>
          <w:rFonts w:hint="eastAsia"/>
          <w:color w:val="auto"/>
          <w:sz w:val="24"/>
          <w:szCs w:val="24"/>
        </w:rPr>
        <w:t>（二）签约双方中任何一方由于不可抗力影响合同执行时，应在不可抗力事件发生之日起3个日历日内以书面形式通知对方，并在5个日历日内提供相关不可抗力证明，以减轻可能给对方造成的损失。在此情况下，乙方仍然有责任采取必要的措施加速供货，双方应通过友好协商尽快解决本合同的执行问题。</w:t>
      </w:r>
    </w:p>
    <w:p w14:paraId="0598CBE5">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color w:val="auto"/>
          <w:sz w:val="24"/>
          <w:szCs w:val="24"/>
        </w:rPr>
      </w:pPr>
      <w:r>
        <w:rPr>
          <w:rFonts w:hint="eastAsia"/>
          <w:color w:val="auto"/>
          <w:sz w:val="24"/>
          <w:szCs w:val="24"/>
        </w:rPr>
        <w:t>（三）因不可抗力或其他客观事由导致本合同不能继续履行的，双方可</w:t>
      </w:r>
      <w:r>
        <w:rPr>
          <w:rFonts w:hint="eastAsia"/>
          <w:color w:val="auto"/>
          <w:sz w:val="24"/>
          <w:szCs w:val="24"/>
          <w:lang w:val="en-US"/>
        </w:rPr>
        <w:t>在结清已发生费用后</w:t>
      </w:r>
      <w:r>
        <w:rPr>
          <w:rFonts w:hint="eastAsia"/>
          <w:color w:val="auto"/>
          <w:sz w:val="24"/>
          <w:szCs w:val="24"/>
        </w:rPr>
        <w:t>协商解除合同，并根据实际情况部分免除或全部免除违约方的责任。</w:t>
      </w:r>
    </w:p>
    <w:p w14:paraId="51D2C7B6">
      <w:pPr>
        <w:ind w:right="240" w:rightChars="100" w:firstLine="482" w:firstLineChars="200"/>
        <w:rPr>
          <w:color w:val="auto"/>
        </w:rPr>
      </w:pPr>
      <w:r>
        <w:rPr>
          <w:rFonts w:hint="eastAsia"/>
          <w:b/>
          <w:bCs/>
          <w:color w:val="auto"/>
          <w:sz w:val="24"/>
          <w:szCs w:val="24"/>
        </w:rPr>
        <w:t>八、保密协议</w:t>
      </w:r>
    </w:p>
    <w:p w14:paraId="1E4481D0">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left"/>
        <w:textAlignment w:val="auto"/>
        <w:rPr>
          <w:color w:val="auto"/>
          <w:sz w:val="24"/>
          <w:szCs w:val="24"/>
        </w:rPr>
      </w:pPr>
      <w:r>
        <w:rPr>
          <w:rFonts w:hint="eastAsia"/>
          <w:color w:val="auto"/>
          <w:sz w:val="24"/>
          <w:szCs w:val="24"/>
        </w:rPr>
        <w:t>双方应对合同履行过程中获得的对方商业秘密和其他机密信息予以保密，包括但不限于甲乙双方的财务信息、运营数据、客户信息、技术信息等。未经对方书面许可不得向任何第三方披露，保密义务在合同终止后仍然有效。未经解除保密义务的书面协议，任何一方仍应承担保密义务。违反保密条款一方应立即停止侵权行为，并承担相应的赔偿责任。</w:t>
      </w:r>
    </w:p>
    <w:p w14:paraId="4534C33B">
      <w:pPr>
        <w:widowControl w:val="0"/>
        <w:adjustRightInd/>
        <w:ind w:firstLine="482" w:firstLineChars="200"/>
        <w:rPr>
          <w:b/>
          <w:color w:val="auto"/>
          <w:sz w:val="24"/>
          <w:szCs w:val="24"/>
        </w:rPr>
      </w:pPr>
      <w:bookmarkStart w:id="19" w:name="_Toc2393_WPSOffice_Level1"/>
      <w:r>
        <w:rPr>
          <w:rFonts w:hint="eastAsia"/>
          <w:b/>
          <w:color w:val="auto"/>
          <w:sz w:val="24"/>
          <w:szCs w:val="24"/>
        </w:rPr>
        <w:t>九、争议的解决</w:t>
      </w:r>
      <w:bookmarkEnd w:id="19"/>
    </w:p>
    <w:p w14:paraId="143290E4">
      <w:pPr>
        <w:widowControl w:val="0"/>
        <w:adjustRightInd/>
        <w:ind w:firstLine="480" w:firstLineChars="200"/>
        <w:rPr>
          <w:color w:val="auto"/>
          <w:sz w:val="24"/>
          <w:szCs w:val="24"/>
        </w:rPr>
      </w:pPr>
      <w:r>
        <w:rPr>
          <w:rFonts w:hint="eastAsia"/>
          <w:color w:val="auto"/>
          <w:sz w:val="24"/>
          <w:szCs w:val="24"/>
        </w:rPr>
        <w:t>因履行本合同发生的任何争议，双方本着友好互利的原则协商解决。协商不成时应向甲方所在地人民法院提起诉讼。除有争议的部分外，双方应继续履行本合同所约定的义务。</w:t>
      </w:r>
    </w:p>
    <w:p w14:paraId="72ED483A">
      <w:pPr>
        <w:widowControl w:val="0"/>
        <w:adjustRightInd/>
        <w:ind w:firstLine="482" w:firstLineChars="200"/>
        <w:rPr>
          <w:b/>
          <w:color w:val="auto"/>
          <w:sz w:val="24"/>
          <w:szCs w:val="24"/>
        </w:rPr>
      </w:pPr>
      <w:bookmarkStart w:id="20" w:name="_Toc27346_WPSOffice_Level1"/>
      <w:r>
        <w:rPr>
          <w:rFonts w:hint="eastAsia"/>
          <w:b/>
          <w:color w:val="auto"/>
          <w:sz w:val="24"/>
          <w:szCs w:val="24"/>
        </w:rPr>
        <w:t>十、其它约定</w:t>
      </w:r>
      <w:bookmarkEnd w:id="20"/>
    </w:p>
    <w:p w14:paraId="13F8CB44">
      <w:pPr>
        <w:widowControl w:val="0"/>
        <w:adjustRightInd/>
        <w:ind w:firstLine="480" w:firstLineChars="200"/>
        <w:rPr>
          <w:color w:val="auto"/>
          <w:sz w:val="24"/>
          <w:szCs w:val="24"/>
        </w:rPr>
      </w:pPr>
      <w:r>
        <w:rPr>
          <w:rFonts w:hint="eastAsia"/>
          <w:color w:val="auto"/>
          <w:sz w:val="24"/>
          <w:szCs w:val="24"/>
        </w:rPr>
        <w:t>（一）本合同任何内容的修改，须由双方进行协商，并另行签订补充协议或书面文件，所签订的补充协议或相关合同附件与采购文件、</w:t>
      </w:r>
      <w:r>
        <w:rPr>
          <w:rFonts w:hint="eastAsia"/>
          <w:color w:val="auto"/>
          <w:sz w:val="24"/>
          <w:szCs w:val="24"/>
          <w:lang w:val="en-US" w:eastAsia="zh-CN"/>
        </w:rPr>
        <w:t>响应</w:t>
      </w:r>
      <w:r>
        <w:rPr>
          <w:rFonts w:hint="eastAsia"/>
          <w:color w:val="auto"/>
          <w:sz w:val="24"/>
          <w:szCs w:val="24"/>
        </w:rPr>
        <w:t>文件、</w:t>
      </w:r>
      <w:r>
        <w:rPr>
          <w:rFonts w:hint="eastAsia"/>
          <w:color w:val="auto"/>
          <w:sz w:val="24"/>
          <w:szCs w:val="24"/>
          <w:lang w:eastAsia="zh-CN"/>
        </w:rPr>
        <w:t>成交通知书</w:t>
      </w:r>
      <w:r>
        <w:rPr>
          <w:rFonts w:hint="eastAsia"/>
          <w:color w:val="auto"/>
          <w:sz w:val="24"/>
          <w:szCs w:val="24"/>
        </w:rPr>
        <w:t>等均为本合同不可分割部分，与本合同具有同等法律效力。任何一方自行更改或解除合同的，按违约处理；合同中未尽事项，由双方协商另行签订补充协议。</w:t>
      </w:r>
    </w:p>
    <w:p w14:paraId="4A9A9C49">
      <w:pPr>
        <w:widowControl w:val="0"/>
        <w:adjustRightInd/>
        <w:ind w:firstLine="480" w:firstLineChars="200"/>
        <w:rPr>
          <w:color w:val="auto"/>
          <w:sz w:val="24"/>
          <w:szCs w:val="24"/>
        </w:rPr>
      </w:pPr>
      <w:r>
        <w:rPr>
          <w:rFonts w:hint="eastAsia"/>
          <w:color w:val="auto"/>
          <w:sz w:val="24"/>
          <w:szCs w:val="24"/>
        </w:rPr>
        <w:t>（二）任何一方未经另一方的书面同意，均不得将本合同的权利、义务、利益转移给第三方。</w:t>
      </w:r>
    </w:p>
    <w:p w14:paraId="286A7948">
      <w:pPr>
        <w:widowControl w:val="0"/>
        <w:adjustRightInd/>
        <w:ind w:firstLine="480" w:firstLineChars="200"/>
        <w:rPr>
          <w:color w:val="auto"/>
          <w:sz w:val="24"/>
          <w:szCs w:val="24"/>
        </w:rPr>
      </w:pPr>
      <w:r>
        <w:rPr>
          <w:rFonts w:hint="eastAsia"/>
          <w:color w:val="auto"/>
          <w:sz w:val="24"/>
          <w:szCs w:val="24"/>
        </w:rPr>
        <w:t>（三）本合同一式伍份，甲方执叁份、乙方执贰份。本合同双方代表签字盖章后生效，合同履行完毕后自行失效。</w:t>
      </w:r>
    </w:p>
    <w:p w14:paraId="17BB940E">
      <w:pPr>
        <w:widowControl w:val="0"/>
        <w:adjustRightInd/>
        <w:ind w:firstLine="480" w:firstLineChars="200"/>
        <w:rPr>
          <w:color w:val="auto"/>
          <w:sz w:val="24"/>
          <w:szCs w:val="24"/>
        </w:rPr>
      </w:pPr>
      <w:r>
        <w:rPr>
          <w:rFonts w:hint="eastAsia"/>
          <w:color w:val="auto"/>
          <w:sz w:val="24"/>
          <w:szCs w:val="24"/>
        </w:rPr>
        <w:t>（四）本合同附件：</w:t>
      </w:r>
    </w:p>
    <w:p w14:paraId="122B88D9">
      <w:pPr>
        <w:widowControl w:val="0"/>
        <w:adjustRightInd/>
        <w:ind w:firstLine="480" w:firstLineChars="200"/>
        <w:rPr>
          <w:color w:val="auto"/>
          <w:sz w:val="24"/>
          <w:szCs w:val="24"/>
        </w:rPr>
      </w:pPr>
      <w:bookmarkStart w:id="21" w:name="_Toc8760_WPSOffice_Level1"/>
      <w:r>
        <w:rPr>
          <w:rFonts w:hint="eastAsia"/>
          <w:color w:val="auto"/>
          <w:sz w:val="24"/>
          <w:szCs w:val="24"/>
        </w:rPr>
        <w:t>附件</w:t>
      </w:r>
      <w:r>
        <w:rPr>
          <w:color w:val="auto"/>
          <w:sz w:val="24"/>
          <w:szCs w:val="24"/>
        </w:rPr>
        <w:t>1</w:t>
      </w:r>
      <w:r>
        <w:rPr>
          <w:rFonts w:hint="eastAsia"/>
          <w:color w:val="auto"/>
          <w:sz w:val="24"/>
          <w:szCs w:val="24"/>
        </w:rPr>
        <w:t>：《报价清单》</w:t>
      </w:r>
      <w:bookmarkEnd w:id="21"/>
    </w:p>
    <w:p w14:paraId="2B2DA34E">
      <w:pPr>
        <w:widowControl w:val="0"/>
        <w:adjustRightInd/>
        <w:ind w:firstLine="480" w:firstLineChars="200"/>
        <w:rPr>
          <w:color w:val="auto"/>
          <w:sz w:val="24"/>
          <w:szCs w:val="24"/>
        </w:rPr>
      </w:pPr>
      <w:bookmarkStart w:id="22" w:name="_Toc29124_WPSOffice_Level1"/>
      <w:r>
        <w:rPr>
          <w:rFonts w:hint="eastAsia"/>
          <w:color w:val="auto"/>
          <w:sz w:val="24"/>
          <w:szCs w:val="24"/>
        </w:rPr>
        <w:t>附件</w:t>
      </w:r>
      <w:r>
        <w:rPr>
          <w:color w:val="auto"/>
          <w:sz w:val="24"/>
          <w:szCs w:val="24"/>
        </w:rPr>
        <w:t>2</w:t>
      </w:r>
      <w:r>
        <w:rPr>
          <w:rFonts w:hint="eastAsia"/>
          <w:color w:val="auto"/>
          <w:sz w:val="24"/>
          <w:szCs w:val="24"/>
        </w:rPr>
        <w:t>：《海心沙环保热电厂纳米液钙试验技术服务采购项目技术需求书》</w:t>
      </w:r>
    </w:p>
    <w:p w14:paraId="10DEC334">
      <w:pPr>
        <w:widowControl w:val="0"/>
        <w:adjustRightInd/>
        <w:ind w:firstLine="480" w:firstLineChars="200"/>
        <w:rPr>
          <w:color w:val="auto"/>
          <w:sz w:val="24"/>
          <w:szCs w:val="24"/>
        </w:rPr>
      </w:pPr>
      <w:r>
        <w:rPr>
          <w:rFonts w:hint="eastAsia"/>
          <w:color w:val="auto"/>
          <w:sz w:val="24"/>
          <w:szCs w:val="24"/>
        </w:rPr>
        <w:t>附件3：《阳光合作协议》</w:t>
      </w:r>
      <w:bookmarkEnd w:id="22"/>
    </w:p>
    <w:p w14:paraId="4CF34987">
      <w:pPr>
        <w:widowControl w:val="0"/>
        <w:adjustRightInd/>
        <w:ind w:firstLine="480" w:firstLineChars="200"/>
        <w:rPr>
          <w:color w:val="auto"/>
          <w:sz w:val="24"/>
          <w:szCs w:val="24"/>
        </w:rPr>
      </w:pPr>
      <w:r>
        <w:rPr>
          <w:rFonts w:hint="eastAsia"/>
          <w:color w:val="auto"/>
          <w:sz w:val="24"/>
          <w:szCs w:val="24"/>
        </w:rPr>
        <w:t>附件4：《安全协议》</w:t>
      </w:r>
    </w:p>
    <w:p w14:paraId="2C589D41">
      <w:pPr>
        <w:rPr>
          <w:color w:val="auto"/>
          <w:sz w:val="24"/>
          <w:szCs w:val="24"/>
        </w:rPr>
      </w:pPr>
    </w:p>
    <w:p w14:paraId="5E959EF4">
      <w:pPr>
        <w:rPr>
          <w:color w:val="auto"/>
          <w:sz w:val="24"/>
          <w:szCs w:val="24"/>
        </w:rPr>
      </w:pPr>
    </w:p>
    <w:p w14:paraId="46D547B6">
      <w:pPr>
        <w:pStyle w:val="2"/>
        <w:rPr>
          <w:color w:val="auto"/>
          <w:sz w:val="24"/>
          <w:szCs w:val="24"/>
        </w:rPr>
      </w:pPr>
    </w:p>
    <w:p w14:paraId="2EFED5F2">
      <w:pPr>
        <w:pStyle w:val="2"/>
        <w:rPr>
          <w:color w:val="auto"/>
          <w:sz w:val="24"/>
          <w:szCs w:val="24"/>
        </w:rPr>
      </w:pPr>
    </w:p>
    <w:p w14:paraId="2CFFD667">
      <w:pPr>
        <w:widowControl w:val="0"/>
        <w:adjustRightInd/>
        <w:rPr>
          <w:color w:val="auto"/>
          <w:sz w:val="24"/>
          <w:szCs w:val="24"/>
        </w:rPr>
      </w:pPr>
      <w:r>
        <w:rPr>
          <w:rFonts w:hint="eastAsia"/>
          <w:color w:val="auto"/>
          <w:sz w:val="24"/>
          <w:szCs w:val="24"/>
        </w:rPr>
        <w:t>甲方（盖章）：</w:t>
      </w:r>
      <w:r>
        <w:rPr>
          <w:color w:val="auto"/>
          <w:sz w:val="24"/>
          <w:szCs w:val="24"/>
        </w:rPr>
        <w:t xml:space="preserve">                </w:t>
      </w:r>
      <w:r>
        <w:rPr>
          <w:rFonts w:hint="eastAsia"/>
          <w:color w:val="auto"/>
          <w:sz w:val="24"/>
          <w:szCs w:val="24"/>
        </w:rPr>
        <w:t xml:space="preserve">      乙方（盖章）： </w:t>
      </w:r>
    </w:p>
    <w:p w14:paraId="6DD0E623">
      <w:pPr>
        <w:widowControl w:val="0"/>
        <w:adjustRightInd/>
        <w:ind w:firstLine="240" w:firstLineChars="100"/>
        <w:rPr>
          <w:color w:val="auto"/>
          <w:sz w:val="24"/>
          <w:szCs w:val="24"/>
        </w:rPr>
      </w:pPr>
    </w:p>
    <w:p w14:paraId="0219B9D1">
      <w:pPr>
        <w:widowControl w:val="0"/>
        <w:adjustRightInd/>
        <w:rPr>
          <w:color w:val="auto"/>
          <w:sz w:val="24"/>
          <w:szCs w:val="24"/>
        </w:rPr>
      </w:pPr>
      <w:r>
        <w:rPr>
          <w:rFonts w:hint="eastAsia"/>
          <w:color w:val="auto"/>
          <w:sz w:val="24"/>
          <w:szCs w:val="24"/>
        </w:rPr>
        <w:t>法定代表人（签章）：</w:t>
      </w:r>
      <w:r>
        <w:rPr>
          <w:color w:val="auto"/>
          <w:sz w:val="24"/>
          <w:szCs w:val="24"/>
        </w:rPr>
        <w:t xml:space="preserve">               </w:t>
      </w:r>
      <w:r>
        <w:rPr>
          <w:rFonts w:hint="eastAsia"/>
          <w:color w:val="auto"/>
          <w:sz w:val="24"/>
          <w:szCs w:val="24"/>
        </w:rPr>
        <w:t>法定代表人（签章）：</w:t>
      </w:r>
    </w:p>
    <w:p w14:paraId="2FFA2606">
      <w:pPr>
        <w:widowControl w:val="0"/>
        <w:adjustRightInd/>
        <w:ind w:firstLine="240" w:firstLineChars="100"/>
        <w:rPr>
          <w:color w:val="auto"/>
          <w:sz w:val="24"/>
          <w:szCs w:val="24"/>
        </w:rPr>
      </w:pPr>
    </w:p>
    <w:p w14:paraId="2A917645">
      <w:pPr>
        <w:widowControl w:val="0"/>
        <w:adjustRightInd/>
        <w:rPr>
          <w:color w:val="auto"/>
          <w:sz w:val="24"/>
          <w:szCs w:val="24"/>
        </w:rPr>
      </w:pPr>
      <w:r>
        <w:rPr>
          <w:rFonts w:hint="eastAsia"/>
          <w:color w:val="auto"/>
          <w:sz w:val="24"/>
          <w:szCs w:val="24"/>
        </w:rPr>
        <w:t>或授权代表人（签字）：</w:t>
      </w:r>
      <w:r>
        <w:rPr>
          <w:color w:val="auto"/>
          <w:sz w:val="24"/>
          <w:szCs w:val="24"/>
        </w:rPr>
        <w:t xml:space="preserve">             </w:t>
      </w:r>
      <w:r>
        <w:rPr>
          <w:rFonts w:hint="eastAsia"/>
          <w:color w:val="auto"/>
          <w:sz w:val="24"/>
          <w:szCs w:val="24"/>
        </w:rPr>
        <w:t>或授权代表人（签字）：</w:t>
      </w:r>
    </w:p>
    <w:p w14:paraId="2973077D">
      <w:pPr>
        <w:widowControl w:val="0"/>
        <w:adjustRightInd/>
        <w:ind w:left="4320" w:leftChars="100" w:hanging="4080" w:hangingChars="1700"/>
        <w:rPr>
          <w:color w:val="auto"/>
          <w:sz w:val="24"/>
          <w:szCs w:val="24"/>
        </w:rPr>
      </w:pPr>
      <w:r>
        <w:rPr>
          <w:color w:val="auto"/>
          <w:sz w:val="24"/>
          <w:szCs w:val="24"/>
        </w:rPr>
        <w:t xml:space="preserve">                                 </w:t>
      </w:r>
    </w:p>
    <w:p w14:paraId="3CF318C2">
      <w:pPr>
        <w:pStyle w:val="2"/>
        <w:widowControl w:val="0"/>
        <w:adjustRightInd/>
        <w:jc w:val="left"/>
        <w:rPr>
          <w:color w:val="auto"/>
          <w:sz w:val="24"/>
          <w:szCs w:val="24"/>
        </w:rPr>
      </w:pPr>
      <w:r>
        <w:rPr>
          <w:rFonts w:hint="eastAsia"/>
          <w:color w:val="auto"/>
          <w:sz w:val="24"/>
          <w:szCs w:val="24"/>
        </w:rPr>
        <w:t>签约地点：东莞市</w:t>
      </w:r>
      <w:r>
        <w:rPr>
          <w:rFonts w:hint="eastAsia"/>
          <w:color w:val="auto"/>
          <w:sz w:val="24"/>
          <w:szCs w:val="24"/>
          <w:lang w:val="en-US"/>
        </w:rPr>
        <w:t xml:space="preserve">                   </w:t>
      </w:r>
      <w:r>
        <w:rPr>
          <w:rFonts w:hint="eastAsia"/>
          <w:color w:val="auto"/>
          <w:sz w:val="24"/>
          <w:szCs w:val="24"/>
        </w:rPr>
        <w:t>签订时间：</w:t>
      </w:r>
      <w:r>
        <w:rPr>
          <w:color w:val="auto"/>
          <w:sz w:val="24"/>
          <w:szCs w:val="24"/>
        </w:rPr>
        <w:t>202</w:t>
      </w:r>
      <w:r>
        <w:rPr>
          <w:rFonts w:hint="eastAsia"/>
          <w:color w:val="auto"/>
          <w:sz w:val="24"/>
          <w:szCs w:val="24"/>
          <w:lang w:val="en-US" w:eastAsia="zh-CN"/>
        </w:rPr>
        <w:t>6</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54A72A4E">
      <w:pPr>
        <w:jc w:val="center"/>
        <w:rPr>
          <w:b/>
          <w:sz w:val="24"/>
          <w:szCs w:val="24"/>
        </w:rPr>
      </w:pPr>
    </w:p>
    <w:p w14:paraId="522C6EB4">
      <w:pPr>
        <w:pStyle w:val="2"/>
        <w:rPr>
          <w:b/>
          <w:sz w:val="24"/>
          <w:szCs w:val="24"/>
        </w:rPr>
      </w:pPr>
    </w:p>
    <w:p w14:paraId="3BADF0AC">
      <w:pPr>
        <w:pStyle w:val="2"/>
        <w:rPr>
          <w:b/>
          <w:sz w:val="24"/>
          <w:szCs w:val="24"/>
        </w:rPr>
      </w:pPr>
    </w:p>
    <w:p w14:paraId="1DAA9A53">
      <w:pPr>
        <w:pStyle w:val="2"/>
        <w:rPr>
          <w:b/>
          <w:sz w:val="24"/>
          <w:szCs w:val="24"/>
        </w:rPr>
      </w:pPr>
    </w:p>
    <w:p w14:paraId="2F09898A">
      <w:pPr>
        <w:rPr>
          <w:b/>
          <w:sz w:val="24"/>
          <w:szCs w:val="24"/>
        </w:rPr>
      </w:pPr>
      <w:r>
        <w:rPr>
          <w:b/>
          <w:sz w:val="24"/>
          <w:szCs w:val="24"/>
        </w:rPr>
        <w:br w:type="page"/>
      </w:r>
    </w:p>
    <w:p w14:paraId="2F79702B">
      <w:pPr>
        <w:pStyle w:val="2"/>
        <w:jc w:val="both"/>
        <w:rPr>
          <w:b/>
          <w:sz w:val="24"/>
          <w:szCs w:val="24"/>
        </w:rPr>
      </w:pPr>
    </w:p>
    <w:p w14:paraId="6BC6C20E">
      <w:pPr>
        <w:widowControl w:val="0"/>
        <w:adjustRightInd/>
        <w:ind w:firstLine="480" w:firstLineChars="200"/>
        <w:rPr>
          <w:color w:val="auto"/>
          <w:sz w:val="24"/>
          <w:szCs w:val="24"/>
        </w:rPr>
      </w:pPr>
      <w:r>
        <w:rPr>
          <w:rFonts w:hint="eastAsia"/>
          <w:color w:val="auto"/>
          <w:sz w:val="24"/>
          <w:szCs w:val="24"/>
        </w:rPr>
        <w:t>附件</w:t>
      </w:r>
      <w:r>
        <w:rPr>
          <w:color w:val="auto"/>
          <w:sz w:val="24"/>
          <w:szCs w:val="24"/>
        </w:rPr>
        <w:t>1</w:t>
      </w:r>
      <w:r>
        <w:rPr>
          <w:rFonts w:hint="eastAsia"/>
          <w:color w:val="auto"/>
          <w:sz w:val="24"/>
          <w:szCs w:val="24"/>
        </w:rPr>
        <w:t>：《报价清单》</w:t>
      </w:r>
    </w:p>
    <w:p w14:paraId="781922E8">
      <w:pPr>
        <w:pStyle w:val="2"/>
        <w:rPr>
          <w:b/>
          <w:sz w:val="24"/>
          <w:szCs w:val="24"/>
        </w:rPr>
      </w:pPr>
    </w:p>
    <w:p w14:paraId="55699514">
      <w:pPr>
        <w:pStyle w:val="2"/>
        <w:rPr>
          <w:b/>
          <w:sz w:val="24"/>
          <w:szCs w:val="24"/>
        </w:rPr>
      </w:pPr>
    </w:p>
    <w:p w14:paraId="61408C9C">
      <w:pPr>
        <w:pStyle w:val="2"/>
        <w:rPr>
          <w:b/>
          <w:sz w:val="24"/>
          <w:szCs w:val="24"/>
        </w:rPr>
      </w:pPr>
    </w:p>
    <w:p w14:paraId="03D79280">
      <w:pPr>
        <w:pStyle w:val="2"/>
        <w:rPr>
          <w:b/>
          <w:sz w:val="24"/>
          <w:szCs w:val="24"/>
        </w:rPr>
      </w:pPr>
    </w:p>
    <w:p w14:paraId="3A2827EF">
      <w:pPr>
        <w:pStyle w:val="2"/>
        <w:rPr>
          <w:b/>
          <w:sz w:val="24"/>
          <w:szCs w:val="24"/>
        </w:rPr>
      </w:pPr>
    </w:p>
    <w:p w14:paraId="27A2050E">
      <w:pPr>
        <w:pStyle w:val="2"/>
        <w:rPr>
          <w:b/>
          <w:sz w:val="24"/>
          <w:szCs w:val="24"/>
        </w:rPr>
      </w:pPr>
    </w:p>
    <w:p w14:paraId="07989E26">
      <w:pPr>
        <w:pStyle w:val="2"/>
        <w:rPr>
          <w:b/>
          <w:sz w:val="24"/>
          <w:szCs w:val="24"/>
        </w:rPr>
      </w:pPr>
    </w:p>
    <w:p w14:paraId="2E693F09">
      <w:pPr>
        <w:pStyle w:val="2"/>
        <w:rPr>
          <w:b/>
          <w:sz w:val="24"/>
          <w:szCs w:val="24"/>
        </w:rPr>
      </w:pPr>
    </w:p>
    <w:p w14:paraId="071324F7">
      <w:pPr>
        <w:pStyle w:val="2"/>
        <w:rPr>
          <w:b/>
          <w:sz w:val="24"/>
          <w:szCs w:val="24"/>
        </w:rPr>
      </w:pPr>
    </w:p>
    <w:p w14:paraId="091E949A">
      <w:pPr>
        <w:pStyle w:val="2"/>
        <w:rPr>
          <w:b/>
          <w:sz w:val="24"/>
          <w:szCs w:val="24"/>
        </w:rPr>
      </w:pPr>
    </w:p>
    <w:p w14:paraId="263A09D1">
      <w:pPr>
        <w:pStyle w:val="2"/>
        <w:rPr>
          <w:b/>
          <w:sz w:val="24"/>
          <w:szCs w:val="24"/>
        </w:rPr>
      </w:pPr>
    </w:p>
    <w:p w14:paraId="4E1B295F">
      <w:pPr>
        <w:pStyle w:val="2"/>
        <w:rPr>
          <w:b/>
          <w:sz w:val="24"/>
          <w:szCs w:val="24"/>
        </w:rPr>
      </w:pPr>
    </w:p>
    <w:p w14:paraId="33A585F6">
      <w:pPr>
        <w:pStyle w:val="2"/>
        <w:rPr>
          <w:b/>
          <w:sz w:val="24"/>
          <w:szCs w:val="24"/>
        </w:rPr>
      </w:pPr>
    </w:p>
    <w:p w14:paraId="1DE16333">
      <w:pPr>
        <w:pStyle w:val="2"/>
        <w:rPr>
          <w:b/>
          <w:sz w:val="24"/>
          <w:szCs w:val="24"/>
        </w:rPr>
      </w:pPr>
    </w:p>
    <w:p w14:paraId="425E025B">
      <w:pPr>
        <w:pStyle w:val="2"/>
        <w:rPr>
          <w:b/>
          <w:sz w:val="24"/>
          <w:szCs w:val="24"/>
        </w:rPr>
      </w:pPr>
    </w:p>
    <w:p w14:paraId="3A22448A">
      <w:pPr>
        <w:pStyle w:val="2"/>
        <w:rPr>
          <w:b/>
          <w:sz w:val="24"/>
          <w:szCs w:val="24"/>
        </w:rPr>
      </w:pPr>
    </w:p>
    <w:p w14:paraId="18B7F5BC">
      <w:pPr>
        <w:pStyle w:val="2"/>
        <w:rPr>
          <w:b/>
          <w:sz w:val="24"/>
          <w:szCs w:val="24"/>
        </w:rPr>
      </w:pPr>
    </w:p>
    <w:p w14:paraId="3855A54F">
      <w:pPr>
        <w:pStyle w:val="2"/>
        <w:rPr>
          <w:b/>
          <w:sz w:val="24"/>
          <w:szCs w:val="24"/>
        </w:rPr>
      </w:pPr>
    </w:p>
    <w:p w14:paraId="653A3715">
      <w:pPr>
        <w:pStyle w:val="2"/>
        <w:rPr>
          <w:b/>
          <w:sz w:val="24"/>
          <w:szCs w:val="24"/>
        </w:rPr>
      </w:pPr>
    </w:p>
    <w:p w14:paraId="10EECC4F">
      <w:pPr>
        <w:pStyle w:val="2"/>
        <w:rPr>
          <w:b/>
          <w:sz w:val="24"/>
          <w:szCs w:val="24"/>
        </w:rPr>
      </w:pPr>
    </w:p>
    <w:p w14:paraId="28176487">
      <w:pPr>
        <w:pStyle w:val="2"/>
        <w:rPr>
          <w:b/>
          <w:sz w:val="24"/>
          <w:szCs w:val="24"/>
        </w:rPr>
      </w:pPr>
    </w:p>
    <w:p w14:paraId="16C0A0A3">
      <w:pPr>
        <w:pStyle w:val="2"/>
        <w:rPr>
          <w:b/>
          <w:sz w:val="24"/>
          <w:szCs w:val="24"/>
        </w:rPr>
      </w:pPr>
    </w:p>
    <w:p w14:paraId="3C7A7D2D">
      <w:pPr>
        <w:pStyle w:val="2"/>
        <w:rPr>
          <w:b/>
          <w:sz w:val="24"/>
          <w:szCs w:val="24"/>
        </w:rPr>
      </w:pPr>
    </w:p>
    <w:p w14:paraId="5FCA1CAF">
      <w:pPr>
        <w:pStyle w:val="2"/>
        <w:rPr>
          <w:b/>
          <w:sz w:val="24"/>
          <w:szCs w:val="24"/>
        </w:rPr>
      </w:pPr>
    </w:p>
    <w:p w14:paraId="1811E8D2">
      <w:pPr>
        <w:pStyle w:val="2"/>
        <w:rPr>
          <w:b/>
          <w:sz w:val="24"/>
          <w:szCs w:val="24"/>
        </w:rPr>
      </w:pPr>
    </w:p>
    <w:p w14:paraId="155EDDBB">
      <w:pPr>
        <w:pStyle w:val="2"/>
        <w:rPr>
          <w:b/>
          <w:sz w:val="24"/>
          <w:szCs w:val="24"/>
        </w:rPr>
      </w:pPr>
    </w:p>
    <w:p w14:paraId="1F1F27B2">
      <w:pPr>
        <w:pStyle w:val="2"/>
        <w:rPr>
          <w:b/>
          <w:sz w:val="24"/>
          <w:szCs w:val="24"/>
        </w:rPr>
      </w:pPr>
    </w:p>
    <w:p w14:paraId="6122A8FB">
      <w:pPr>
        <w:pStyle w:val="2"/>
        <w:rPr>
          <w:b/>
          <w:sz w:val="24"/>
          <w:szCs w:val="24"/>
        </w:rPr>
      </w:pPr>
    </w:p>
    <w:p w14:paraId="7600AB7D">
      <w:pPr>
        <w:pStyle w:val="2"/>
        <w:rPr>
          <w:b/>
          <w:sz w:val="24"/>
          <w:szCs w:val="24"/>
        </w:rPr>
      </w:pPr>
    </w:p>
    <w:p w14:paraId="26EE1320">
      <w:pPr>
        <w:pStyle w:val="2"/>
        <w:rPr>
          <w:b/>
          <w:sz w:val="24"/>
          <w:szCs w:val="24"/>
        </w:rPr>
      </w:pPr>
    </w:p>
    <w:p w14:paraId="2AF33ABF">
      <w:pPr>
        <w:pStyle w:val="2"/>
        <w:rPr>
          <w:b/>
          <w:sz w:val="24"/>
          <w:szCs w:val="24"/>
        </w:rPr>
      </w:pPr>
    </w:p>
    <w:p w14:paraId="643A33C2">
      <w:pPr>
        <w:pStyle w:val="2"/>
        <w:rPr>
          <w:b/>
          <w:sz w:val="24"/>
          <w:szCs w:val="24"/>
        </w:rPr>
      </w:pPr>
    </w:p>
    <w:p w14:paraId="5758A370">
      <w:pPr>
        <w:pStyle w:val="2"/>
        <w:rPr>
          <w:b/>
          <w:sz w:val="24"/>
          <w:szCs w:val="24"/>
        </w:rPr>
      </w:pPr>
    </w:p>
    <w:p w14:paraId="6A30E976">
      <w:pPr>
        <w:pStyle w:val="2"/>
        <w:rPr>
          <w:b/>
          <w:sz w:val="24"/>
          <w:szCs w:val="24"/>
        </w:rPr>
      </w:pPr>
    </w:p>
    <w:p w14:paraId="01FE3A25">
      <w:pPr>
        <w:pStyle w:val="2"/>
        <w:rPr>
          <w:b/>
          <w:sz w:val="24"/>
          <w:szCs w:val="24"/>
        </w:rPr>
      </w:pPr>
    </w:p>
    <w:p w14:paraId="37CEB430">
      <w:pPr>
        <w:pStyle w:val="2"/>
        <w:rPr>
          <w:b/>
          <w:sz w:val="24"/>
          <w:szCs w:val="24"/>
        </w:rPr>
      </w:pPr>
    </w:p>
    <w:p w14:paraId="1604777D">
      <w:pPr>
        <w:pStyle w:val="2"/>
        <w:rPr>
          <w:b/>
          <w:sz w:val="24"/>
          <w:szCs w:val="24"/>
        </w:rPr>
      </w:pPr>
    </w:p>
    <w:p w14:paraId="248A30EC">
      <w:pPr>
        <w:pStyle w:val="2"/>
        <w:rPr>
          <w:b/>
          <w:sz w:val="24"/>
          <w:szCs w:val="24"/>
        </w:rPr>
      </w:pPr>
    </w:p>
    <w:p w14:paraId="2842000E">
      <w:pPr>
        <w:pStyle w:val="2"/>
        <w:rPr>
          <w:b/>
          <w:sz w:val="24"/>
          <w:szCs w:val="24"/>
        </w:rPr>
      </w:pPr>
    </w:p>
    <w:p w14:paraId="1E958147">
      <w:pPr>
        <w:pStyle w:val="2"/>
        <w:rPr>
          <w:b/>
          <w:sz w:val="24"/>
          <w:szCs w:val="24"/>
        </w:rPr>
      </w:pPr>
    </w:p>
    <w:p w14:paraId="1F0C76A8">
      <w:pPr>
        <w:pStyle w:val="2"/>
        <w:rPr>
          <w:b/>
          <w:sz w:val="24"/>
          <w:szCs w:val="24"/>
        </w:rPr>
      </w:pPr>
    </w:p>
    <w:p w14:paraId="7A5CDDD7">
      <w:pPr>
        <w:pStyle w:val="2"/>
        <w:rPr>
          <w:b/>
          <w:sz w:val="24"/>
          <w:szCs w:val="24"/>
        </w:rPr>
      </w:pPr>
    </w:p>
    <w:p w14:paraId="77A48C90">
      <w:pPr>
        <w:pStyle w:val="2"/>
        <w:rPr>
          <w:b/>
          <w:sz w:val="24"/>
          <w:szCs w:val="24"/>
        </w:rPr>
      </w:pPr>
    </w:p>
    <w:p w14:paraId="1F6ECC11">
      <w:pPr>
        <w:pStyle w:val="2"/>
        <w:rPr>
          <w:b/>
          <w:sz w:val="24"/>
          <w:szCs w:val="24"/>
        </w:rPr>
      </w:pPr>
    </w:p>
    <w:p w14:paraId="65B15144">
      <w:pPr>
        <w:pStyle w:val="2"/>
        <w:rPr>
          <w:b/>
          <w:sz w:val="24"/>
          <w:szCs w:val="24"/>
        </w:rPr>
      </w:pPr>
    </w:p>
    <w:p w14:paraId="6FF5B711">
      <w:pPr>
        <w:widowControl w:val="0"/>
        <w:adjustRightInd/>
        <w:ind w:firstLine="480" w:firstLineChars="200"/>
        <w:rPr>
          <w:color w:val="auto"/>
          <w:sz w:val="24"/>
          <w:szCs w:val="24"/>
        </w:rPr>
      </w:pPr>
      <w:r>
        <w:rPr>
          <w:rFonts w:hint="eastAsia"/>
          <w:color w:val="auto"/>
          <w:sz w:val="24"/>
          <w:szCs w:val="24"/>
        </w:rPr>
        <w:t>附件</w:t>
      </w:r>
      <w:r>
        <w:rPr>
          <w:color w:val="auto"/>
          <w:sz w:val="24"/>
          <w:szCs w:val="24"/>
        </w:rPr>
        <w:t>2</w:t>
      </w:r>
      <w:r>
        <w:rPr>
          <w:rFonts w:hint="eastAsia"/>
          <w:color w:val="auto"/>
          <w:sz w:val="24"/>
          <w:szCs w:val="24"/>
        </w:rPr>
        <w:t>：《海心沙环保热电厂纳米液钙试验技术服务采购项目技术需求书》</w:t>
      </w:r>
    </w:p>
    <w:p w14:paraId="5D0FDBFB">
      <w:pPr>
        <w:pStyle w:val="2"/>
        <w:rPr>
          <w:b/>
          <w:sz w:val="24"/>
          <w:szCs w:val="24"/>
        </w:rPr>
      </w:pPr>
    </w:p>
    <w:p w14:paraId="5D9D66ED">
      <w:pPr>
        <w:pStyle w:val="2"/>
        <w:rPr>
          <w:b/>
          <w:sz w:val="24"/>
          <w:szCs w:val="24"/>
        </w:rPr>
      </w:pPr>
    </w:p>
    <w:p w14:paraId="79CBBAA2">
      <w:pPr>
        <w:pStyle w:val="2"/>
        <w:rPr>
          <w:b/>
          <w:sz w:val="24"/>
          <w:szCs w:val="24"/>
        </w:rPr>
      </w:pPr>
    </w:p>
    <w:p w14:paraId="385B0774">
      <w:pPr>
        <w:pStyle w:val="2"/>
        <w:rPr>
          <w:b/>
          <w:sz w:val="24"/>
          <w:szCs w:val="24"/>
        </w:rPr>
      </w:pPr>
    </w:p>
    <w:p w14:paraId="71446B73">
      <w:pPr>
        <w:pStyle w:val="2"/>
        <w:rPr>
          <w:b/>
          <w:sz w:val="24"/>
          <w:szCs w:val="24"/>
        </w:rPr>
      </w:pPr>
    </w:p>
    <w:p w14:paraId="4633D162">
      <w:pPr>
        <w:pStyle w:val="2"/>
        <w:rPr>
          <w:b/>
          <w:sz w:val="24"/>
          <w:szCs w:val="24"/>
        </w:rPr>
      </w:pPr>
    </w:p>
    <w:p w14:paraId="780FD2BD">
      <w:pPr>
        <w:pStyle w:val="2"/>
        <w:rPr>
          <w:b/>
          <w:sz w:val="24"/>
          <w:szCs w:val="24"/>
        </w:rPr>
      </w:pPr>
    </w:p>
    <w:p w14:paraId="236169C7">
      <w:pPr>
        <w:pStyle w:val="2"/>
        <w:rPr>
          <w:b/>
          <w:sz w:val="24"/>
          <w:szCs w:val="24"/>
        </w:rPr>
      </w:pPr>
    </w:p>
    <w:p w14:paraId="5D53FCC3">
      <w:pPr>
        <w:pStyle w:val="2"/>
        <w:rPr>
          <w:b/>
          <w:sz w:val="24"/>
          <w:szCs w:val="24"/>
        </w:rPr>
      </w:pPr>
    </w:p>
    <w:p w14:paraId="33AFD552">
      <w:pPr>
        <w:pStyle w:val="2"/>
        <w:rPr>
          <w:b/>
          <w:sz w:val="24"/>
          <w:szCs w:val="24"/>
        </w:rPr>
      </w:pPr>
    </w:p>
    <w:p w14:paraId="4468EDBC">
      <w:pPr>
        <w:pStyle w:val="2"/>
        <w:rPr>
          <w:b/>
          <w:sz w:val="24"/>
          <w:szCs w:val="24"/>
        </w:rPr>
      </w:pPr>
    </w:p>
    <w:p w14:paraId="7AE26AF4">
      <w:pPr>
        <w:pStyle w:val="2"/>
        <w:rPr>
          <w:b/>
          <w:sz w:val="24"/>
          <w:szCs w:val="24"/>
        </w:rPr>
      </w:pPr>
    </w:p>
    <w:p w14:paraId="2D45A100">
      <w:pPr>
        <w:pStyle w:val="2"/>
        <w:rPr>
          <w:b/>
          <w:sz w:val="24"/>
          <w:szCs w:val="24"/>
        </w:rPr>
      </w:pPr>
    </w:p>
    <w:p w14:paraId="36C95AD5">
      <w:pPr>
        <w:pStyle w:val="2"/>
        <w:rPr>
          <w:b/>
          <w:sz w:val="24"/>
          <w:szCs w:val="24"/>
        </w:rPr>
      </w:pPr>
    </w:p>
    <w:p w14:paraId="23D7DDCF">
      <w:pPr>
        <w:pStyle w:val="2"/>
        <w:rPr>
          <w:b/>
          <w:sz w:val="24"/>
          <w:szCs w:val="24"/>
        </w:rPr>
      </w:pPr>
    </w:p>
    <w:p w14:paraId="78C7A5FC">
      <w:pPr>
        <w:pStyle w:val="2"/>
        <w:rPr>
          <w:b/>
          <w:sz w:val="24"/>
          <w:szCs w:val="24"/>
        </w:rPr>
      </w:pPr>
    </w:p>
    <w:p w14:paraId="4F20EDF0">
      <w:pPr>
        <w:pStyle w:val="2"/>
        <w:rPr>
          <w:b/>
          <w:sz w:val="24"/>
          <w:szCs w:val="24"/>
        </w:rPr>
      </w:pPr>
    </w:p>
    <w:p w14:paraId="2B761FFC">
      <w:pPr>
        <w:pStyle w:val="2"/>
        <w:rPr>
          <w:b/>
          <w:sz w:val="24"/>
          <w:szCs w:val="24"/>
        </w:rPr>
      </w:pPr>
    </w:p>
    <w:p w14:paraId="5B50F55F">
      <w:pPr>
        <w:pStyle w:val="2"/>
        <w:rPr>
          <w:b/>
          <w:sz w:val="24"/>
          <w:szCs w:val="24"/>
        </w:rPr>
      </w:pPr>
    </w:p>
    <w:p w14:paraId="73ADD4D4">
      <w:pPr>
        <w:pStyle w:val="2"/>
        <w:rPr>
          <w:b/>
          <w:sz w:val="24"/>
          <w:szCs w:val="24"/>
        </w:rPr>
      </w:pPr>
    </w:p>
    <w:p w14:paraId="3F95A91E">
      <w:pPr>
        <w:pStyle w:val="2"/>
        <w:rPr>
          <w:b/>
          <w:sz w:val="24"/>
          <w:szCs w:val="24"/>
        </w:rPr>
      </w:pPr>
    </w:p>
    <w:p w14:paraId="5F076A2A">
      <w:pPr>
        <w:pStyle w:val="2"/>
        <w:rPr>
          <w:b/>
          <w:sz w:val="24"/>
          <w:szCs w:val="24"/>
        </w:rPr>
      </w:pPr>
    </w:p>
    <w:p w14:paraId="542090AB">
      <w:pPr>
        <w:pStyle w:val="2"/>
        <w:rPr>
          <w:b/>
          <w:sz w:val="24"/>
          <w:szCs w:val="24"/>
        </w:rPr>
      </w:pPr>
    </w:p>
    <w:p w14:paraId="3C95F695">
      <w:pPr>
        <w:pStyle w:val="2"/>
        <w:rPr>
          <w:b/>
          <w:sz w:val="24"/>
          <w:szCs w:val="24"/>
        </w:rPr>
      </w:pPr>
    </w:p>
    <w:p w14:paraId="39157667">
      <w:pPr>
        <w:pStyle w:val="2"/>
        <w:rPr>
          <w:b/>
          <w:sz w:val="24"/>
          <w:szCs w:val="24"/>
        </w:rPr>
      </w:pPr>
    </w:p>
    <w:p w14:paraId="3715CE62">
      <w:pPr>
        <w:pStyle w:val="2"/>
        <w:rPr>
          <w:b/>
          <w:sz w:val="24"/>
          <w:szCs w:val="24"/>
        </w:rPr>
      </w:pPr>
    </w:p>
    <w:p w14:paraId="6A667537">
      <w:pPr>
        <w:pStyle w:val="2"/>
        <w:rPr>
          <w:b/>
          <w:sz w:val="24"/>
          <w:szCs w:val="24"/>
        </w:rPr>
      </w:pPr>
    </w:p>
    <w:p w14:paraId="7CAC784E">
      <w:pPr>
        <w:pStyle w:val="2"/>
        <w:rPr>
          <w:b/>
          <w:sz w:val="24"/>
          <w:szCs w:val="24"/>
        </w:rPr>
      </w:pPr>
    </w:p>
    <w:p w14:paraId="2E2058FB">
      <w:pPr>
        <w:pStyle w:val="2"/>
        <w:rPr>
          <w:b/>
          <w:sz w:val="24"/>
          <w:szCs w:val="24"/>
        </w:rPr>
      </w:pPr>
    </w:p>
    <w:p w14:paraId="0B6B9A70">
      <w:pPr>
        <w:pStyle w:val="2"/>
        <w:rPr>
          <w:b/>
          <w:sz w:val="24"/>
          <w:szCs w:val="24"/>
        </w:rPr>
      </w:pPr>
    </w:p>
    <w:p w14:paraId="065F2131">
      <w:pPr>
        <w:pStyle w:val="2"/>
        <w:rPr>
          <w:b/>
          <w:sz w:val="24"/>
          <w:szCs w:val="24"/>
        </w:rPr>
      </w:pPr>
    </w:p>
    <w:p w14:paraId="6B5E5E39">
      <w:pPr>
        <w:pStyle w:val="2"/>
        <w:rPr>
          <w:b/>
          <w:sz w:val="24"/>
          <w:szCs w:val="24"/>
        </w:rPr>
      </w:pPr>
    </w:p>
    <w:p w14:paraId="55158561">
      <w:pPr>
        <w:pStyle w:val="2"/>
        <w:rPr>
          <w:b/>
          <w:sz w:val="24"/>
          <w:szCs w:val="24"/>
        </w:rPr>
      </w:pPr>
    </w:p>
    <w:p w14:paraId="4BA24EF5">
      <w:pPr>
        <w:pStyle w:val="2"/>
        <w:rPr>
          <w:b/>
          <w:sz w:val="24"/>
          <w:szCs w:val="24"/>
        </w:rPr>
      </w:pPr>
    </w:p>
    <w:p w14:paraId="75663805">
      <w:pPr>
        <w:pStyle w:val="2"/>
        <w:rPr>
          <w:b/>
          <w:sz w:val="24"/>
          <w:szCs w:val="24"/>
        </w:rPr>
      </w:pPr>
    </w:p>
    <w:p w14:paraId="13B58B87">
      <w:pPr>
        <w:pStyle w:val="2"/>
        <w:rPr>
          <w:b/>
          <w:sz w:val="24"/>
          <w:szCs w:val="24"/>
        </w:rPr>
      </w:pPr>
    </w:p>
    <w:p w14:paraId="3F1D30A0">
      <w:pPr>
        <w:pStyle w:val="2"/>
        <w:rPr>
          <w:b/>
          <w:sz w:val="24"/>
          <w:szCs w:val="24"/>
        </w:rPr>
      </w:pPr>
    </w:p>
    <w:p w14:paraId="3C72D6D3">
      <w:pPr>
        <w:pStyle w:val="2"/>
        <w:rPr>
          <w:b/>
          <w:sz w:val="24"/>
          <w:szCs w:val="24"/>
        </w:rPr>
      </w:pPr>
    </w:p>
    <w:p w14:paraId="2AFF206A">
      <w:pPr>
        <w:pStyle w:val="2"/>
        <w:rPr>
          <w:b/>
          <w:sz w:val="24"/>
          <w:szCs w:val="24"/>
        </w:rPr>
      </w:pPr>
    </w:p>
    <w:p w14:paraId="1F6A71C8">
      <w:pPr>
        <w:pStyle w:val="2"/>
        <w:rPr>
          <w:b/>
          <w:sz w:val="24"/>
          <w:szCs w:val="24"/>
        </w:rPr>
      </w:pPr>
    </w:p>
    <w:p w14:paraId="2DDF48F7">
      <w:pPr>
        <w:pStyle w:val="2"/>
        <w:rPr>
          <w:b/>
          <w:sz w:val="24"/>
          <w:szCs w:val="24"/>
        </w:rPr>
      </w:pPr>
    </w:p>
    <w:p w14:paraId="2FBF9827">
      <w:pPr>
        <w:pStyle w:val="2"/>
        <w:rPr>
          <w:b/>
          <w:sz w:val="24"/>
          <w:szCs w:val="24"/>
        </w:rPr>
      </w:pPr>
    </w:p>
    <w:p w14:paraId="54DEEA90">
      <w:pPr>
        <w:pStyle w:val="2"/>
        <w:rPr>
          <w:b/>
          <w:sz w:val="24"/>
          <w:szCs w:val="24"/>
        </w:rPr>
      </w:pPr>
    </w:p>
    <w:p w14:paraId="3DABE63D">
      <w:pPr>
        <w:pStyle w:val="2"/>
        <w:rPr>
          <w:b/>
          <w:sz w:val="24"/>
          <w:szCs w:val="24"/>
        </w:rPr>
      </w:pPr>
    </w:p>
    <w:p w14:paraId="44A8A848">
      <w:pPr>
        <w:widowControl w:val="0"/>
        <w:adjustRightInd/>
        <w:ind w:firstLine="480" w:firstLineChars="200"/>
        <w:rPr>
          <w:color w:val="auto"/>
          <w:sz w:val="24"/>
          <w:szCs w:val="24"/>
        </w:rPr>
      </w:pPr>
      <w:r>
        <w:rPr>
          <w:rFonts w:hint="eastAsia"/>
          <w:color w:val="auto"/>
          <w:sz w:val="24"/>
          <w:szCs w:val="24"/>
        </w:rPr>
        <w:t>附件3：</w:t>
      </w:r>
    </w:p>
    <w:p w14:paraId="64E80D27">
      <w:pPr>
        <w:jc w:val="center"/>
        <w:rPr>
          <w:rFonts w:eastAsia="方正小标宋简体"/>
          <w:b/>
          <w:color w:val="auto"/>
          <w:sz w:val="44"/>
          <w:szCs w:val="44"/>
        </w:rPr>
      </w:pPr>
      <w:bookmarkStart w:id="23" w:name="_Toc23645_WPSOffice_Level1"/>
      <w:r>
        <w:rPr>
          <w:rFonts w:hint="eastAsia" w:eastAsia="方正小标宋简体"/>
          <w:b/>
          <w:color w:val="auto"/>
          <w:sz w:val="44"/>
          <w:szCs w:val="44"/>
        </w:rPr>
        <w:t>阳光合作协议</w:t>
      </w:r>
      <w:bookmarkEnd w:id="23"/>
    </w:p>
    <w:p w14:paraId="73E87C57">
      <w:pPr>
        <w:adjustRightInd/>
        <w:rPr>
          <w:b/>
          <w:color w:val="auto"/>
          <w:sz w:val="28"/>
          <w:szCs w:val="28"/>
        </w:rPr>
      </w:pPr>
    </w:p>
    <w:p w14:paraId="4C80477D">
      <w:pPr>
        <w:adjustRightInd/>
        <w:spacing w:before="156" w:beforeLines="50" w:after="156" w:afterLines="50"/>
        <w:contextualSpacing/>
        <w:rPr>
          <w:color w:val="auto"/>
          <w:sz w:val="24"/>
          <w:szCs w:val="24"/>
        </w:rPr>
      </w:pPr>
      <w:r>
        <w:rPr>
          <w:rFonts w:hint="eastAsia"/>
          <w:color w:val="auto"/>
          <w:sz w:val="24"/>
          <w:szCs w:val="24"/>
        </w:rPr>
        <w:t>甲方（采购方全称）：</w:t>
      </w:r>
      <w:r>
        <w:rPr>
          <w:color w:val="auto"/>
          <w:sz w:val="24"/>
          <w:szCs w:val="24"/>
        </w:rPr>
        <w:t xml:space="preserve"> </w:t>
      </w:r>
      <w:r>
        <w:rPr>
          <w:rFonts w:hint="eastAsia"/>
          <w:color w:val="auto"/>
          <w:sz w:val="24"/>
          <w:szCs w:val="24"/>
        </w:rPr>
        <w:t>东莞市新东元环保投资有限公司</w:t>
      </w:r>
    </w:p>
    <w:p w14:paraId="17EF1F2F">
      <w:pPr>
        <w:adjustRightInd/>
        <w:rPr>
          <w:color w:val="auto"/>
        </w:rPr>
      </w:pPr>
      <w:r>
        <w:rPr>
          <w:rFonts w:hint="eastAsia"/>
          <w:color w:val="auto"/>
          <w:sz w:val="24"/>
          <w:szCs w:val="24"/>
        </w:rPr>
        <w:t xml:space="preserve">乙方（供应方全称）： </w:t>
      </w:r>
      <w:r>
        <w:rPr>
          <w:color w:val="auto"/>
          <w:sz w:val="24"/>
          <w:szCs w:val="24"/>
        </w:rPr>
        <w:t xml:space="preserve">       </w:t>
      </w:r>
      <w:r>
        <w:rPr>
          <w:rFonts w:hint="eastAsia"/>
          <w:color w:val="auto"/>
        </w:rPr>
        <w:t xml:space="preserve">    </w:t>
      </w:r>
    </w:p>
    <w:p w14:paraId="3D2C347A">
      <w:pPr>
        <w:adjustRightInd/>
        <w:spacing w:before="156" w:beforeLines="50" w:after="156" w:afterLines="50"/>
        <w:ind w:firstLine="480" w:firstLineChars="200"/>
        <w:contextualSpacing/>
        <w:rPr>
          <w:rFonts w:ascii="宋体"/>
          <w:color w:val="auto"/>
        </w:rPr>
      </w:pPr>
      <w:r>
        <w:rPr>
          <w:rFonts w:hint="eastAsia"/>
          <w:color w:val="auto"/>
        </w:rPr>
        <w:t>甲乙双方于</w:t>
      </w:r>
      <w:r>
        <w:rPr>
          <w:color w:val="auto"/>
        </w:rPr>
        <w:t>202</w:t>
      </w:r>
      <w:r>
        <w:rPr>
          <w:rFonts w:hint="eastAsia"/>
          <w:color w:val="auto"/>
          <w:lang w:val="en-US" w:eastAsia="zh-CN"/>
        </w:rPr>
        <w:t>6</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日签署了《海心沙环保热电厂纳米液钙试验技术服务采购项目合同》</w:t>
      </w:r>
      <w:r>
        <w:rPr>
          <w:rFonts w:hint="eastAsia" w:ascii="宋体" w:hAnsi="宋体"/>
          <w:color w:val="auto"/>
        </w:rPr>
        <w:t>，为加强双方阳光合作，保证职员职业安全，甲乙双方经协商签订本协议并作为双方共同遵守的阳光合作行为准则。</w:t>
      </w:r>
    </w:p>
    <w:p w14:paraId="42DAB8D0">
      <w:pPr>
        <w:adjustRightInd/>
        <w:spacing w:before="156" w:beforeLines="50" w:after="156" w:afterLines="50"/>
        <w:ind w:left="480" w:leftChars="200"/>
        <w:contextualSpacing/>
        <w:rPr>
          <w:rFonts w:ascii="宋体" w:hAnsi="宋体"/>
          <w:b/>
          <w:color w:val="auto"/>
        </w:rPr>
      </w:pPr>
      <w:r>
        <w:rPr>
          <w:rFonts w:hint="eastAsia" w:ascii="宋体" w:hAnsi="宋体"/>
          <w:b/>
          <w:color w:val="auto"/>
        </w:rPr>
        <w:t>一、甲方责任</w:t>
      </w:r>
    </w:p>
    <w:p w14:paraId="5113E7AC">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1.甲方有责任向乙方介绍本单位有关采购管理通用原则和本协议的规定。</w:t>
      </w:r>
    </w:p>
    <w:p w14:paraId="630AE5A1">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2.甲方有责任对本单位相关人员进行阳光合作教育。</w:t>
      </w:r>
    </w:p>
    <w:p w14:paraId="37A0B4DA">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46AB625">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4.甲方人员如违反阳光合作管理制度及本协议规定，甲方视情节轻重、影响大小给予行政及经济处罚。</w:t>
      </w:r>
    </w:p>
    <w:p w14:paraId="641D307F">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5．对于乙方举报甲方人员违反阳光合作规定的情况，甲方应及时进行调查，根据调查情况进行处理，并将调查结果向乙方反馈。</w:t>
      </w:r>
    </w:p>
    <w:p w14:paraId="6A8BA900">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6.接受举报的一方应为举报方保密，不得对举报方进行报复，对举报属实和严格遵守《阳光合作协议》的合作方，在同等条件下给予后续合作的优先权。</w:t>
      </w:r>
    </w:p>
    <w:p w14:paraId="6F60BE02">
      <w:pPr>
        <w:adjustRightInd/>
        <w:spacing w:before="156" w:beforeLines="50" w:after="156" w:afterLines="50"/>
        <w:ind w:left="480" w:leftChars="200"/>
        <w:contextualSpacing/>
        <w:rPr>
          <w:rFonts w:ascii="宋体" w:hAnsi="宋体"/>
          <w:b/>
          <w:color w:val="auto"/>
        </w:rPr>
      </w:pPr>
      <w:r>
        <w:rPr>
          <w:rFonts w:hint="eastAsia" w:ascii="宋体" w:hAnsi="宋体"/>
          <w:b/>
          <w:color w:val="auto"/>
        </w:rPr>
        <w:t>二、乙方责任</w:t>
      </w:r>
    </w:p>
    <w:p w14:paraId="24FC5B5D">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1.乙方应保证乙方人员了解甲方有关采购管理通用原则和及本协议的规定，并遵照执行。</w:t>
      </w:r>
    </w:p>
    <w:p w14:paraId="640D29EE">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2.乙方不得以任何形式给予甲方人员回扣、赠送实物、现金、有价证券、礼券等有价物品或提供旅游等其他可能影响职务行为公正履行的活动（以下统称“财物”）。</w:t>
      </w:r>
    </w:p>
    <w:p w14:paraId="73E87C11">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6A2E1EF8">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风控法务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0A3F795F">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 xml:space="preserve">5．甲方接受乙方实名或匿名举报，保证为举报者的信息保密，常设举报部门及电话： </w:t>
      </w:r>
    </w:p>
    <w:p w14:paraId="736B7BD8">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举报受理部门：东莞实业投资控股集团有限公司风控法务部</w:t>
      </w:r>
    </w:p>
    <w:p w14:paraId="5A70FFD2">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东实集团举报邮箱：dgsyxf@163.com</w:t>
      </w:r>
    </w:p>
    <w:p w14:paraId="6D31646C">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东实集团举报电话：0769-28820703（周一至周五9:00-12:00和14:00-18:00）</w:t>
      </w:r>
    </w:p>
    <w:p w14:paraId="3BAA78ED">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邮寄地址：东莞市东城区八一路1号机关二号大院9号楼，东莞实业投资控股集团有限公司风控法务部收，邮编523000。</w:t>
      </w:r>
    </w:p>
    <w:p w14:paraId="55637258">
      <w:pPr>
        <w:adjustRightInd/>
        <w:spacing w:before="156" w:beforeLines="50" w:after="156" w:afterLines="50"/>
        <w:ind w:left="480" w:leftChars="200"/>
        <w:contextualSpacing/>
        <w:rPr>
          <w:rFonts w:ascii="宋体" w:hAnsi="宋体"/>
          <w:b/>
          <w:color w:val="auto"/>
        </w:rPr>
      </w:pPr>
      <w:r>
        <w:rPr>
          <w:rFonts w:hint="eastAsia" w:ascii="宋体" w:hAnsi="宋体"/>
          <w:b/>
          <w:color w:val="auto"/>
        </w:rPr>
        <w:t>三、其他</w:t>
      </w:r>
    </w:p>
    <w:p w14:paraId="365D39B9">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1.本协议是原合同的补充协议，与原合同有同等法律效力。</w:t>
      </w:r>
    </w:p>
    <w:p w14:paraId="13A4DE2C">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rPr>
        <w:t>伍</w:t>
      </w:r>
      <w:r>
        <w:rPr>
          <w:rFonts w:ascii="宋体" w:hAnsi="宋体"/>
          <w:color w:val="auto"/>
        </w:rPr>
        <w:t>份，甲方执</w:t>
      </w:r>
      <w:r>
        <w:rPr>
          <w:rFonts w:hint="eastAsia" w:ascii="宋体" w:hAnsi="宋体"/>
          <w:color w:val="auto"/>
        </w:rPr>
        <w:t>叁</w:t>
      </w:r>
      <w:r>
        <w:rPr>
          <w:rFonts w:ascii="宋体" w:hAnsi="宋体"/>
          <w:color w:val="auto"/>
        </w:rPr>
        <w:t>份，乙方执</w:t>
      </w:r>
      <w:r>
        <w:rPr>
          <w:rFonts w:hint="eastAsia" w:ascii="宋体" w:hAnsi="宋体"/>
          <w:color w:val="auto"/>
        </w:rPr>
        <w:t>贰</w:t>
      </w:r>
      <w:r>
        <w:rPr>
          <w:rFonts w:ascii="宋体" w:hAnsi="宋体"/>
          <w:color w:val="auto"/>
        </w:rPr>
        <w:t>份</w:t>
      </w:r>
      <w:r>
        <w:rPr>
          <w:rFonts w:hint="eastAsia" w:ascii="宋体" w:hAnsi="宋体"/>
          <w:color w:val="auto"/>
        </w:rPr>
        <w:t>,具有同等法律效力。</w:t>
      </w:r>
    </w:p>
    <w:p w14:paraId="7EAFE197">
      <w:pPr>
        <w:adjustRightInd/>
        <w:spacing w:before="156" w:beforeLines="50" w:after="156" w:afterLines="50"/>
        <w:ind w:left="120" w:leftChars="50" w:firstLine="480" w:firstLineChars="200"/>
        <w:contextualSpacing/>
        <w:rPr>
          <w:rFonts w:ascii="宋体" w:hAnsi="宋体"/>
          <w:color w:val="auto"/>
        </w:rPr>
      </w:pPr>
      <w:r>
        <w:rPr>
          <w:rFonts w:hint="eastAsia" w:ascii="宋体" w:hAnsi="宋体"/>
          <w:color w:val="auto"/>
        </w:rPr>
        <w:t>3.本协议经双方签署后生效。</w:t>
      </w:r>
    </w:p>
    <w:p w14:paraId="08F1A1CD">
      <w:pPr>
        <w:adjustRightInd/>
        <w:spacing w:before="156" w:beforeLines="50" w:after="156" w:afterLines="50"/>
        <w:ind w:firstLine="480" w:firstLineChars="200"/>
        <w:contextualSpacing/>
        <w:rPr>
          <w:rFonts w:ascii="宋体" w:hAnsi="宋体"/>
          <w:color w:val="auto"/>
        </w:rPr>
      </w:pPr>
    </w:p>
    <w:p w14:paraId="7F8882F1">
      <w:pPr>
        <w:adjustRightInd/>
        <w:spacing w:before="156" w:beforeLines="50" w:after="156" w:afterLines="50"/>
        <w:ind w:firstLine="480" w:firstLineChars="200"/>
        <w:contextualSpacing/>
        <w:rPr>
          <w:rFonts w:ascii="宋体"/>
          <w:color w:val="auto"/>
        </w:rPr>
      </w:pPr>
      <w:r>
        <w:rPr>
          <w:rFonts w:hint="eastAsia" w:ascii="宋体" w:hAnsi="宋体"/>
          <w:color w:val="auto"/>
        </w:rPr>
        <w:t xml:space="preserve">甲方（盖章）：                      </w:t>
      </w:r>
      <w:r>
        <w:rPr>
          <w:rFonts w:hint="eastAsia" w:ascii="宋体" w:hAnsi="宋体"/>
          <w:color w:val="auto"/>
          <w:lang w:val="en-US" w:eastAsia="zh-CN"/>
        </w:rPr>
        <w:t xml:space="preserve"> </w:t>
      </w:r>
      <w:r>
        <w:rPr>
          <w:rFonts w:hint="eastAsia" w:ascii="宋体" w:hAnsi="宋体"/>
          <w:color w:val="auto"/>
        </w:rPr>
        <w:t>乙方（盖章）：</w:t>
      </w:r>
      <w:r>
        <w:rPr>
          <w:rFonts w:ascii="宋体"/>
          <w:color w:val="auto"/>
        </w:rPr>
        <w:t xml:space="preserve"> </w:t>
      </w:r>
    </w:p>
    <w:p w14:paraId="3C8B178D">
      <w:pPr>
        <w:adjustRightInd/>
        <w:spacing w:before="156" w:beforeLines="50" w:after="156" w:afterLines="50"/>
        <w:ind w:firstLine="480" w:firstLineChars="200"/>
        <w:contextualSpacing/>
        <w:rPr>
          <w:rFonts w:ascii="宋体" w:hAnsi="宋体"/>
          <w:color w:val="auto"/>
        </w:rPr>
      </w:pPr>
    </w:p>
    <w:p w14:paraId="6DA386F4">
      <w:pPr>
        <w:adjustRightInd/>
        <w:spacing w:before="156" w:beforeLines="50" w:after="156" w:afterLines="50"/>
        <w:ind w:firstLine="480" w:firstLineChars="200"/>
        <w:contextualSpacing/>
        <w:rPr>
          <w:rFonts w:ascii="宋体"/>
          <w:color w:val="auto"/>
        </w:rPr>
      </w:pPr>
      <w:r>
        <w:rPr>
          <w:rFonts w:hint="eastAsia" w:ascii="宋体" w:hAnsi="宋体"/>
          <w:color w:val="auto"/>
        </w:rPr>
        <w:t>法定代表人（授权代表）：</w:t>
      </w:r>
      <w:r>
        <w:rPr>
          <w:rFonts w:hint="eastAsia" w:ascii="宋体"/>
          <w:color w:val="auto"/>
        </w:rPr>
        <w:tab/>
      </w:r>
      <w:r>
        <w:rPr>
          <w:rFonts w:hint="eastAsia" w:ascii="宋体"/>
          <w:color w:val="auto"/>
        </w:rPr>
        <w:tab/>
      </w:r>
      <w:r>
        <w:rPr>
          <w:rFonts w:hint="eastAsia" w:ascii="宋体"/>
          <w:color w:val="auto"/>
        </w:rPr>
        <w:t xml:space="preserve">  </w:t>
      </w:r>
      <w:r>
        <w:rPr>
          <w:rFonts w:hint="eastAsia" w:ascii="宋体"/>
          <w:color w:val="auto"/>
        </w:rPr>
        <w:tab/>
      </w:r>
      <w:r>
        <w:rPr>
          <w:rFonts w:hint="eastAsia" w:ascii="宋体"/>
          <w:color w:val="auto"/>
        </w:rPr>
        <w:t xml:space="preserve">  </w:t>
      </w:r>
      <w:r>
        <w:rPr>
          <w:rFonts w:hint="eastAsia" w:ascii="宋体"/>
          <w:color w:val="auto"/>
          <w:lang w:val="en-US" w:eastAsia="zh-CN"/>
        </w:rPr>
        <w:t xml:space="preserve">     </w:t>
      </w:r>
      <w:r>
        <w:rPr>
          <w:rFonts w:hint="eastAsia" w:ascii="宋体" w:hAnsi="宋体"/>
          <w:color w:val="auto"/>
        </w:rPr>
        <w:t>法定代表人（授权代表）：</w:t>
      </w:r>
    </w:p>
    <w:p w14:paraId="75BD4346">
      <w:pPr>
        <w:adjustRightInd/>
        <w:spacing w:before="156" w:beforeLines="50" w:after="156" w:afterLines="50"/>
        <w:ind w:firstLine="480" w:firstLineChars="200"/>
        <w:contextualSpacing/>
        <w:rPr>
          <w:rFonts w:ascii="宋体" w:hAnsi="宋体"/>
          <w:color w:val="auto"/>
        </w:rPr>
      </w:pPr>
    </w:p>
    <w:p w14:paraId="0C838A04">
      <w:pPr>
        <w:pStyle w:val="2"/>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签约日期：202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  月  日</w:t>
      </w:r>
      <w:bookmarkStart w:id="24" w:name="现场签证通知单"/>
      <w:bookmarkEnd w:id="24"/>
      <w:bookmarkStart w:id="25" w:name="设计变更通知单"/>
      <w:bookmarkEnd w:id="25"/>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签约日期：202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 月  日</w:t>
      </w:r>
    </w:p>
    <w:p w14:paraId="2753B71D">
      <w:pPr>
        <w:pStyle w:val="2"/>
        <w:rPr>
          <w:rFonts w:hint="eastAsia" w:ascii="宋体" w:hAnsi="宋体"/>
          <w:color w:val="auto"/>
        </w:rPr>
      </w:pPr>
    </w:p>
    <w:p w14:paraId="21811336">
      <w:pPr>
        <w:pStyle w:val="2"/>
        <w:rPr>
          <w:rFonts w:hint="eastAsia" w:ascii="宋体" w:hAnsi="宋体"/>
          <w:color w:val="auto"/>
        </w:rPr>
      </w:pPr>
    </w:p>
    <w:p w14:paraId="05FFA413">
      <w:pPr>
        <w:pStyle w:val="2"/>
        <w:rPr>
          <w:rFonts w:hint="eastAsia" w:ascii="宋体" w:hAnsi="宋体"/>
          <w:color w:val="auto"/>
        </w:rPr>
      </w:pPr>
    </w:p>
    <w:p w14:paraId="38694C94">
      <w:pPr>
        <w:pStyle w:val="2"/>
        <w:rPr>
          <w:rFonts w:hint="eastAsia" w:ascii="宋体" w:hAnsi="宋体"/>
          <w:color w:val="auto"/>
        </w:rPr>
      </w:pPr>
    </w:p>
    <w:p w14:paraId="2898A8FC">
      <w:pPr>
        <w:pStyle w:val="2"/>
        <w:rPr>
          <w:rFonts w:hint="eastAsia" w:ascii="宋体" w:hAnsi="宋体"/>
          <w:color w:val="auto"/>
        </w:rPr>
      </w:pPr>
    </w:p>
    <w:p w14:paraId="0EC140DC">
      <w:pPr>
        <w:pStyle w:val="2"/>
        <w:rPr>
          <w:rFonts w:hint="eastAsia" w:ascii="宋体" w:hAnsi="宋体"/>
          <w:color w:val="auto"/>
        </w:rPr>
      </w:pPr>
    </w:p>
    <w:p w14:paraId="043CDEBF">
      <w:pPr>
        <w:pStyle w:val="2"/>
        <w:rPr>
          <w:rFonts w:hint="eastAsia" w:ascii="宋体" w:hAnsi="宋体"/>
          <w:color w:val="auto"/>
        </w:rPr>
      </w:pPr>
    </w:p>
    <w:p w14:paraId="0869CD68">
      <w:pPr>
        <w:pStyle w:val="2"/>
        <w:rPr>
          <w:rFonts w:hint="eastAsia" w:ascii="宋体" w:hAnsi="宋体"/>
          <w:color w:val="auto"/>
        </w:rPr>
      </w:pPr>
    </w:p>
    <w:p w14:paraId="28073D0A">
      <w:pPr>
        <w:pStyle w:val="2"/>
        <w:rPr>
          <w:rFonts w:hint="eastAsia" w:ascii="宋体" w:hAnsi="宋体"/>
          <w:color w:val="auto"/>
        </w:rPr>
      </w:pPr>
    </w:p>
    <w:p w14:paraId="4B7B49FA">
      <w:pPr>
        <w:pStyle w:val="2"/>
        <w:rPr>
          <w:rFonts w:hint="eastAsia" w:ascii="宋体" w:hAnsi="宋体"/>
          <w:color w:val="auto"/>
        </w:rPr>
      </w:pPr>
    </w:p>
    <w:p w14:paraId="7B17ED17">
      <w:pPr>
        <w:pStyle w:val="2"/>
        <w:rPr>
          <w:rFonts w:hint="eastAsia" w:ascii="宋体" w:hAnsi="宋体"/>
          <w:color w:val="auto"/>
        </w:rPr>
      </w:pPr>
    </w:p>
    <w:p w14:paraId="4D8DDED4">
      <w:pPr>
        <w:widowControl w:val="0"/>
        <w:adjustRightInd/>
        <w:ind w:firstLine="480" w:firstLineChars="200"/>
        <w:rPr>
          <w:color w:val="auto"/>
          <w:sz w:val="24"/>
          <w:szCs w:val="24"/>
        </w:rPr>
      </w:pPr>
      <w:r>
        <w:rPr>
          <w:rFonts w:hint="eastAsia"/>
          <w:color w:val="auto"/>
          <w:sz w:val="24"/>
          <w:szCs w:val="24"/>
        </w:rPr>
        <w:t>附件4：</w:t>
      </w:r>
    </w:p>
    <w:p w14:paraId="1B55377D">
      <w:pPr>
        <w:jc w:val="center"/>
        <w:rPr>
          <w:rFonts w:ascii="宋体" w:hAnsi="宋体"/>
          <w:b/>
          <w:bCs/>
          <w:color w:val="auto"/>
          <w:sz w:val="30"/>
          <w:szCs w:val="30"/>
        </w:rPr>
      </w:pPr>
      <w:r>
        <w:rPr>
          <w:rFonts w:hint="eastAsia" w:ascii="宋体" w:hAnsi="宋体"/>
          <w:b/>
          <w:bCs/>
          <w:color w:val="auto"/>
          <w:sz w:val="30"/>
          <w:szCs w:val="30"/>
          <w:lang w:val="zh-CN"/>
        </w:rPr>
        <w:t>安全协议书</w:t>
      </w:r>
    </w:p>
    <w:p w14:paraId="139CC64D">
      <w:pPr>
        <w:spacing w:line="560" w:lineRule="exact"/>
        <w:rPr>
          <w:rFonts w:ascii="宋体" w:hAnsi="宋体"/>
          <w:bCs/>
          <w:color w:val="auto"/>
          <w:spacing w:val="-10"/>
          <w:sz w:val="24"/>
        </w:rPr>
      </w:pPr>
      <w:r>
        <w:rPr>
          <w:rFonts w:hint="eastAsia" w:ascii="宋体" w:hAnsi="宋体"/>
          <w:bCs/>
          <w:color w:val="auto"/>
          <w:spacing w:val="-10"/>
          <w:sz w:val="24"/>
        </w:rPr>
        <w:t>发包单位：</w:t>
      </w:r>
      <w:r>
        <w:rPr>
          <w:rFonts w:hint="eastAsia" w:ascii="宋体" w:hAnsi="宋体"/>
          <w:bCs/>
          <w:color w:val="auto"/>
          <w:spacing w:val="-10"/>
          <w:sz w:val="24"/>
          <w:u w:val="single"/>
        </w:rPr>
        <w:t xml:space="preserve"> 东莞市新东元环保投资有限公司 </w:t>
      </w:r>
      <w:r>
        <w:rPr>
          <w:rFonts w:hint="eastAsia" w:ascii="宋体" w:hAnsi="宋体"/>
          <w:bCs/>
          <w:color w:val="auto"/>
          <w:spacing w:val="-10"/>
          <w:sz w:val="24"/>
        </w:rPr>
        <w:t xml:space="preserve">   （以下简称甲方）</w:t>
      </w:r>
    </w:p>
    <w:p w14:paraId="5B028D44">
      <w:pPr>
        <w:spacing w:line="560" w:lineRule="exact"/>
        <w:rPr>
          <w:rFonts w:ascii="宋体" w:hAnsi="宋体"/>
          <w:bCs/>
          <w:color w:val="auto"/>
          <w:spacing w:val="-10"/>
          <w:sz w:val="24"/>
        </w:rPr>
      </w:pPr>
      <w:r>
        <w:rPr>
          <w:rFonts w:hint="eastAsia" w:ascii="宋体" w:hAnsi="宋体"/>
          <w:bCs/>
          <w:color w:val="auto"/>
          <w:spacing w:val="-10"/>
          <w:sz w:val="24"/>
        </w:rPr>
        <w:t>承包单位：</w:t>
      </w:r>
      <w:r>
        <w:rPr>
          <w:rFonts w:hint="eastAsia" w:ascii="宋体" w:hAnsi="宋体"/>
          <w:bCs/>
          <w:color w:val="auto"/>
          <w:spacing w:val="-10"/>
          <w:sz w:val="24"/>
          <w:u w:val="single"/>
        </w:rPr>
        <w:t xml:space="preserve">  </w:t>
      </w:r>
      <w:r>
        <w:rPr>
          <w:rFonts w:hint="eastAsia" w:ascii="宋体" w:hAnsi="宋体"/>
          <w:bCs/>
          <w:color w:val="auto"/>
          <w:spacing w:val="-10"/>
          <w:sz w:val="24"/>
        </w:rPr>
        <w:t xml:space="preserve">   （以下简称乙方）</w:t>
      </w:r>
    </w:p>
    <w:p w14:paraId="4E53DEEB">
      <w:pPr>
        <w:spacing w:line="560" w:lineRule="exact"/>
        <w:rPr>
          <w:rFonts w:ascii="宋体" w:hAnsi="宋体"/>
          <w:snapToGrid w:val="0"/>
          <w:color w:val="auto"/>
          <w:sz w:val="24"/>
          <w:szCs w:val="24"/>
        </w:rPr>
      </w:pPr>
      <w:r>
        <w:rPr>
          <w:rFonts w:hint="eastAsia" w:ascii="仿宋_GB2312" w:hAnsi="宋体" w:eastAsia="仿宋_GB2312" w:cs="宋体"/>
          <w:color w:val="auto"/>
          <w:sz w:val="24"/>
        </w:rPr>
        <w:t xml:space="preserve">    </w:t>
      </w:r>
      <w:r>
        <w:rPr>
          <w:rFonts w:hint="eastAsia" w:ascii="宋体" w:hAnsi="宋体" w:cs="宋体"/>
          <w:color w:val="auto"/>
          <w:sz w:val="24"/>
        </w:rPr>
        <w:t>根据甲方工作需要，</w:t>
      </w:r>
      <w:r>
        <w:rPr>
          <w:rFonts w:hint="eastAsia" w:ascii="宋体" w:hAnsi="宋体" w:cs="宋体"/>
          <w:color w:val="auto"/>
          <w:sz w:val="24"/>
          <w:u w:val="single"/>
        </w:rPr>
        <w:t>现将海心沙环保热电厂纳米液钙试验技术服务采购项目发包乙方</w:t>
      </w:r>
      <w:r>
        <w:rPr>
          <w:rFonts w:hint="eastAsia" w:ascii="宋体" w:hAnsi="宋体" w:cs="宋体"/>
          <w:color w:val="auto"/>
          <w:sz w:val="24"/>
        </w:rPr>
        <w:t>，</w:t>
      </w:r>
      <w:r>
        <w:rPr>
          <w:rFonts w:hint="eastAsia" w:ascii="宋体" w:hAnsi="宋体"/>
          <w:snapToGrid w:val="0"/>
          <w:color w:val="auto"/>
          <w:sz w:val="24"/>
          <w:szCs w:val="24"/>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14:paraId="2017E069">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一、协议有效期限</w:t>
      </w:r>
    </w:p>
    <w:p w14:paraId="27DD95A0">
      <w:pPr>
        <w:spacing w:line="560" w:lineRule="exact"/>
        <w:ind w:firstLine="480" w:firstLineChars="200"/>
        <w:rPr>
          <w:rFonts w:ascii="宋体" w:hAnsi="宋体"/>
          <w:snapToGrid w:val="0"/>
          <w:color w:val="auto"/>
          <w:sz w:val="24"/>
          <w:szCs w:val="24"/>
        </w:rPr>
      </w:pPr>
      <w:r>
        <w:rPr>
          <w:rFonts w:hint="eastAsia" w:ascii="宋体" w:hAnsi="宋体"/>
          <w:snapToGrid w:val="0"/>
          <w:color w:val="auto"/>
          <w:sz w:val="24"/>
          <w:szCs w:val="24"/>
        </w:rPr>
        <w:t>本协议中所涉及的安全管理责任自合同签订之日起开始生效，至合同终止之日。</w:t>
      </w:r>
    </w:p>
    <w:p w14:paraId="549A38B8">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二、安全管理目标</w:t>
      </w:r>
    </w:p>
    <w:p w14:paraId="6CCDBAF3">
      <w:pPr>
        <w:spacing w:line="560" w:lineRule="exact"/>
        <w:rPr>
          <w:rFonts w:ascii="宋体" w:hAnsi="宋体"/>
          <w:snapToGrid w:val="0"/>
          <w:color w:val="auto"/>
          <w:sz w:val="24"/>
          <w:szCs w:val="24"/>
        </w:rPr>
      </w:pPr>
      <w:r>
        <w:rPr>
          <w:rFonts w:hint="eastAsia" w:ascii="宋体" w:hAnsi="宋体"/>
          <w:snapToGrid w:val="0"/>
          <w:color w:val="auto"/>
          <w:sz w:val="24"/>
          <w:szCs w:val="24"/>
        </w:rPr>
        <w:t>(一)乙方承诺履行和承担合同和甲方程序所规定的安全责任，并完成如下控制目标：</w:t>
      </w:r>
    </w:p>
    <w:p w14:paraId="48D42CD0">
      <w:pPr>
        <w:pStyle w:val="253"/>
        <w:numPr>
          <w:ilvl w:val="0"/>
          <w:numId w:val="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不发生重伤及以上人身伤亡事故；</w:t>
      </w:r>
    </w:p>
    <w:p w14:paraId="1A27ABDB">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不发生单项直接损失超过20万元以上的经济损失事故；</w:t>
      </w:r>
    </w:p>
    <w:p w14:paraId="1625DFD8">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不发生造成20万元以上直接经济损失或致人重伤的火灾事故；</w:t>
      </w:r>
    </w:p>
    <w:p w14:paraId="68433156">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不发生负同等及同等以上责任的且导致重伤1人或轻伤3人及以上，或财产损失3万元以上的交通事故；</w:t>
      </w:r>
    </w:p>
    <w:p w14:paraId="0C976ED3">
      <w:pPr>
        <w:pStyle w:val="253"/>
        <w:numPr>
          <w:ilvl w:val="0"/>
          <w:numId w:val="6"/>
        </w:numPr>
        <w:spacing w:line="560" w:lineRule="exact"/>
        <w:ind w:firstLineChars="0"/>
        <w:rPr>
          <w:rFonts w:ascii="宋体" w:hAnsi="宋体"/>
          <w:snapToGrid w:val="0"/>
          <w:color w:val="auto"/>
          <w:sz w:val="24"/>
          <w:szCs w:val="24"/>
        </w:rPr>
      </w:pPr>
      <w:r>
        <w:rPr>
          <w:rFonts w:hint="eastAsia" w:ascii="宋体" w:hAnsi="宋体" w:cs="宋体"/>
          <w:color w:val="auto"/>
          <w:sz w:val="24"/>
          <w:szCs w:val="24"/>
        </w:rPr>
        <w:t>不发生被生态环境部门挂网通报或行政处罚的环保事件；</w:t>
      </w:r>
    </w:p>
    <w:p w14:paraId="26DEA1E3">
      <w:pPr>
        <w:pStyle w:val="253"/>
        <w:numPr>
          <w:ilvl w:val="0"/>
          <w:numId w:val="6"/>
        </w:numPr>
        <w:spacing w:line="560" w:lineRule="exact"/>
        <w:ind w:firstLineChars="0"/>
        <w:rPr>
          <w:rFonts w:ascii="宋体" w:hAnsi="宋体" w:cs="宋体"/>
          <w:color w:val="auto"/>
          <w:sz w:val="24"/>
          <w:szCs w:val="24"/>
        </w:rPr>
      </w:pPr>
      <w:r>
        <w:rPr>
          <w:rFonts w:hint="eastAsia" w:ascii="宋体" w:hAnsi="宋体"/>
          <w:snapToGrid w:val="0"/>
          <w:color w:val="auto"/>
          <w:sz w:val="24"/>
          <w:szCs w:val="24"/>
        </w:rPr>
        <w:t>不发生职业病病例；</w:t>
      </w:r>
    </w:p>
    <w:p w14:paraId="47568752">
      <w:pPr>
        <w:pStyle w:val="253"/>
        <w:numPr>
          <w:ilvl w:val="0"/>
          <w:numId w:val="6"/>
        </w:numPr>
        <w:spacing w:line="560" w:lineRule="exact"/>
        <w:ind w:firstLineChars="0"/>
        <w:rPr>
          <w:rFonts w:ascii="宋体" w:hAnsi="宋体" w:cs="宋体"/>
          <w:color w:val="auto"/>
          <w:sz w:val="24"/>
          <w:szCs w:val="24"/>
        </w:rPr>
      </w:pPr>
      <w:r>
        <w:rPr>
          <w:rFonts w:hint="eastAsia" w:ascii="宋体" w:hAnsi="宋体"/>
          <w:snapToGrid w:val="0"/>
          <w:color w:val="auto"/>
          <w:sz w:val="24"/>
          <w:szCs w:val="24"/>
        </w:rPr>
        <w:t>不发生乙方管理责任导致的治安案件、群体事件；</w:t>
      </w:r>
    </w:p>
    <w:p w14:paraId="791B305D">
      <w:pPr>
        <w:pStyle w:val="253"/>
        <w:numPr>
          <w:ilvl w:val="0"/>
          <w:numId w:val="6"/>
        </w:numPr>
        <w:spacing w:line="560" w:lineRule="exact"/>
        <w:ind w:firstLineChars="0"/>
        <w:rPr>
          <w:rFonts w:ascii="宋体" w:hAnsi="宋体" w:cs="宋体"/>
          <w:color w:val="auto"/>
          <w:sz w:val="24"/>
          <w:szCs w:val="24"/>
        </w:rPr>
      </w:pPr>
      <w:r>
        <w:rPr>
          <w:rFonts w:hint="eastAsia" w:ascii="宋体" w:hAnsi="宋体" w:cs="宋体"/>
          <w:color w:val="auto"/>
          <w:sz w:val="24"/>
          <w:szCs w:val="24"/>
        </w:rPr>
        <w:t>不发生</w:t>
      </w:r>
      <w:r>
        <w:rPr>
          <w:rFonts w:hint="eastAsia" w:ascii="宋体" w:hAnsi="宋体" w:cs="宋体"/>
          <w:color w:val="auto"/>
          <w:sz w:val="24"/>
          <w:szCs w:val="24"/>
          <w:shd w:val="clear" w:color="auto" w:fill="FFFFFF"/>
        </w:rPr>
        <w:t>安全事故隐瞒不报、谎报或严重迟报（指超过24h）行为。</w:t>
      </w:r>
    </w:p>
    <w:p w14:paraId="7FC86636">
      <w:pPr>
        <w:spacing w:line="560" w:lineRule="exact"/>
        <w:rPr>
          <w:rFonts w:ascii="宋体" w:hAnsi="宋体"/>
          <w:snapToGrid w:val="0"/>
          <w:color w:val="auto"/>
          <w:sz w:val="24"/>
          <w:szCs w:val="24"/>
        </w:rPr>
      </w:pPr>
      <w:r>
        <w:rPr>
          <w:rFonts w:hint="eastAsia" w:ascii="宋体" w:hAnsi="宋体"/>
          <w:snapToGrid w:val="0"/>
          <w:color w:val="auto"/>
          <w:sz w:val="24"/>
          <w:szCs w:val="24"/>
        </w:rPr>
        <w:t>（二）乙方承诺在作业中控制以下安全事件（行为）的发生：</w:t>
      </w:r>
    </w:p>
    <w:p w14:paraId="033B6F0A">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人员轻伤事故；</w:t>
      </w:r>
    </w:p>
    <w:p w14:paraId="5E3C2E34">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未遂事故；</w:t>
      </w:r>
    </w:p>
    <w:p w14:paraId="5EEFFFA4">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恶性误操作；</w:t>
      </w:r>
    </w:p>
    <w:p w14:paraId="7B56C5A4">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无票作业；</w:t>
      </w:r>
    </w:p>
    <w:p w14:paraId="7226EB51">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严重违章、群体违章；</w:t>
      </w:r>
    </w:p>
    <w:p w14:paraId="49B4879B">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未经培训或培训不合格人员上岗；</w:t>
      </w:r>
    </w:p>
    <w:p w14:paraId="0200A473">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特种作业人员无证上岗；</w:t>
      </w:r>
    </w:p>
    <w:p w14:paraId="0E0FABCD">
      <w:pPr>
        <w:pStyle w:val="253"/>
        <w:numPr>
          <w:ilvl w:val="0"/>
          <w:numId w:val="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重大安全隐患。</w:t>
      </w:r>
    </w:p>
    <w:p w14:paraId="317D51E8">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三、安全责任</w:t>
      </w:r>
    </w:p>
    <w:p w14:paraId="581B3094">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（一）甲方安全责任</w:t>
      </w:r>
    </w:p>
    <w:p w14:paraId="27AD2FF9">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对乙方的资质、条件进行审查，符合安全生产相关规定的要求。</w:t>
      </w:r>
    </w:p>
    <w:p w14:paraId="4362C2E3">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开工前，对乙方提供的人员名单进行入厂安全教育培训、考试。</w:t>
      </w:r>
    </w:p>
    <w:p w14:paraId="4E561F41">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开工前甲方对乙方进行施工安全技术交底，并应有书面记录或资料。</w:t>
      </w:r>
    </w:p>
    <w:p w14:paraId="10CDB503">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甲方有权检查督促乙方执行有关安全生产方面的工作规定，对乙方不符合安全文明施工标准的行为进行制止、纠正并发出安全整改通知书。</w:t>
      </w:r>
    </w:p>
    <w:p w14:paraId="35B9DB9D">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甲方指派负责与乙方联系安全生产、质量控制、进度协调等方面的工作。</w:t>
      </w:r>
    </w:p>
    <w:p w14:paraId="65A3AF6E">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甲方有权对工作票所填写的安全措施是否正确完备进行监督。</w:t>
      </w:r>
    </w:p>
    <w:p w14:paraId="4B48B485">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甲方有权要求乙方制定确保施工安全的组织措施、安全措施和技术措施，并监督执行。</w:t>
      </w:r>
    </w:p>
    <w:p w14:paraId="05362CD6">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甲方有权对乙方参与施工的人员进行安全技术知识和安全工作规程的抽考。</w:t>
      </w:r>
    </w:p>
    <w:p w14:paraId="1961F18A">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14:paraId="50B1F953">
      <w:pPr>
        <w:pStyle w:val="253"/>
        <w:numPr>
          <w:ilvl w:val="0"/>
          <w:numId w:val="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在有可能造成火灾、爆炸、中毒、窒息、坍塌、高空坠落、触电等容易引起人身伤害和设备事故的高风险区域内的作业，甲方要求乙方制定安全技术措施，经甲方审查后，监督实施。</w:t>
      </w:r>
    </w:p>
    <w:p w14:paraId="73EC6837">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（二）乙方安全责任</w:t>
      </w:r>
    </w:p>
    <w:p w14:paraId="2983D801">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乙方的法定代表人对本合同内容的安全管理负有全面领导责任。</w:t>
      </w:r>
    </w:p>
    <w:p w14:paraId="21BC5FC5">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乙方项目经理对作业现场的安全工作负有直接领导责任。</w:t>
      </w:r>
    </w:p>
    <w:p w14:paraId="56B61725">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14:paraId="5EA3B89A">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乙方保证对本项目安全生产条件及其管理资源的投入，保证安全资金的专款专用，并建立适用于本项目的《项目生产安全费用明细一览表》，如实填报，作为项目安全投入的技术性依据。</w:t>
      </w:r>
    </w:p>
    <w:p w14:paraId="347A5FEB">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乙方保证建立本项目的安全管理体系，项目安全管理大纲/手册报甲方审查批准后发布实施，安全奖惩制度等安全管理性的程序/制度文件须报甲方备案，相关文件如有升版，应及时分发甲方。</w:t>
      </w:r>
    </w:p>
    <w:p w14:paraId="3F95A71D">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乙方保证现场的项目经理、安全管理专职人员、特种作业人员必须持有符合规定的安全生产培训考核合格证书。</w:t>
      </w:r>
    </w:p>
    <w:p w14:paraId="38F611E1">
      <w:pPr>
        <w:pStyle w:val="253"/>
        <w:numPr>
          <w:ilvl w:val="0"/>
          <w:numId w:val="9"/>
        </w:numPr>
        <w:spacing w:line="560" w:lineRule="exact"/>
        <w:ind w:firstLineChars="0"/>
        <w:rPr>
          <w:rFonts w:ascii="宋体" w:hAnsi="宋体"/>
          <w:color w:val="auto"/>
          <w:sz w:val="24"/>
          <w:szCs w:val="24"/>
        </w:rPr>
      </w:pPr>
      <w:r>
        <w:rPr>
          <w:rFonts w:hint="eastAsia" w:ascii="宋体" w:hAnsi="宋体"/>
          <w:snapToGrid w:val="0"/>
          <w:color w:val="auto"/>
          <w:sz w:val="24"/>
          <w:szCs w:val="24"/>
        </w:rPr>
        <w:t>乙方保证为现场所有工作人员配备符合国家标准的个人劳动保护用品。</w:t>
      </w:r>
    </w:p>
    <w:p w14:paraId="0B833DB3">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乙方保证按照国家法律规定为所有从业人员办理意外伤害保险、工伤保险，保额不低于当地赔付标准。</w:t>
      </w:r>
    </w:p>
    <w:p w14:paraId="779649FD">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乙方保证生活营地（包括自建的和租用的营地）满足消防、环保、安全用电、卫生防疫、防暴雨、防雷击、防台风等方面的安全标准。</w:t>
      </w:r>
    </w:p>
    <w:p w14:paraId="376E066D">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乙方保证对入场大型施工机械、特种设备、工器具、大宗材料按照国家法规和标准进行检测、试验，并按规定持有法定部门出具的检验合格证书。</w:t>
      </w:r>
    </w:p>
    <w:p w14:paraId="133B6969">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14:paraId="2245B3DE">
      <w:pPr>
        <w:pStyle w:val="253"/>
        <w:numPr>
          <w:ilvl w:val="0"/>
          <w:numId w:val="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14:paraId="09DDBDA2">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四、安全投入</w:t>
      </w:r>
    </w:p>
    <w:p w14:paraId="351212CF">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乙方应按照法规要求对项目的安全投入做出合理、及时、足量的安排，保证有足够的资金用于建立、维护、改善作业安全环境条件和安全作业条件。</w:t>
      </w:r>
    </w:p>
    <w:p w14:paraId="5CE8F8FE">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14:paraId="050C5680">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乙方的安全投入项目清单如有遗漏，导致合同规定的安全投入专项资金不能满足“安全投入项目”资金需求时，乙方应从其他渠道安排资金，满足现场安全资金的需求。</w:t>
      </w:r>
    </w:p>
    <w:p w14:paraId="7AB1C036">
      <w:pPr>
        <w:pStyle w:val="253"/>
        <w:numPr>
          <w:ilvl w:val="0"/>
          <w:numId w:val="10"/>
        </w:numPr>
        <w:spacing w:line="560" w:lineRule="exact"/>
        <w:ind w:firstLineChars="0"/>
        <w:rPr>
          <w:rFonts w:ascii="宋体" w:hAnsi="宋体"/>
          <w:color w:val="auto"/>
          <w:sz w:val="24"/>
          <w:szCs w:val="24"/>
        </w:rPr>
      </w:pPr>
      <w:r>
        <w:rPr>
          <w:rFonts w:hint="eastAsia" w:ascii="宋体" w:hAnsi="宋体"/>
          <w:snapToGrid w:val="0"/>
          <w:color w:val="auto"/>
          <w:sz w:val="24"/>
          <w:szCs w:val="24"/>
        </w:rPr>
        <w:t>甲方有权对安全投入的使用情况进行检查，乙方应予以配合。</w:t>
      </w:r>
    </w:p>
    <w:p w14:paraId="4EA885B4">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五、接口及协调</w:t>
      </w:r>
    </w:p>
    <w:p w14:paraId="6C749F06">
      <w:pPr>
        <w:pStyle w:val="253"/>
        <w:numPr>
          <w:ilvl w:val="0"/>
          <w:numId w:val="11"/>
        </w:numPr>
        <w:spacing w:line="560" w:lineRule="exact"/>
        <w:ind w:right="199" w:rightChars="83" w:firstLineChars="0"/>
        <w:rPr>
          <w:rFonts w:ascii="宋体" w:hAnsi="宋体"/>
          <w:b/>
          <w:color w:val="auto"/>
          <w:sz w:val="24"/>
          <w:szCs w:val="24"/>
        </w:rPr>
      </w:pPr>
      <w:r>
        <w:rPr>
          <w:rFonts w:hint="eastAsia" w:ascii="宋体" w:hAnsi="宋体"/>
          <w:snapToGrid w:val="0"/>
          <w:color w:val="auto"/>
          <w:sz w:val="24"/>
          <w:szCs w:val="24"/>
        </w:rPr>
        <w:t>乙方必须符合甲方的安全规范，人员、车辆的出入，带入现场的设备、机具、材料，在现场使用的或直接管理的办公、生活、生产性设施的安全管理须满足甲方现场管理的基本要求。</w:t>
      </w:r>
    </w:p>
    <w:p w14:paraId="3BF87E42">
      <w:pPr>
        <w:pStyle w:val="253"/>
        <w:numPr>
          <w:ilvl w:val="0"/>
          <w:numId w:val="1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乙方应指定专职（或兼职）安全管理人员与甲方接口，在业务上接受甲方的协调和指导，参与安全协调和管理。</w:t>
      </w:r>
    </w:p>
    <w:p w14:paraId="4CA75640">
      <w:pPr>
        <w:pStyle w:val="253"/>
        <w:numPr>
          <w:ilvl w:val="0"/>
          <w:numId w:val="11"/>
        </w:numPr>
        <w:spacing w:line="560" w:lineRule="exact"/>
        <w:ind w:right="199" w:rightChars="83" w:firstLineChars="0"/>
        <w:rPr>
          <w:rFonts w:ascii="宋体" w:hAnsi="宋体"/>
          <w:b/>
          <w:color w:val="auto"/>
          <w:sz w:val="24"/>
          <w:szCs w:val="24"/>
        </w:rPr>
      </w:pPr>
      <w:r>
        <w:rPr>
          <w:rFonts w:hint="eastAsia" w:ascii="宋体" w:hAnsi="宋体"/>
          <w:snapToGrid w:val="0"/>
          <w:color w:val="auto"/>
          <w:sz w:val="24"/>
          <w:szCs w:val="24"/>
        </w:rPr>
        <w:t>乙方的安全管理人员应具备协调安全工作的能力和授权。甲方有权对安全管理人员的能力和权力做出评价，对于不能胜任的安全管理人员，甲方有权要求乙方换人。</w:t>
      </w:r>
    </w:p>
    <w:p w14:paraId="12741E0D">
      <w:pPr>
        <w:pStyle w:val="253"/>
        <w:numPr>
          <w:ilvl w:val="0"/>
          <w:numId w:val="11"/>
        </w:numPr>
        <w:spacing w:line="560" w:lineRule="exact"/>
        <w:ind w:right="199" w:rightChars="83" w:firstLineChars="0"/>
        <w:rPr>
          <w:rFonts w:ascii="宋体" w:hAnsi="宋体"/>
          <w:b/>
          <w:color w:val="auto"/>
          <w:sz w:val="24"/>
          <w:szCs w:val="24"/>
        </w:rPr>
      </w:pPr>
      <w:r>
        <w:rPr>
          <w:rFonts w:hint="eastAsia" w:ascii="宋体" w:hAnsi="宋体"/>
          <w:snapToGrid w:val="0"/>
          <w:color w:val="auto"/>
          <w:sz w:val="24"/>
          <w:szCs w:val="24"/>
        </w:rPr>
        <w:t>如合同内容出现较大变更，本协议的有关条款也应做出相应的修改。</w:t>
      </w:r>
    </w:p>
    <w:p w14:paraId="21A306A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六、安全资质审查</w:t>
      </w:r>
    </w:p>
    <w:p w14:paraId="0F59F3D0">
      <w:pPr>
        <w:spacing w:line="560" w:lineRule="exact"/>
        <w:rPr>
          <w:rFonts w:ascii="宋体" w:hAnsi="宋体"/>
          <w:snapToGrid w:val="0"/>
          <w:color w:val="auto"/>
          <w:sz w:val="24"/>
          <w:szCs w:val="24"/>
        </w:rPr>
      </w:pPr>
      <w:r>
        <w:rPr>
          <w:rFonts w:hint="eastAsia" w:ascii="宋体" w:hAnsi="宋体"/>
          <w:snapToGrid w:val="0"/>
          <w:color w:val="auto"/>
          <w:sz w:val="24"/>
          <w:szCs w:val="24"/>
        </w:rPr>
        <w:t>乙方在项目开工前5个工作日向甲方提供以下安全资质供审查和存档：</w:t>
      </w:r>
    </w:p>
    <w:p w14:paraId="6FCC0BE4">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项目经理及安全管理人员资质；</w:t>
      </w:r>
    </w:p>
    <w:p w14:paraId="42CDFE7E">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特种作业人员资格证书；</w:t>
      </w:r>
    </w:p>
    <w:p w14:paraId="6CB2D1C5">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适用于本项目的安全管理体系文件；</w:t>
      </w:r>
    </w:p>
    <w:p w14:paraId="426E07C4">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适用于本项目的《项目生产安全费用明细一览表》；</w:t>
      </w:r>
    </w:p>
    <w:p w14:paraId="787010D1">
      <w:pPr>
        <w:pStyle w:val="253"/>
        <w:numPr>
          <w:ilvl w:val="0"/>
          <w:numId w:val="12"/>
        </w:numPr>
        <w:spacing w:line="560" w:lineRule="exact"/>
        <w:ind w:right="199" w:rightChars="83" w:firstLineChars="0"/>
        <w:rPr>
          <w:rFonts w:ascii="宋体" w:hAnsi="宋体"/>
          <w:snapToGrid w:val="0"/>
          <w:color w:val="auto"/>
          <w:sz w:val="24"/>
          <w:szCs w:val="24"/>
        </w:rPr>
      </w:pPr>
      <w:r>
        <w:rPr>
          <w:rFonts w:hint="eastAsia" w:ascii="宋体" w:hAnsi="宋体"/>
          <w:snapToGrid w:val="0"/>
          <w:color w:val="auto"/>
          <w:sz w:val="24"/>
          <w:szCs w:val="24"/>
        </w:rPr>
        <w:t>近三年的安全无事故证明（针对建设施工单位）。</w:t>
      </w:r>
    </w:p>
    <w:p w14:paraId="5374C845">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七、人员基本素质</w:t>
      </w:r>
    </w:p>
    <w:p w14:paraId="51C02708">
      <w:pPr>
        <w:spacing w:line="560" w:lineRule="exact"/>
        <w:rPr>
          <w:rFonts w:ascii="宋体" w:hAnsi="宋体"/>
          <w:snapToGrid w:val="0"/>
          <w:color w:val="auto"/>
          <w:sz w:val="24"/>
          <w:szCs w:val="24"/>
        </w:rPr>
      </w:pPr>
      <w:r>
        <w:rPr>
          <w:rFonts w:hint="eastAsia" w:ascii="宋体" w:hAnsi="宋体"/>
          <w:snapToGrid w:val="0"/>
          <w:color w:val="auto"/>
          <w:sz w:val="24"/>
          <w:szCs w:val="24"/>
        </w:rPr>
        <w:t>乙方提供的人员必须满足下列要求:</w:t>
      </w:r>
    </w:p>
    <w:p w14:paraId="45DFE385">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身体健康，无影响工作的高血压、心脏病、低血糖，无精神疾病、无传染病和其他重大疾病，年龄在</w:t>
      </w:r>
      <w:r>
        <w:rPr>
          <w:rFonts w:hint="eastAsia" w:ascii="宋体" w:hAnsi="宋体"/>
          <w:snapToGrid w:val="0"/>
          <w:color w:val="auto"/>
          <w:sz w:val="24"/>
          <w:szCs w:val="24"/>
          <w:u w:val="single"/>
        </w:rPr>
        <w:t>55</w:t>
      </w:r>
      <w:r>
        <w:rPr>
          <w:rFonts w:hint="eastAsia" w:ascii="宋体" w:hAnsi="宋体"/>
          <w:snapToGrid w:val="0"/>
          <w:color w:val="auto"/>
          <w:sz w:val="24"/>
          <w:szCs w:val="24"/>
        </w:rPr>
        <w:t>岁以下；在上岗前应提供符合甲方要求的体检报告以供审核评价，作为人员办理相应入场授权证件的必备材料；</w:t>
      </w:r>
    </w:p>
    <w:p w14:paraId="44D35C26">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无刑事案件牵连；</w:t>
      </w:r>
    </w:p>
    <w:p w14:paraId="41905838">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无吸毒、酗酒、赌博、嫖娼等恶习及违法行为；</w:t>
      </w:r>
    </w:p>
    <w:p w14:paraId="65B49D0D">
      <w:pPr>
        <w:pStyle w:val="253"/>
        <w:numPr>
          <w:ilvl w:val="0"/>
          <w:numId w:val="1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甲方有权对乙方员工的基本素质情况进行检查，对不能满足要求的人员有权进行清理，对乙方则予以考核。</w:t>
      </w:r>
    </w:p>
    <w:p w14:paraId="0792852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八、劳动保护</w:t>
      </w:r>
    </w:p>
    <w:p w14:paraId="6DD89D0B">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乙方须为其从业人员提供符合国家标准的劳动保护用品，包括安全鞋、工作服和安全帽、安全带、防酸碱服和防酸碱手套、呼吸保护器、口罩、护目镜等。</w:t>
      </w:r>
    </w:p>
    <w:p w14:paraId="2A955717">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乙方入场前将个人劳动保护用品配用标准交甲方审核。</w:t>
      </w:r>
    </w:p>
    <w:p w14:paraId="2838B9CE">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乙方应为其从事射线探伤人员配备个人剂量计。</w:t>
      </w:r>
    </w:p>
    <w:p w14:paraId="6398E429">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乙方的劳动保护必须满足甲方的劳动保护要求；甲方对乙方安全实施的情况进行检查，乙方应予以配合,不满足安全条件的，甲方有权中止现场活动，由此产生的工期和成本的影响,由乙方自行负责。</w:t>
      </w:r>
    </w:p>
    <w:p w14:paraId="523269AA">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14:paraId="6B7BEB19">
      <w:pPr>
        <w:pStyle w:val="253"/>
        <w:numPr>
          <w:ilvl w:val="0"/>
          <w:numId w:val="14"/>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乙方负责所属工作人员着装整齐，符合《电力安全工作规程》着装规定，佩戴《出入证》和反光马甲。乙方保证不使用未成年工和不适应现场安全施工的老、弱、病、残等人员进行施工。</w:t>
      </w:r>
    </w:p>
    <w:p w14:paraId="19335E62">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九、作业机具与材料</w:t>
      </w:r>
    </w:p>
    <w:p w14:paraId="4E238B9D">
      <w:pPr>
        <w:pStyle w:val="253"/>
        <w:numPr>
          <w:ilvl w:val="0"/>
          <w:numId w:val="15"/>
        </w:numPr>
        <w:spacing w:line="560" w:lineRule="exact"/>
        <w:ind w:firstLineChars="0"/>
        <w:rPr>
          <w:rFonts w:ascii="宋体" w:hAnsi="宋体"/>
          <w:b/>
          <w:color w:val="auto"/>
          <w:sz w:val="24"/>
          <w:szCs w:val="24"/>
        </w:rPr>
      </w:pPr>
      <w:r>
        <w:rPr>
          <w:rFonts w:hint="eastAsia" w:ascii="宋体" w:hAnsi="宋体"/>
          <w:snapToGrid w:val="0"/>
          <w:color w:val="auto"/>
          <w:sz w:val="24"/>
          <w:szCs w:val="24"/>
        </w:rPr>
        <w:t>乙方对带入现场的作业机械和工器具的安全可靠性负责。</w:t>
      </w:r>
    </w:p>
    <w:p w14:paraId="5ED7160E">
      <w:pPr>
        <w:pStyle w:val="253"/>
        <w:numPr>
          <w:ilvl w:val="0"/>
          <w:numId w:val="15"/>
        </w:numPr>
        <w:spacing w:line="560" w:lineRule="exact"/>
        <w:ind w:firstLineChars="0"/>
        <w:rPr>
          <w:rFonts w:ascii="宋体" w:hAnsi="宋体"/>
          <w:b/>
          <w:color w:val="auto"/>
          <w:sz w:val="24"/>
          <w:szCs w:val="24"/>
        </w:rPr>
      </w:pPr>
      <w:r>
        <w:rPr>
          <w:rFonts w:hint="eastAsia" w:ascii="宋体" w:hAnsi="宋体"/>
          <w:snapToGrid w:val="0"/>
          <w:color w:val="auto"/>
          <w:sz w:val="24"/>
          <w:szCs w:val="24"/>
        </w:rPr>
        <w:t>对于乙方带入现场的特殊工器具、设备，如起重设备、索具、机动车辆、压缩气瓶等，乙方必须按国家法规和标准进行检测、试验，并按规定持有法定部门出具的检验合格证书。</w:t>
      </w:r>
    </w:p>
    <w:p w14:paraId="75F62A03">
      <w:pPr>
        <w:pStyle w:val="253"/>
        <w:numPr>
          <w:ilvl w:val="0"/>
          <w:numId w:val="15"/>
        </w:numPr>
        <w:spacing w:line="560" w:lineRule="exact"/>
        <w:ind w:firstLineChars="0"/>
        <w:rPr>
          <w:rFonts w:ascii="宋体" w:hAnsi="宋体"/>
          <w:b/>
          <w:color w:val="auto"/>
          <w:sz w:val="24"/>
          <w:szCs w:val="24"/>
        </w:rPr>
      </w:pPr>
      <w:r>
        <w:rPr>
          <w:rFonts w:hint="eastAsia" w:ascii="宋体" w:hAnsi="宋体"/>
          <w:snapToGrid w:val="0"/>
          <w:color w:val="auto"/>
          <w:sz w:val="24"/>
          <w:szCs w:val="24"/>
        </w:rPr>
        <w:t>对于不属于法定检测的工器具，乙方也必须建立相应的管理、检测制度。</w:t>
      </w:r>
    </w:p>
    <w:p w14:paraId="4F52A1E9">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十、安全监督</w:t>
      </w:r>
    </w:p>
    <w:p w14:paraId="66E3E12B">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乙方应设安全监督机构，建立、健全安全、消防、应急、环保、职业健康等管理体系。配备有满足项目安全管理需要的安全管理人员，并持证上岗。</w:t>
      </w:r>
    </w:p>
    <w:p w14:paraId="45905345">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乙方的安全管理专职人员必须经过甲方考核，且常驻现场；乙方的专职安全监督人员在业务上接受甲方的协调和指导。</w:t>
      </w:r>
    </w:p>
    <w:p w14:paraId="57471DFC">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乙方应定期开展安全生产自我评估，开展经验反馈活动和日常安全宣传教育，传达甲方的安全要求和信息、对本单位的风险和安全指标趋势进行分析和预测，提出安全工作重点，并向甲方提供评估报告。</w:t>
      </w:r>
    </w:p>
    <w:p w14:paraId="7F5573EE">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乙方应接受和配合甲方的监督与安全评估。</w:t>
      </w:r>
    </w:p>
    <w:p w14:paraId="68A00225">
      <w:pPr>
        <w:pStyle w:val="253"/>
        <w:numPr>
          <w:ilvl w:val="0"/>
          <w:numId w:val="16"/>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甲方有权对乙方履行安全条款的情况进行监督，并有权对违章行为进行考核。</w:t>
      </w:r>
    </w:p>
    <w:p w14:paraId="1A219C2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十一、安全培训与授权</w:t>
      </w:r>
    </w:p>
    <w:p w14:paraId="4CF9204E">
      <w:pPr>
        <w:pStyle w:val="253"/>
        <w:numPr>
          <w:ilvl w:val="0"/>
          <w:numId w:val="17"/>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乙方所有特种作业人员必须持证上岗，甲方有权对其进行抽查。乙方要建立特种作业定期培训和检查计划，这些工种包括但不限于：高压焊工、起重工、电工、架子工等。</w:t>
      </w:r>
    </w:p>
    <w:p w14:paraId="480E49E9">
      <w:pPr>
        <w:pStyle w:val="253"/>
        <w:numPr>
          <w:ilvl w:val="0"/>
          <w:numId w:val="17"/>
        </w:numPr>
        <w:spacing w:line="560" w:lineRule="exact"/>
        <w:ind w:firstLineChars="0"/>
        <w:rPr>
          <w:rFonts w:ascii="宋体" w:hAnsi="宋体"/>
          <w:b/>
          <w:color w:val="auto"/>
          <w:sz w:val="24"/>
          <w:szCs w:val="24"/>
        </w:rPr>
      </w:pPr>
      <w:r>
        <w:rPr>
          <w:rFonts w:hint="eastAsia" w:ascii="宋体" w:hAnsi="宋体"/>
          <w:snapToGrid w:val="0"/>
          <w:color w:val="auto"/>
          <w:sz w:val="24"/>
          <w:szCs w:val="24"/>
        </w:rPr>
        <w:t>由乙方负责其员工安全、消防、应急、环保、职业健康培训和授权的，其培训大纲、教材内容、教员资格等提交甲方审核。甲方有权对乙方培训质量进行检查，对不符合要求的人员，将不能进入现场工作。</w:t>
      </w:r>
    </w:p>
    <w:p w14:paraId="608B34A9">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十二、入场控制</w:t>
      </w:r>
    </w:p>
    <w:p w14:paraId="4A32D91C">
      <w:pPr>
        <w:pStyle w:val="253"/>
        <w:numPr>
          <w:ilvl w:val="0"/>
          <w:numId w:val="1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甲方对乙方安全准备的情况进行检查。不满足开工安全条件的，乙方不得入场，由此产生的工期和成本的影响，由乙方自行负责。</w:t>
      </w:r>
    </w:p>
    <w:p w14:paraId="5436B9D9">
      <w:pPr>
        <w:pStyle w:val="253"/>
        <w:numPr>
          <w:ilvl w:val="0"/>
          <w:numId w:val="18"/>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14:paraId="3496A208">
      <w:pPr>
        <w:pStyle w:val="47"/>
        <w:spacing w:before="0" w:after="0" w:line="560" w:lineRule="exact"/>
        <w:jc w:val="both"/>
        <w:rPr>
          <w:rFonts w:ascii="宋体" w:hAnsi="宋体" w:eastAsia="宋体"/>
          <w:color w:val="auto"/>
          <w:sz w:val="24"/>
          <w:szCs w:val="24"/>
        </w:rPr>
      </w:pPr>
      <w:r>
        <w:rPr>
          <w:rFonts w:hint="eastAsia" w:ascii="宋体" w:hAnsi="宋体" w:eastAsia="宋体"/>
          <w:color w:val="auto"/>
          <w:sz w:val="24"/>
          <w:szCs w:val="24"/>
        </w:rPr>
        <w:t>十三、职业健康与卫生防疫</w:t>
      </w:r>
    </w:p>
    <w:p w14:paraId="0BBA1B93">
      <w:pPr>
        <w:pStyle w:val="253"/>
        <w:numPr>
          <w:ilvl w:val="0"/>
          <w:numId w:val="1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乙方应有特殊健康检查制度，预防有禁忌症患者从事有关职业，如恐高症患者不得从事高空作业，特种作业人员的体检应符合国家的规定。杜绝体检不合格或犯职业禁忌症人员上岗。</w:t>
      </w:r>
    </w:p>
    <w:p w14:paraId="4F6DB055">
      <w:pPr>
        <w:pStyle w:val="253"/>
        <w:numPr>
          <w:ilvl w:val="0"/>
          <w:numId w:val="1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乙方应保证卫生防疫基本设施的投入，以满足医疗、急救的要求。</w:t>
      </w:r>
    </w:p>
    <w:p w14:paraId="1C8BD11B">
      <w:pPr>
        <w:pStyle w:val="253"/>
        <w:numPr>
          <w:ilvl w:val="0"/>
          <w:numId w:val="19"/>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14:paraId="4778787B">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十四、项目风险管理与事故预防</w:t>
      </w:r>
    </w:p>
    <w:p w14:paraId="6362C3A1">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乙方应对作业过程进行全面、深入的危险源识别和风险分析。在作业安全组织设计中提供危险源及重要危险源清单、作业风险分析报告，该报告应包括（但不限于）如下信息：</w:t>
      </w:r>
    </w:p>
    <w:p w14:paraId="076ACCE4">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高风险作业和工种清单：作业名称、这些作业工种的类别和数量、主要事故风险。</w:t>
      </w:r>
    </w:p>
    <w:p w14:paraId="22F6DBBE">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作业机械的种类、数量和主要事故风险。</w:t>
      </w:r>
    </w:p>
    <w:p w14:paraId="7BEBE557">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作业条件的类型和主要事故风险。</w:t>
      </w:r>
    </w:p>
    <w:p w14:paraId="31A67376">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主要工艺过程（或作业活动）的类别及其相关的事故风险。</w:t>
      </w:r>
    </w:p>
    <w:p w14:paraId="41F319F6">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主要火灾危险（可燃物、点火源）。</w:t>
      </w:r>
    </w:p>
    <w:p w14:paraId="4E43EEC9">
      <w:pPr>
        <w:pStyle w:val="253"/>
        <w:numPr>
          <w:ilvl w:val="0"/>
          <w:numId w:val="21"/>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其他。</w:t>
      </w:r>
    </w:p>
    <w:p w14:paraId="3860F3D9">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乙方应针对识别出的危险源制定有针对性的事故预防措施并确保在作业中得到有效落实。</w:t>
      </w:r>
    </w:p>
    <w:p w14:paraId="5E4943C4">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乙方应建立日常作业活动的动态作业风险分析和安全交底制度。该制度应明确规定风险分析的方法、责任和交底的内容、时间及记录。</w:t>
      </w:r>
    </w:p>
    <w:p w14:paraId="152B9774">
      <w:pPr>
        <w:pStyle w:val="253"/>
        <w:numPr>
          <w:ilvl w:val="0"/>
          <w:numId w:val="20"/>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对于危险性较大的施工、维修作业，乙方必须专门制定施工安全方案，并报甲方备案。甲方认为不合格的方案，有权要求乙方重新进行制定，新方案批准前不得开工。开工前，对作业组成员开展安全技术交底。</w:t>
      </w:r>
    </w:p>
    <w:p w14:paraId="4BD96ECD">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十五、事故报告与应急救援</w:t>
      </w:r>
    </w:p>
    <w:p w14:paraId="54C925DF">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乙方应建立安全事故统计记录、医学处置事件统计记录、未遂事件统计记录、违章统计记录，并根据统计情况进行分析，并就分析结果制定相应的预防措施。</w:t>
      </w:r>
    </w:p>
    <w:p w14:paraId="0AA41713">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乙方应根据《电力安全隐患监督管理暂行规定》等规定要求建立安全隐患统计记录，并根据统计情况进行分析，并就分析结果制定相应的预防措施。</w:t>
      </w:r>
    </w:p>
    <w:p w14:paraId="0BA7CFBA">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14:paraId="13E13C4D">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乙方应制定安全生产事故/事件管理程序，发生事故/事件后要及时向甲方报告，不得瞒报、漏报、谎报和迟报。</w:t>
      </w:r>
    </w:p>
    <w:p w14:paraId="4354F937">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14:paraId="1B7704A4">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在现场其他单位发生重大事故时，乙方应无条件立即配合、支持事故抢险。</w:t>
      </w:r>
    </w:p>
    <w:p w14:paraId="74D3F532">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乙方必须为事故处置支付各项费用，包括受伤者的抚恤、补偿等费用，对甲方造成损失的，造价赔偿。</w:t>
      </w:r>
    </w:p>
    <w:p w14:paraId="1FEEDBA3">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涉及乙方员工的伤害事故，乙方除要报告甲方外，还应负责按照国家、行业和本单位上级公司的要求，上报事故。</w:t>
      </w:r>
    </w:p>
    <w:p w14:paraId="6F1BD527">
      <w:pPr>
        <w:pStyle w:val="253"/>
        <w:numPr>
          <w:ilvl w:val="0"/>
          <w:numId w:val="22"/>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乙方负责组织事件调查的，甲方有权参与。</w:t>
      </w:r>
    </w:p>
    <w:p w14:paraId="73AA92B7">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十六、协议条款的修订</w:t>
      </w:r>
    </w:p>
    <w:p w14:paraId="0B7BF81A">
      <w:pPr>
        <w:pStyle w:val="253"/>
        <w:numPr>
          <w:ilvl w:val="0"/>
          <w:numId w:val="2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在项目实施过程中，经双方友好协商，本协议的有关条款也可做出相应的修改。</w:t>
      </w:r>
    </w:p>
    <w:p w14:paraId="10277620">
      <w:pPr>
        <w:pStyle w:val="253"/>
        <w:numPr>
          <w:ilvl w:val="0"/>
          <w:numId w:val="23"/>
        </w:numPr>
        <w:spacing w:line="560" w:lineRule="exact"/>
        <w:ind w:firstLineChars="0"/>
        <w:rPr>
          <w:rFonts w:ascii="宋体" w:hAnsi="宋体"/>
          <w:snapToGrid w:val="0"/>
          <w:color w:val="auto"/>
          <w:sz w:val="24"/>
          <w:szCs w:val="24"/>
        </w:rPr>
      </w:pPr>
      <w:r>
        <w:rPr>
          <w:rFonts w:hint="eastAsia" w:ascii="宋体" w:hAnsi="宋体"/>
          <w:snapToGrid w:val="0"/>
          <w:color w:val="auto"/>
          <w:sz w:val="24"/>
          <w:szCs w:val="24"/>
        </w:rPr>
        <w:t>本协议自合同生效日起实施，甲方保留最终解释权。</w:t>
      </w:r>
    </w:p>
    <w:p w14:paraId="09D825A7">
      <w:pPr>
        <w:pStyle w:val="47"/>
        <w:spacing w:before="0" w:after="0" w:line="560" w:lineRule="exact"/>
        <w:jc w:val="left"/>
        <w:rPr>
          <w:rFonts w:ascii="宋体" w:hAnsi="宋体" w:eastAsia="宋体"/>
          <w:color w:val="auto"/>
          <w:sz w:val="24"/>
          <w:szCs w:val="24"/>
        </w:rPr>
      </w:pPr>
      <w:r>
        <w:rPr>
          <w:rFonts w:hint="eastAsia" w:ascii="宋体" w:hAnsi="宋体" w:eastAsia="宋体"/>
          <w:color w:val="auto"/>
          <w:sz w:val="24"/>
          <w:szCs w:val="24"/>
        </w:rPr>
        <w:t>十七、附件</w:t>
      </w:r>
    </w:p>
    <w:p w14:paraId="6393B137">
      <w:pPr>
        <w:pStyle w:val="47"/>
        <w:spacing w:before="0" w:after="0" w:line="560" w:lineRule="exact"/>
        <w:jc w:val="left"/>
        <w:rPr>
          <w:rFonts w:ascii="宋体" w:hAnsi="宋体" w:eastAsia="宋体"/>
          <w:b w:val="0"/>
          <w:bCs w:val="0"/>
          <w:color w:val="auto"/>
          <w:sz w:val="24"/>
          <w:szCs w:val="24"/>
        </w:rPr>
      </w:pPr>
      <w:r>
        <w:rPr>
          <w:rFonts w:hint="eastAsia" w:ascii="宋体" w:hAnsi="宋体" w:eastAsia="宋体"/>
          <w:b w:val="0"/>
          <w:bCs w:val="0"/>
          <w:color w:val="auto"/>
          <w:sz w:val="24"/>
          <w:szCs w:val="24"/>
        </w:rPr>
        <w:t>附件1：考核指标定义</w:t>
      </w:r>
    </w:p>
    <w:p w14:paraId="5615462E">
      <w:pPr>
        <w:pStyle w:val="47"/>
        <w:spacing w:before="0" w:after="0" w:line="560" w:lineRule="exact"/>
        <w:jc w:val="left"/>
        <w:rPr>
          <w:rFonts w:ascii="宋体" w:hAnsi="宋体" w:eastAsia="宋体"/>
          <w:b w:val="0"/>
          <w:bCs w:val="0"/>
          <w:color w:val="auto"/>
          <w:sz w:val="24"/>
          <w:szCs w:val="24"/>
        </w:rPr>
      </w:pPr>
      <w:r>
        <w:rPr>
          <w:rFonts w:hint="eastAsia" w:ascii="宋体" w:hAnsi="宋体" w:eastAsia="宋体"/>
          <w:b w:val="0"/>
          <w:bCs w:val="0"/>
          <w:color w:val="auto"/>
          <w:sz w:val="24"/>
          <w:szCs w:val="24"/>
        </w:rPr>
        <w:t>附件2：考核条款</w:t>
      </w:r>
    </w:p>
    <w:p w14:paraId="2FC2246D">
      <w:pPr>
        <w:spacing w:line="560" w:lineRule="exact"/>
        <w:rPr>
          <w:rFonts w:ascii="宋体" w:hAnsi="宋体" w:cs="宋体"/>
          <w:bCs/>
          <w:color w:val="auto"/>
          <w:sz w:val="24"/>
        </w:rPr>
      </w:pPr>
    </w:p>
    <w:p w14:paraId="3C1EE36B">
      <w:pPr>
        <w:spacing w:line="560" w:lineRule="exact"/>
        <w:rPr>
          <w:rFonts w:ascii="宋体" w:hAnsi="宋体" w:cs="宋体"/>
          <w:bCs/>
          <w:color w:val="auto"/>
          <w:sz w:val="24"/>
        </w:rPr>
      </w:pPr>
    </w:p>
    <w:p w14:paraId="60C5A252">
      <w:pPr>
        <w:spacing w:line="560" w:lineRule="exact"/>
        <w:rPr>
          <w:rFonts w:ascii="宋体" w:hAnsi="宋体" w:cs="宋体"/>
          <w:bCs/>
          <w:color w:val="auto"/>
          <w:sz w:val="24"/>
        </w:rPr>
      </w:pPr>
      <w:r>
        <w:rPr>
          <w:rFonts w:hint="eastAsia" w:ascii="宋体" w:hAnsi="宋体" w:cs="宋体"/>
          <w:bCs/>
          <w:color w:val="auto"/>
          <w:sz w:val="24"/>
        </w:rPr>
        <w:t>发包单位：</w:t>
      </w:r>
      <w:r>
        <w:rPr>
          <w:rFonts w:hint="eastAsia" w:ascii="宋体" w:hAnsi="宋体"/>
          <w:bCs/>
          <w:color w:val="auto"/>
          <w:spacing w:val="-10"/>
          <w:sz w:val="24"/>
          <w:u w:val="single"/>
        </w:rPr>
        <w:t>东莞市新东元环保投资有限公司</w:t>
      </w:r>
      <w:r>
        <w:rPr>
          <w:rFonts w:hint="eastAsia" w:ascii="宋体" w:hAnsi="宋体" w:cs="宋体"/>
          <w:bCs/>
          <w:color w:val="auto"/>
          <w:spacing w:val="-10"/>
          <w:sz w:val="24"/>
        </w:rPr>
        <w:t xml:space="preserve">  </w:t>
      </w:r>
      <w:r>
        <w:rPr>
          <w:rFonts w:hint="eastAsia" w:ascii="宋体" w:hAnsi="宋体" w:cs="宋体"/>
          <w:bCs/>
          <w:color w:val="auto"/>
          <w:sz w:val="24"/>
        </w:rPr>
        <w:t>承包单位：</w:t>
      </w:r>
    </w:p>
    <w:p w14:paraId="755A70B8">
      <w:pPr>
        <w:spacing w:line="560" w:lineRule="exact"/>
        <w:rPr>
          <w:rFonts w:ascii="宋体" w:hAnsi="宋体" w:cs="宋体"/>
          <w:bCs/>
          <w:color w:val="auto"/>
          <w:sz w:val="24"/>
        </w:rPr>
      </w:pPr>
      <w:r>
        <w:rPr>
          <w:rFonts w:hint="eastAsia" w:ascii="宋体" w:hAnsi="宋体" w:cs="宋体"/>
          <w:bCs/>
          <w:color w:val="auto"/>
          <w:sz w:val="24"/>
        </w:rPr>
        <w:t>（盖章）                              （盖章）</w:t>
      </w:r>
    </w:p>
    <w:p w14:paraId="4C3A5531">
      <w:pPr>
        <w:spacing w:line="560" w:lineRule="exact"/>
        <w:rPr>
          <w:rFonts w:ascii="宋体" w:hAnsi="宋体" w:cs="宋体"/>
          <w:bCs/>
          <w:color w:val="auto"/>
          <w:sz w:val="24"/>
        </w:rPr>
      </w:pPr>
      <w:r>
        <w:rPr>
          <w:rFonts w:hint="eastAsia" w:ascii="宋体" w:hAnsi="宋体" w:cs="宋体"/>
          <w:bCs/>
          <w:color w:val="auto"/>
          <w:sz w:val="24"/>
        </w:rPr>
        <w:t>法定代表人或                           法定代表人或</w:t>
      </w:r>
    </w:p>
    <w:p w14:paraId="7A24741B">
      <w:pPr>
        <w:spacing w:line="560" w:lineRule="exact"/>
        <w:rPr>
          <w:rFonts w:hint="eastAsia" w:ascii="宋体" w:hAnsi="宋体" w:cs="宋体"/>
          <w:bCs/>
          <w:color w:val="auto"/>
          <w:sz w:val="24"/>
        </w:rPr>
      </w:pPr>
      <w:r>
        <w:rPr>
          <w:rFonts w:hint="eastAsia" w:ascii="宋体" w:hAnsi="宋体" w:cs="宋体"/>
          <w:bCs/>
          <w:color w:val="auto"/>
          <w:sz w:val="24"/>
        </w:rPr>
        <w:t>代表人：                               代表人：</w:t>
      </w:r>
    </w:p>
    <w:p w14:paraId="10B41DB0">
      <w:pPr>
        <w:pStyle w:val="2"/>
      </w:pPr>
    </w:p>
    <w:p w14:paraId="7EBF0A4D">
      <w:pPr>
        <w:pStyle w:val="2"/>
        <w:jc w:val="left"/>
        <w:rPr>
          <w:rFonts w:hint="eastAsia" w:ascii="宋体" w:hAnsi="宋体" w:cs="宋体"/>
          <w:bCs/>
          <w:color w:val="auto"/>
          <w:sz w:val="24"/>
        </w:rPr>
      </w:pPr>
      <w:r>
        <w:rPr>
          <w:rFonts w:hint="eastAsia" w:ascii="宋体" w:hAnsi="宋体" w:cs="宋体"/>
          <w:bCs/>
          <w:color w:val="auto"/>
          <w:sz w:val="24"/>
        </w:rPr>
        <w:t>日  期：</w:t>
      </w:r>
      <w:r>
        <w:rPr>
          <w:rFonts w:hint="eastAsia" w:ascii="宋体" w:hAnsi="宋体" w:cs="宋体"/>
          <w:bCs/>
          <w:color w:val="auto"/>
          <w:sz w:val="24"/>
          <w:lang w:val="en-US" w:eastAsia="zh-CN"/>
        </w:rPr>
        <w:t>2026</w:t>
      </w:r>
      <w:r>
        <w:rPr>
          <w:rFonts w:hint="eastAsia" w:ascii="宋体" w:hAnsi="宋体" w:cs="宋体"/>
          <w:bCs/>
          <w:color w:val="auto"/>
          <w:sz w:val="24"/>
        </w:rPr>
        <w:t xml:space="preserve"> 年  月  日              </w:t>
      </w:r>
      <w:r>
        <w:rPr>
          <w:rFonts w:hint="eastAsia" w:ascii="宋体" w:hAnsi="宋体" w:cs="宋体"/>
          <w:bCs/>
          <w:color w:val="auto"/>
          <w:sz w:val="24"/>
          <w:lang w:val="en-US" w:eastAsia="zh-CN"/>
        </w:rPr>
        <w:t xml:space="preserve">  </w:t>
      </w:r>
      <w:r>
        <w:rPr>
          <w:rFonts w:hint="eastAsia" w:ascii="宋体" w:hAnsi="宋体" w:cs="宋体"/>
          <w:bCs/>
          <w:color w:val="auto"/>
          <w:sz w:val="24"/>
        </w:rPr>
        <w:t>日  期：</w:t>
      </w:r>
      <w:r>
        <w:rPr>
          <w:rFonts w:hint="eastAsia" w:ascii="宋体" w:hAnsi="宋体" w:cs="宋体"/>
          <w:bCs/>
          <w:color w:val="auto"/>
          <w:sz w:val="24"/>
          <w:lang w:val="en-US" w:eastAsia="zh-CN"/>
        </w:rPr>
        <w:t>2026</w:t>
      </w:r>
      <w:r>
        <w:rPr>
          <w:rFonts w:hint="eastAsia" w:ascii="宋体" w:hAnsi="宋体" w:cs="宋体"/>
          <w:bCs/>
          <w:color w:val="auto"/>
          <w:sz w:val="24"/>
        </w:rPr>
        <w:t xml:space="preserve"> 年  月   日</w:t>
      </w:r>
    </w:p>
    <w:p w14:paraId="7F88FE4F">
      <w:pPr>
        <w:pStyle w:val="2"/>
        <w:rPr>
          <w:rFonts w:hint="eastAsia" w:ascii="宋体" w:hAnsi="宋体" w:cs="宋体"/>
          <w:bCs/>
          <w:color w:val="auto"/>
          <w:sz w:val="24"/>
        </w:rPr>
      </w:pPr>
    </w:p>
    <w:p w14:paraId="77A0103A">
      <w:pPr>
        <w:pStyle w:val="2"/>
        <w:rPr>
          <w:rFonts w:hint="eastAsia" w:ascii="宋体" w:hAnsi="宋体" w:cs="宋体"/>
          <w:bCs/>
          <w:color w:val="auto"/>
          <w:sz w:val="24"/>
        </w:rPr>
      </w:pPr>
    </w:p>
    <w:p w14:paraId="1CC0E747">
      <w:pPr>
        <w:pStyle w:val="2"/>
        <w:rPr>
          <w:rFonts w:hint="eastAsia" w:ascii="宋体" w:hAnsi="宋体" w:cs="宋体"/>
          <w:bCs/>
          <w:color w:val="auto"/>
          <w:sz w:val="24"/>
        </w:rPr>
      </w:pPr>
    </w:p>
    <w:p w14:paraId="052136BE">
      <w:pPr>
        <w:pStyle w:val="2"/>
        <w:rPr>
          <w:rFonts w:hint="eastAsia" w:ascii="宋体" w:hAnsi="宋体" w:cs="宋体"/>
          <w:bCs/>
          <w:color w:val="auto"/>
          <w:sz w:val="24"/>
        </w:rPr>
      </w:pPr>
    </w:p>
    <w:p w14:paraId="1699AE52">
      <w:pPr>
        <w:pStyle w:val="2"/>
        <w:rPr>
          <w:rFonts w:hint="eastAsia" w:ascii="宋体" w:hAnsi="宋体" w:cs="宋体"/>
          <w:bCs/>
          <w:color w:val="auto"/>
          <w:sz w:val="24"/>
        </w:rPr>
      </w:pPr>
    </w:p>
    <w:p w14:paraId="0B98A41B">
      <w:pPr>
        <w:pStyle w:val="2"/>
        <w:rPr>
          <w:rFonts w:hint="eastAsia" w:ascii="宋体" w:hAnsi="宋体" w:cs="宋体"/>
          <w:bCs/>
          <w:color w:val="auto"/>
          <w:sz w:val="24"/>
        </w:rPr>
      </w:pPr>
    </w:p>
    <w:p w14:paraId="0076233F">
      <w:pPr>
        <w:pStyle w:val="2"/>
        <w:rPr>
          <w:rFonts w:hint="eastAsia" w:ascii="宋体" w:hAnsi="宋体" w:cs="宋体"/>
          <w:bCs/>
          <w:color w:val="auto"/>
          <w:sz w:val="24"/>
        </w:rPr>
      </w:pPr>
    </w:p>
    <w:p w14:paraId="570B3A65">
      <w:pPr>
        <w:pStyle w:val="2"/>
        <w:rPr>
          <w:rFonts w:hint="eastAsia" w:ascii="宋体" w:hAnsi="宋体" w:cs="宋体"/>
          <w:bCs/>
          <w:color w:val="auto"/>
          <w:sz w:val="24"/>
        </w:rPr>
      </w:pPr>
    </w:p>
    <w:p w14:paraId="5EFF287D">
      <w:pPr>
        <w:pStyle w:val="2"/>
        <w:rPr>
          <w:rFonts w:hint="eastAsia" w:ascii="宋体" w:hAnsi="宋体" w:cs="宋体"/>
          <w:bCs/>
          <w:color w:val="auto"/>
          <w:sz w:val="24"/>
        </w:rPr>
      </w:pPr>
    </w:p>
    <w:p w14:paraId="7700F850">
      <w:pPr>
        <w:pStyle w:val="2"/>
        <w:rPr>
          <w:rFonts w:hint="eastAsia" w:ascii="宋体" w:hAnsi="宋体" w:cs="宋体"/>
          <w:bCs/>
          <w:color w:val="auto"/>
          <w:sz w:val="24"/>
        </w:rPr>
      </w:pPr>
    </w:p>
    <w:p w14:paraId="52F4FDFC">
      <w:pPr>
        <w:pStyle w:val="2"/>
        <w:rPr>
          <w:rFonts w:hint="eastAsia" w:ascii="宋体" w:hAnsi="宋体" w:cs="宋体"/>
          <w:bCs/>
          <w:color w:val="auto"/>
          <w:sz w:val="24"/>
        </w:rPr>
      </w:pPr>
    </w:p>
    <w:p w14:paraId="10AD85E4">
      <w:pPr>
        <w:pStyle w:val="2"/>
        <w:rPr>
          <w:rFonts w:hint="eastAsia" w:ascii="宋体" w:hAnsi="宋体" w:cs="宋体"/>
          <w:bCs/>
          <w:color w:val="auto"/>
          <w:sz w:val="24"/>
        </w:rPr>
      </w:pPr>
    </w:p>
    <w:p w14:paraId="0774B579">
      <w:pPr>
        <w:pStyle w:val="2"/>
        <w:rPr>
          <w:rFonts w:hint="eastAsia" w:ascii="宋体" w:hAnsi="宋体" w:cs="宋体"/>
          <w:bCs/>
          <w:color w:val="auto"/>
          <w:sz w:val="24"/>
        </w:rPr>
      </w:pPr>
    </w:p>
    <w:p w14:paraId="5F1014B1">
      <w:pPr>
        <w:pStyle w:val="2"/>
        <w:rPr>
          <w:rFonts w:hint="eastAsia" w:ascii="宋体" w:hAnsi="宋体" w:cs="宋体"/>
          <w:bCs/>
          <w:color w:val="auto"/>
          <w:sz w:val="24"/>
        </w:rPr>
      </w:pPr>
    </w:p>
    <w:p w14:paraId="14209A98">
      <w:pPr>
        <w:pStyle w:val="2"/>
        <w:rPr>
          <w:rFonts w:hint="eastAsia" w:ascii="宋体" w:hAnsi="宋体" w:cs="宋体"/>
          <w:bCs/>
          <w:color w:val="auto"/>
          <w:sz w:val="24"/>
        </w:rPr>
      </w:pPr>
    </w:p>
    <w:p w14:paraId="79C7B2DE">
      <w:pPr>
        <w:pStyle w:val="2"/>
        <w:rPr>
          <w:rFonts w:hint="eastAsia" w:ascii="宋体" w:hAnsi="宋体" w:cs="宋体"/>
          <w:bCs/>
          <w:color w:val="auto"/>
          <w:sz w:val="24"/>
        </w:rPr>
      </w:pPr>
    </w:p>
    <w:p w14:paraId="241A878A">
      <w:pPr>
        <w:pStyle w:val="2"/>
        <w:rPr>
          <w:rFonts w:hint="eastAsia" w:ascii="宋体" w:hAnsi="宋体" w:cs="宋体"/>
          <w:bCs/>
          <w:color w:val="auto"/>
          <w:sz w:val="24"/>
        </w:rPr>
      </w:pPr>
    </w:p>
    <w:p w14:paraId="0B4796B7">
      <w:pPr>
        <w:pStyle w:val="2"/>
        <w:rPr>
          <w:rFonts w:hint="eastAsia" w:ascii="宋体" w:hAnsi="宋体" w:cs="宋体"/>
          <w:bCs/>
          <w:color w:val="auto"/>
          <w:sz w:val="24"/>
        </w:rPr>
      </w:pPr>
    </w:p>
    <w:p w14:paraId="079319AB">
      <w:pPr>
        <w:pStyle w:val="2"/>
        <w:rPr>
          <w:rFonts w:hint="eastAsia" w:ascii="宋体" w:hAnsi="宋体" w:cs="宋体"/>
          <w:bCs/>
          <w:color w:val="auto"/>
          <w:sz w:val="24"/>
        </w:rPr>
      </w:pPr>
    </w:p>
    <w:p w14:paraId="648869A7">
      <w:pPr>
        <w:pStyle w:val="2"/>
        <w:rPr>
          <w:rFonts w:hint="eastAsia" w:ascii="宋体" w:hAnsi="宋体" w:cs="宋体"/>
          <w:bCs/>
          <w:color w:val="auto"/>
          <w:sz w:val="24"/>
        </w:rPr>
      </w:pPr>
    </w:p>
    <w:p w14:paraId="7256ABDE">
      <w:pPr>
        <w:spacing w:line="560" w:lineRule="exact"/>
        <w:jc w:val="left"/>
        <w:rPr>
          <w:rFonts w:ascii="宋体" w:hAnsi="宋体" w:eastAsia="宋体"/>
          <w:bCs/>
          <w:snapToGrid w:val="0"/>
          <w:color w:val="auto"/>
          <w:sz w:val="24"/>
          <w:szCs w:val="24"/>
        </w:rPr>
      </w:pPr>
      <w:r>
        <w:rPr>
          <w:rFonts w:hint="eastAsia" w:ascii="宋体" w:hAnsi="宋体" w:eastAsia="宋体"/>
          <w:bCs/>
          <w:snapToGrid w:val="0"/>
          <w:color w:val="auto"/>
          <w:sz w:val="24"/>
          <w:szCs w:val="24"/>
        </w:rPr>
        <w:t>附件1 考核指标定义</w:t>
      </w:r>
    </w:p>
    <w:p w14:paraId="7A613E5B">
      <w:pPr>
        <w:spacing w:line="560" w:lineRule="exact"/>
        <w:jc w:val="center"/>
        <w:rPr>
          <w:rFonts w:ascii="宋体" w:hAnsi="宋体" w:eastAsia="宋体"/>
          <w:b/>
          <w:snapToGrid w:val="0"/>
          <w:color w:val="auto"/>
          <w:sz w:val="24"/>
          <w:szCs w:val="24"/>
        </w:rPr>
      </w:pPr>
      <w:r>
        <w:rPr>
          <w:rFonts w:hint="eastAsia" w:ascii="宋体" w:hAnsi="宋体" w:eastAsia="宋体"/>
          <w:b/>
          <w:snapToGrid w:val="0"/>
          <w:color w:val="auto"/>
          <w:sz w:val="24"/>
          <w:szCs w:val="24"/>
        </w:rPr>
        <w:t>考核指标定义</w:t>
      </w:r>
    </w:p>
    <w:p w14:paraId="299E172A">
      <w:pPr>
        <w:pStyle w:val="253"/>
        <w:numPr>
          <w:ilvl w:val="0"/>
          <w:numId w:val="24"/>
        </w:numPr>
        <w:spacing w:line="540" w:lineRule="exact"/>
        <w:ind w:firstLineChars="0"/>
        <w:rPr>
          <w:rStyle w:val="54"/>
          <w:rFonts w:ascii="新宋体" w:hAnsi="新宋体" w:eastAsia="新宋体" w:cs="新宋体"/>
          <w:b w:val="0"/>
          <w:bCs w:val="0"/>
          <w:color w:val="auto"/>
          <w:sz w:val="24"/>
          <w:szCs w:val="24"/>
        </w:rPr>
      </w:pPr>
      <w:r>
        <w:rPr>
          <w:rFonts w:hint="eastAsia" w:ascii="新宋体" w:hAnsi="新宋体" w:eastAsia="新宋体" w:cs="新宋体"/>
          <w:snapToGrid w:val="0"/>
          <w:color w:val="auto"/>
          <w:sz w:val="24"/>
          <w:szCs w:val="24"/>
        </w:rPr>
        <w:t>死亡及以上事故：见</w:t>
      </w:r>
      <w:r>
        <w:rPr>
          <w:rFonts w:hint="eastAsia" w:ascii="新宋体" w:hAnsi="新宋体" w:eastAsia="新宋体" w:cs="新宋体"/>
          <w:color w:val="auto"/>
          <w:sz w:val="24"/>
          <w:szCs w:val="24"/>
        </w:rPr>
        <w:t>中华人民共和国《生产安全事故报告和调查处理条例》（国务院令第493号）事故标准。</w:t>
      </w:r>
    </w:p>
    <w:p w14:paraId="31C1B753">
      <w:pPr>
        <w:pStyle w:val="253"/>
        <w:numPr>
          <w:ilvl w:val="0"/>
          <w:numId w:val="24"/>
        </w:numPr>
        <w:spacing w:line="540" w:lineRule="exact"/>
        <w:ind w:firstLineChars="0"/>
        <w:rPr>
          <w:rFonts w:ascii="新宋体" w:hAnsi="新宋体" w:eastAsia="新宋体" w:cs="新宋体"/>
          <w:snapToGrid w:val="0"/>
          <w:color w:val="auto"/>
          <w:sz w:val="24"/>
          <w:szCs w:val="24"/>
        </w:rPr>
      </w:pPr>
      <w:r>
        <w:rPr>
          <w:rFonts w:hint="eastAsia" w:ascii="新宋体" w:hAnsi="新宋体" w:eastAsia="新宋体" w:cs="新宋体"/>
          <w:color w:val="auto"/>
          <w:sz w:val="24"/>
          <w:szCs w:val="24"/>
        </w:rPr>
        <w:t>重伤事故：（1）</w:t>
      </w:r>
      <w:r>
        <w:rPr>
          <w:rStyle w:val="54"/>
          <w:rFonts w:hint="eastAsia" w:ascii="新宋体" w:hAnsi="新宋体" w:eastAsia="新宋体" w:cs="新宋体"/>
          <w:b w:val="0"/>
          <w:bCs w:val="0"/>
          <w:color w:val="auto"/>
          <w:sz w:val="24"/>
          <w:szCs w:val="24"/>
        </w:rPr>
        <w:t>指造成人员肢体残废、毁人容貌、丧失听觉、丧失视觉、丧失其他器官功能或者其他对于人身健康有重大伤害的事故，包括重伤一级和重伤二级，具体以劳动能力鉴定委员会的最终评定结果为准。（2）</w:t>
      </w:r>
      <w:r>
        <w:rPr>
          <w:rStyle w:val="54"/>
          <w:rFonts w:hint="eastAsia" w:ascii="新宋体" w:hAnsi="新宋体" w:eastAsia="新宋体" w:cs="新宋体"/>
          <w:b w:val="0"/>
          <w:color w:val="auto"/>
          <w:sz w:val="24"/>
          <w:szCs w:val="24"/>
        </w:rPr>
        <w:t>造成20万元以上100万元以下直接经济损失的，与重伤事故同等级别认定。</w:t>
      </w:r>
    </w:p>
    <w:p w14:paraId="54355347">
      <w:pPr>
        <w:pStyle w:val="253"/>
        <w:numPr>
          <w:ilvl w:val="0"/>
          <w:numId w:val="24"/>
        </w:numPr>
        <w:spacing w:line="540" w:lineRule="exact"/>
        <w:ind w:firstLineChars="0"/>
        <w:rPr>
          <w:rFonts w:ascii="宋体" w:hAnsi="宋体" w:eastAsia="宋体"/>
          <w:snapToGrid w:val="0"/>
          <w:color w:val="auto"/>
          <w:sz w:val="24"/>
          <w:szCs w:val="24"/>
        </w:rPr>
      </w:pPr>
      <w:r>
        <w:rPr>
          <w:rStyle w:val="54"/>
          <w:rFonts w:hint="eastAsia" w:ascii="新宋体" w:hAnsi="新宋体" w:eastAsia="新宋体" w:cs="新宋体"/>
          <w:b w:val="0"/>
          <w:color w:val="auto"/>
          <w:sz w:val="24"/>
          <w:szCs w:val="24"/>
        </w:rPr>
        <w:t>轻伤事故：（1）造成1人肢体或者容貌损害，听觉、视觉或者其他器官功能部分障碍或者其他对于人身健康有中度伤害的事故，</w:t>
      </w:r>
      <w:r>
        <w:rPr>
          <w:rStyle w:val="54"/>
          <w:rFonts w:hint="eastAsia" w:ascii="新宋体" w:hAnsi="新宋体" w:eastAsia="新宋体" w:cs="新宋体"/>
          <w:b w:val="0"/>
          <w:bCs w:val="0"/>
          <w:color w:val="auto"/>
          <w:sz w:val="24"/>
          <w:szCs w:val="24"/>
        </w:rPr>
        <w:t>包括轻伤一级和轻伤二级，具体</w:t>
      </w:r>
      <w:r>
        <w:rPr>
          <w:rStyle w:val="54"/>
          <w:rFonts w:hint="eastAsia" w:ascii="新宋体" w:hAnsi="新宋体" w:eastAsia="新宋体" w:cs="新宋体"/>
          <w:b w:val="0"/>
          <w:color w:val="auto"/>
          <w:sz w:val="24"/>
          <w:szCs w:val="24"/>
        </w:rPr>
        <w:t>以劳动能力鉴定委员会的最终评定结果为准。（2）造成3万元以上20万元以下直接经济损失的，与重伤事故同等级别认定。</w:t>
      </w:r>
    </w:p>
    <w:p w14:paraId="1F45ED1D">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损失工时事故（LWC）：造成员工离开工作岗位一天或一天以上（不含事故当天）；</w:t>
      </w:r>
    </w:p>
    <w:p w14:paraId="29681BBD">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限制工时事故（RWC）：造成员工工作受限制一天或一天以上（不含事故当天）；限制性工业事故由职业医疗根据员工的实际情况和医疗部门给出的休息建议确定；</w:t>
      </w:r>
    </w:p>
    <w:p w14:paraId="717EEA46">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医学处置事件（MTC）：该事故需要医疗处置但又没有LWC和RWC的后果；医疗处置事件分为医护处置事件、急救箱处置事件；</w:t>
      </w:r>
    </w:p>
    <w:p w14:paraId="1386306B">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医护处置事件：需要专业医护人员进行一般医学处理的事件。</w:t>
      </w:r>
    </w:p>
    <w:p w14:paraId="309BE784">
      <w:pPr>
        <w:pStyle w:val="253"/>
        <w:numPr>
          <w:ilvl w:val="0"/>
          <w:numId w:val="24"/>
        </w:numPr>
        <w:spacing w:line="540" w:lineRule="exact"/>
        <w:ind w:firstLineChars="0"/>
        <w:rPr>
          <w:rFonts w:ascii="宋体" w:hAnsi="宋体" w:eastAsia="宋体"/>
          <w:snapToGrid w:val="0"/>
          <w:color w:val="auto"/>
          <w:sz w:val="24"/>
          <w:szCs w:val="24"/>
        </w:rPr>
      </w:pPr>
      <w:r>
        <w:rPr>
          <w:rFonts w:hint="eastAsia" w:ascii="宋体" w:hAnsi="宋体" w:eastAsia="宋体"/>
          <w:snapToGrid w:val="0"/>
          <w:color w:val="auto"/>
          <w:sz w:val="24"/>
          <w:szCs w:val="24"/>
        </w:rPr>
        <w:t>急救箱处置事件：需要专业医护人员进行简单医学处理的事件，或可自行处理的伤害事件，例如：</w:t>
      </w:r>
    </w:p>
    <w:p w14:paraId="2E84B521">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使用创可贴、纱布及绷带对伤口包扎，不影响工作活动；</w:t>
      </w:r>
    </w:p>
    <w:p w14:paraId="73001674">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轻微挫伤，皮肤没有破损，只需冷敷或理疗处理；</w:t>
      </w:r>
    </w:p>
    <w:p w14:paraId="2011412F">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推拿治疗；</w:t>
      </w:r>
    </w:p>
    <w:p w14:paraId="782C2328">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只使用冲洗或棉签来清除眼中的异物；</w:t>
      </w:r>
    </w:p>
    <w:p w14:paraId="345F32DE">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使用非刚性的方法进行支撑，例如弹性绷带、护套、非刚性的腰背带等；</w:t>
      </w:r>
    </w:p>
    <w:p w14:paraId="74F8C658">
      <w:pPr>
        <w:numPr>
          <w:ilvl w:val="3"/>
          <w:numId w:val="25"/>
        </w:numPr>
        <w:tabs>
          <w:tab w:val="clear" w:pos="226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使用手指防护装置等。</w:t>
      </w:r>
    </w:p>
    <w:p w14:paraId="3F839F34">
      <w:pPr>
        <w:numPr>
          <w:ilvl w:val="0"/>
          <w:numId w:val="26"/>
        </w:num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未遂事件：</w:t>
      </w:r>
    </w:p>
    <w:p w14:paraId="2F34C244">
      <w:pPr>
        <w:spacing w:line="540" w:lineRule="exact"/>
        <w:ind w:firstLine="540" w:firstLineChars="225"/>
        <w:rPr>
          <w:rFonts w:ascii="宋体" w:hAnsi="宋体" w:eastAsia="宋体"/>
          <w:snapToGrid w:val="0"/>
          <w:color w:val="auto"/>
          <w:sz w:val="24"/>
          <w:szCs w:val="24"/>
        </w:rPr>
      </w:pPr>
      <w:r>
        <w:rPr>
          <w:rFonts w:hint="eastAsia" w:ascii="宋体" w:hAnsi="宋体" w:eastAsia="宋体"/>
          <w:snapToGrid w:val="0"/>
          <w:color w:val="auto"/>
          <w:sz w:val="24"/>
          <w:szCs w:val="24"/>
        </w:rPr>
        <w:t>未造成人员伤害但是可能会导致工业事故的事件，未遂事件分为严重未遂事件、普通未遂事件。</w:t>
      </w:r>
    </w:p>
    <w:p w14:paraId="447C2E38">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严重未遂事件：指已经发生，未构成事故，潜在后果严重，可能导致人员死亡、重伤的意外事件。满足下列条件的可确定为严重未遂（举例）：</w:t>
      </w:r>
    </w:p>
    <w:p w14:paraId="35EC94D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脚手架坍塌时人员及时撤离、躲避或不在现场；</w:t>
      </w:r>
    </w:p>
    <w:p w14:paraId="44DA84A0">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吊运物品过程中挂碰周围设备（施），造成周围设备（施）划痕、变形、不可用但未造成人员受伤的；</w:t>
      </w:r>
    </w:p>
    <w:p w14:paraId="2EA274C1">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车辆倾翻但未造成人员受伤的；</w:t>
      </w:r>
    </w:p>
    <w:p w14:paraId="7230222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物品运输、装卸过程中坠落倾翻，但未造成人员受伤的；</w:t>
      </w:r>
    </w:p>
    <w:p w14:paraId="458D3912">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较重物体从高处落下或突然弹射出，未砸到人，或人员不在场但落在人行通道上；</w:t>
      </w:r>
    </w:p>
    <w:p w14:paraId="63AC0BDA">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无证作业、作业中发现隔离边界不完整，误操作（如误合刀闸、误开或误关重要阀门）或操作严重漏项，且有较大人身伤害或主要设备损坏风险；</w:t>
      </w:r>
    </w:p>
    <w:p w14:paraId="3D67792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人员高处坠落（2m及以上），但因保护设施起作用或缓冲等因素避免人员受伤的；</w:t>
      </w:r>
    </w:p>
    <w:p w14:paraId="505D0B1E">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作业过程中安全防护装置发生故障（如起重机电梯限位、紧急制动失效）；</w:t>
      </w:r>
    </w:p>
    <w:p w14:paraId="30F78B01">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高温（</w:t>
      </w:r>
      <w:r>
        <w:rPr>
          <w:rFonts w:ascii="宋体" w:hAnsi="宋体" w:eastAsia="宋体"/>
          <w:snapToGrid w:val="0"/>
          <w:color w:val="auto"/>
          <w:sz w:val="24"/>
          <w:szCs w:val="24"/>
        </w:rPr>
        <w:t>≥</w:t>
      </w:r>
      <w:r>
        <w:rPr>
          <w:rFonts w:hint="eastAsia" w:ascii="宋体" w:hAnsi="宋体" w:eastAsia="宋体"/>
          <w:snapToGrid w:val="0"/>
          <w:color w:val="auto"/>
          <w:sz w:val="24"/>
          <w:szCs w:val="24"/>
        </w:rPr>
        <w:t>70</w:t>
      </w:r>
      <w:r>
        <w:rPr>
          <w:rFonts w:ascii="宋体" w:hAnsi="宋体" w:eastAsia="宋体"/>
          <w:snapToGrid w:val="0"/>
          <w:color w:val="auto"/>
          <w:sz w:val="24"/>
          <w:szCs w:val="24"/>
        </w:rPr>
        <w:t>℃</w:t>
      </w:r>
      <w:r>
        <w:rPr>
          <w:rFonts w:hint="eastAsia" w:ascii="宋体" w:hAnsi="宋体" w:eastAsia="宋体"/>
          <w:snapToGrid w:val="0"/>
          <w:color w:val="auto"/>
          <w:sz w:val="24"/>
          <w:szCs w:val="24"/>
        </w:rPr>
        <w:t>）、高压水（水蒸气、绝对压力＞1bar）、低温液体（液N2）等危险品突然泄漏喷射，没有造成在场人员的受伤的；</w:t>
      </w:r>
    </w:p>
    <w:p w14:paraId="00349F65">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设备、设施的专设安全保护装置在非控情况下被拆除，如格栅、盖板、围栏、转动机械防护装置，给人员带来较大伤害风险；</w:t>
      </w:r>
    </w:p>
    <w:p w14:paraId="6FE40BD7">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可导致人员窒息、中毒、触电、淹溺的作业，未采取有效措施且已出现较大伤害风险；</w:t>
      </w:r>
    </w:p>
    <w:p w14:paraId="53D59BEA">
      <w:pPr>
        <w:numPr>
          <w:ilvl w:val="0"/>
          <w:numId w:val="27"/>
        </w:numPr>
        <w:tabs>
          <w:tab w:val="clear" w:pos="1848"/>
        </w:tabs>
        <w:spacing w:line="540" w:lineRule="exact"/>
        <w:ind w:left="420"/>
        <w:rPr>
          <w:rFonts w:ascii="宋体" w:hAnsi="宋体" w:eastAsia="宋体"/>
          <w:snapToGrid w:val="0"/>
          <w:color w:val="auto"/>
          <w:sz w:val="24"/>
          <w:szCs w:val="24"/>
        </w:rPr>
      </w:pPr>
      <w:r>
        <w:rPr>
          <w:rFonts w:hint="eastAsia" w:ascii="宋体" w:hAnsi="宋体" w:eastAsia="宋体"/>
          <w:snapToGrid w:val="0"/>
          <w:color w:val="auto"/>
          <w:sz w:val="24"/>
          <w:szCs w:val="24"/>
        </w:rPr>
        <w:t>经甲方认定的对人身有重大伤害风险的事件。</w:t>
      </w:r>
    </w:p>
    <w:p w14:paraId="300E7746">
      <w:pPr>
        <w:numPr>
          <w:ilvl w:val="0"/>
          <w:numId w:val="28"/>
        </w:numPr>
        <w:tabs>
          <w:tab w:val="left" w:pos="90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普通未遂事件：指已经发生未构成事件，潜在后果一般的意外事件。满足下列条件的可确定为普通未遂（举例）：</w:t>
      </w:r>
    </w:p>
    <w:p w14:paraId="5C5DEB7C">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较轻物体（如手电、小工具）高处坠落未砸（击）到人；</w:t>
      </w:r>
    </w:p>
    <w:p w14:paraId="7ED8967C">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走错间隔，有人身伤害风险，但未造成后果；</w:t>
      </w:r>
    </w:p>
    <w:p w14:paraId="58214EEF">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错用工作票作业，工作开始前被发现且潜在后果存在人身伤害风险；</w:t>
      </w:r>
    </w:p>
    <w:p w14:paraId="79ECBF5C">
      <w:pPr>
        <w:numPr>
          <w:ilvl w:val="0"/>
          <w:numId w:val="29"/>
        </w:numPr>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造成人员失足、失手、身体不适的作业条件（如孔洞、照明、通风），并已给人员带来普通风险。</w:t>
      </w:r>
    </w:p>
    <w:p w14:paraId="6523622E">
      <w:pPr>
        <w:numPr>
          <w:ilvl w:val="0"/>
          <w:numId w:val="30"/>
        </w:num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 xml:space="preserve"> 异常事件：任何未构成未遂事故的不安全的条件、设备/设施缺陷违章行为、不良工作习惯等不构成未遂事故的事件；或</w:t>
      </w:r>
      <w:r>
        <w:rPr>
          <w:rStyle w:val="54"/>
          <w:rFonts w:hint="eastAsia" w:ascii="新宋体" w:hAnsi="新宋体" w:eastAsia="新宋体" w:cs="新宋体"/>
          <w:b w:val="0"/>
          <w:bCs w:val="0"/>
          <w:color w:val="auto"/>
          <w:sz w:val="24"/>
          <w:szCs w:val="24"/>
        </w:rPr>
        <w:t>主设备被迫停运12h以内、火灾一次损失0.2万以下等生产安全事件。</w:t>
      </w:r>
    </w:p>
    <w:p w14:paraId="4D6E46B4">
      <w:pPr>
        <w:tabs>
          <w:tab w:val="left" w:pos="360"/>
        </w:tabs>
        <w:spacing w:line="540" w:lineRule="exact"/>
        <w:rPr>
          <w:rStyle w:val="54"/>
          <w:rFonts w:ascii="新宋体" w:hAnsi="新宋体" w:eastAsia="新宋体" w:cs="新宋体"/>
          <w:b w:val="0"/>
          <w:bCs w:val="0"/>
          <w:color w:val="auto"/>
          <w:sz w:val="24"/>
          <w:szCs w:val="24"/>
        </w:rPr>
      </w:pPr>
      <w:r>
        <w:rPr>
          <w:rFonts w:hint="eastAsia" w:ascii="宋体" w:hAnsi="宋体" w:eastAsia="宋体"/>
          <w:snapToGrid w:val="0"/>
          <w:color w:val="auto"/>
          <w:sz w:val="24"/>
          <w:szCs w:val="24"/>
        </w:rPr>
        <w:t>12.一类障碍：</w:t>
      </w:r>
      <w:r>
        <w:rPr>
          <w:rFonts w:hint="eastAsia" w:ascii="新宋体" w:hAnsi="新宋体" w:eastAsia="新宋体" w:cs="新宋体"/>
          <w:color w:val="auto"/>
          <w:sz w:val="24"/>
          <w:szCs w:val="24"/>
          <w:shd w:val="clear" w:color="auto" w:fill="FFFFFF"/>
        </w:rPr>
        <w:t>主设备被迫停运超过48h低于96小于、火灾一次损失0.5万—1万元、恶性电气误操作（如带负荷拉、合隔离刀闸等）等安全生产事件。</w:t>
      </w:r>
    </w:p>
    <w:p w14:paraId="59AC0403">
      <w:pPr>
        <w:tabs>
          <w:tab w:val="left" w:pos="360"/>
        </w:tabs>
        <w:spacing w:line="540" w:lineRule="exact"/>
        <w:rPr>
          <w:rStyle w:val="54"/>
          <w:rFonts w:ascii="新宋体" w:hAnsi="新宋体" w:eastAsia="新宋体" w:cs="新宋体"/>
          <w:b w:val="0"/>
          <w:bCs w:val="0"/>
          <w:color w:val="auto"/>
          <w:sz w:val="24"/>
          <w:szCs w:val="24"/>
        </w:rPr>
      </w:pPr>
      <w:r>
        <w:rPr>
          <w:rStyle w:val="54"/>
          <w:rFonts w:hint="eastAsia" w:ascii="新宋体" w:hAnsi="新宋体" w:eastAsia="新宋体" w:cs="新宋体"/>
          <w:b w:val="0"/>
          <w:bCs w:val="0"/>
          <w:color w:val="auto"/>
          <w:sz w:val="24"/>
          <w:szCs w:val="24"/>
        </w:rPr>
        <w:t>13.二类障碍：主设备被迫停运超过12h低于48h、火灾一次损失0.2万—0.5万、误操作引起主设备被迫停运等安全生产事件。</w:t>
      </w:r>
    </w:p>
    <w:p w14:paraId="554DE0D3">
      <w:p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14.一类设备缺陷：严重威胁系统主设备安全运行及人身安全的或已造成发电出力降低和影响对外输送电力的重大缺陷。</w:t>
      </w:r>
    </w:p>
    <w:p w14:paraId="2E6C9A36">
      <w:pPr>
        <w:tabs>
          <w:tab w:val="left" w:pos="360"/>
        </w:tabs>
        <w:spacing w:line="540" w:lineRule="exact"/>
        <w:rPr>
          <w:rFonts w:ascii="宋体" w:hAnsi="宋体" w:eastAsia="宋体"/>
          <w:snapToGrid w:val="0"/>
          <w:color w:val="auto"/>
          <w:sz w:val="24"/>
          <w:szCs w:val="24"/>
        </w:rPr>
      </w:pPr>
      <w:r>
        <w:rPr>
          <w:rFonts w:hint="eastAsia" w:ascii="宋体" w:hAnsi="宋体" w:eastAsia="宋体"/>
          <w:snapToGrid w:val="0"/>
          <w:color w:val="auto"/>
          <w:sz w:val="24"/>
          <w:szCs w:val="24"/>
        </w:rPr>
        <w:t>15.二类设备缺陷：暂时不影响机组继续运行，但对设备安全经济运行和人身安全有一定的威胁，继续发展将导致设备停止运行，或损坏设备，需机组停运或降低出力才能消除的缺陷。</w:t>
      </w:r>
    </w:p>
    <w:p w14:paraId="0BE4A12F">
      <w:pPr>
        <w:rPr>
          <w:rFonts w:hint="eastAsia" w:ascii="宋体" w:hAnsi="宋体" w:eastAsia="宋体"/>
          <w:snapToGrid w:val="0"/>
          <w:color w:val="auto"/>
          <w:sz w:val="24"/>
          <w:szCs w:val="24"/>
        </w:rPr>
      </w:pPr>
      <w:r>
        <w:rPr>
          <w:rFonts w:hint="eastAsia" w:ascii="宋体" w:hAnsi="宋体" w:eastAsia="宋体"/>
          <w:snapToGrid w:val="0"/>
          <w:color w:val="auto"/>
          <w:sz w:val="24"/>
          <w:szCs w:val="24"/>
        </w:rPr>
        <w:t>16.三类设备缺陷：不需要停用主设备或降低出力可随时消除的设备缺陷，以及不影响主设备正常运行，可结合检修或停机备用期间进行消除的缺陷。</w:t>
      </w:r>
    </w:p>
    <w:p w14:paraId="02095D5B">
      <w:pPr>
        <w:rPr>
          <w:rFonts w:hint="eastAsia" w:ascii="宋体" w:hAnsi="宋体" w:eastAsia="宋体"/>
          <w:snapToGrid w:val="0"/>
          <w:color w:val="auto"/>
          <w:sz w:val="24"/>
          <w:szCs w:val="24"/>
        </w:rPr>
      </w:pPr>
    </w:p>
    <w:p w14:paraId="76A0F2C0">
      <w:pPr>
        <w:rPr>
          <w:rFonts w:hint="eastAsia" w:ascii="宋体" w:hAnsi="宋体" w:eastAsia="宋体"/>
          <w:snapToGrid w:val="0"/>
          <w:color w:val="auto"/>
          <w:sz w:val="24"/>
          <w:szCs w:val="24"/>
        </w:rPr>
      </w:pPr>
    </w:p>
    <w:p w14:paraId="3EBABA25">
      <w:pPr>
        <w:rPr>
          <w:rFonts w:hint="eastAsia" w:ascii="宋体" w:hAnsi="宋体" w:eastAsia="宋体"/>
          <w:snapToGrid w:val="0"/>
          <w:color w:val="auto"/>
          <w:sz w:val="24"/>
          <w:szCs w:val="24"/>
        </w:rPr>
      </w:pPr>
    </w:p>
    <w:p w14:paraId="221A6AF8">
      <w:pPr>
        <w:rPr>
          <w:rFonts w:hint="eastAsia" w:ascii="宋体" w:hAnsi="宋体" w:eastAsia="宋体"/>
          <w:snapToGrid w:val="0"/>
          <w:color w:val="auto"/>
          <w:sz w:val="24"/>
          <w:szCs w:val="24"/>
        </w:rPr>
      </w:pPr>
    </w:p>
    <w:p w14:paraId="7425CBDB">
      <w:pPr>
        <w:rPr>
          <w:rFonts w:ascii="仿宋" w:hAnsi="仿宋" w:eastAsia="仿宋"/>
          <w:snapToGrid w:val="0"/>
          <w:color w:val="auto"/>
          <w:sz w:val="24"/>
          <w:szCs w:val="28"/>
        </w:rPr>
      </w:pPr>
      <w:r>
        <w:rPr>
          <w:rFonts w:hint="eastAsia" w:ascii="仿宋" w:hAnsi="仿宋" w:eastAsia="仿宋"/>
          <w:snapToGrid w:val="0"/>
          <w:color w:val="auto"/>
          <w:sz w:val="24"/>
          <w:szCs w:val="28"/>
        </w:rPr>
        <w:t>附件2：考核条款</w:t>
      </w:r>
    </w:p>
    <w:p w14:paraId="6163F8EC">
      <w:pPr>
        <w:jc w:val="center"/>
        <w:rPr>
          <w:rFonts w:ascii="宋体" w:hAnsi="宋体" w:eastAsia="宋体"/>
          <w:b/>
          <w:bCs/>
          <w:snapToGrid w:val="0"/>
          <w:color w:val="auto"/>
          <w:sz w:val="28"/>
          <w:szCs w:val="28"/>
        </w:rPr>
      </w:pPr>
      <w:r>
        <w:rPr>
          <w:rFonts w:hint="eastAsia" w:ascii="宋体" w:hAnsi="宋体" w:eastAsia="宋体"/>
          <w:b/>
          <w:bCs/>
          <w:snapToGrid w:val="0"/>
          <w:color w:val="auto"/>
          <w:sz w:val="28"/>
          <w:szCs w:val="28"/>
        </w:rPr>
        <w:t>考核条款</w:t>
      </w:r>
    </w:p>
    <w:tbl>
      <w:tblPr>
        <w:tblStyle w:val="51"/>
        <w:tblW w:w="9466" w:type="dxa"/>
        <w:jc w:val="center"/>
        <w:tblLayout w:type="autofit"/>
        <w:tblCellMar>
          <w:top w:w="0" w:type="dxa"/>
          <w:left w:w="108" w:type="dxa"/>
          <w:bottom w:w="0" w:type="dxa"/>
          <w:right w:w="108" w:type="dxa"/>
        </w:tblCellMar>
      </w:tblPr>
      <w:tblGrid>
        <w:gridCol w:w="716"/>
        <w:gridCol w:w="5030"/>
        <w:gridCol w:w="3720"/>
      </w:tblGrid>
      <w:tr w14:paraId="35FCC4CE">
        <w:tblPrEx>
          <w:tblCellMar>
            <w:top w:w="0" w:type="dxa"/>
            <w:left w:w="108" w:type="dxa"/>
            <w:bottom w:w="0" w:type="dxa"/>
            <w:right w:w="108" w:type="dxa"/>
          </w:tblCellMar>
        </w:tblPrEx>
        <w:trPr>
          <w:trHeight w:val="285"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DA303DD">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5030" w:type="dxa"/>
            <w:tcBorders>
              <w:top w:val="single" w:color="auto" w:sz="4" w:space="0"/>
              <w:left w:val="nil"/>
              <w:bottom w:val="single" w:color="auto" w:sz="4" w:space="0"/>
              <w:right w:val="single" w:color="auto" w:sz="4" w:space="0"/>
            </w:tcBorders>
            <w:shd w:val="clear" w:color="auto" w:fill="auto"/>
            <w:vAlign w:val="center"/>
          </w:tcPr>
          <w:p w14:paraId="6AD590F1">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考核项目</w:t>
            </w:r>
          </w:p>
        </w:tc>
        <w:tc>
          <w:tcPr>
            <w:tcW w:w="3720" w:type="dxa"/>
            <w:tcBorders>
              <w:top w:val="single" w:color="auto" w:sz="4" w:space="0"/>
              <w:left w:val="nil"/>
              <w:bottom w:val="single" w:color="auto" w:sz="4" w:space="0"/>
              <w:right w:val="single" w:color="auto" w:sz="4" w:space="0"/>
            </w:tcBorders>
            <w:shd w:val="clear" w:color="auto" w:fill="auto"/>
            <w:vAlign w:val="center"/>
          </w:tcPr>
          <w:p w14:paraId="720EB6F1">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考核标准</w:t>
            </w:r>
          </w:p>
        </w:tc>
      </w:tr>
      <w:tr w14:paraId="0D9CE0AC">
        <w:tblPrEx>
          <w:tblCellMar>
            <w:top w:w="0" w:type="dxa"/>
            <w:left w:w="108" w:type="dxa"/>
            <w:bottom w:w="0" w:type="dxa"/>
            <w:right w:w="108" w:type="dxa"/>
          </w:tblCellMar>
        </w:tblPrEx>
        <w:trPr>
          <w:trHeight w:val="45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1815245">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p>
        </w:tc>
        <w:tc>
          <w:tcPr>
            <w:tcW w:w="8750" w:type="dxa"/>
            <w:gridSpan w:val="2"/>
            <w:tcBorders>
              <w:top w:val="nil"/>
              <w:left w:val="nil"/>
              <w:bottom w:val="single" w:color="auto" w:sz="4" w:space="0"/>
              <w:right w:val="single" w:color="auto" w:sz="4" w:space="0"/>
            </w:tcBorders>
            <w:shd w:val="clear" w:color="auto" w:fill="auto"/>
            <w:vAlign w:val="center"/>
          </w:tcPr>
          <w:p w14:paraId="57198C7B">
            <w:pPr>
              <w:widowControl/>
              <w:spacing w:line="360" w:lineRule="exact"/>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安全目标考核</w:t>
            </w:r>
          </w:p>
        </w:tc>
      </w:tr>
      <w:tr w14:paraId="63126E6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3D1728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5030" w:type="dxa"/>
            <w:tcBorders>
              <w:top w:val="nil"/>
              <w:left w:val="nil"/>
              <w:bottom w:val="single" w:color="auto" w:sz="4" w:space="0"/>
              <w:right w:val="single" w:color="auto" w:sz="4" w:space="0"/>
            </w:tcBorders>
            <w:shd w:val="clear" w:color="auto" w:fill="auto"/>
            <w:vAlign w:val="center"/>
          </w:tcPr>
          <w:p w14:paraId="118C14C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乙方发生责任性人身死亡事件</w:t>
            </w:r>
          </w:p>
        </w:tc>
        <w:tc>
          <w:tcPr>
            <w:tcW w:w="3720" w:type="dxa"/>
            <w:tcBorders>
              <w:top w:val="nil"/>
              <w:left w:val="nil"/>
              <w:bottom w:val="single" w:color="auto" w:sz="4" w:space="0"/>
              <w:right w:val="single" w:color="auto" w:sz="4" w:space="0"/>
            </w:tcBorders>
            <w:shd w:val="clear" w:color="auto" w:fill="auto"/>
            <w:vAlign w:val="center"/>
          </w:tcPr>
          <w:p w14:paraId="281AA81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乙方除接受政府主管部门的处罚和承担死者善后费用外，甲方对乙方另按每死亡一人不低于</w:t>
            </w:r>
            <w:r>
              <w:rPr>
                <w:rFonts w:ascii="宋体" w:hAnsi="宋体" w:eastAsia="宋体" w:cs="宋体"/>
                <w:color w:val="auto"/>
                <w:kern w:val="0"/>
                <w:sz w:val="24"/>
                <w:szCs w:val="24"/>
              </w:rPr>
              <w:t>10</w:t>
            </w:r>
            <w:r>
              <w:rPr>
                <w:rFonts w:hint="eastAsia" w:ascii="宋体" w:hAnsi="宋体" w:eastAsia="宋体" w:cs="宋体"/>
                <w:color w:val="auto"/>
                <w:kern w:val="0"/>
                <w:sz w:val="24"/>
                <w:szCs w:val="24"/>
              </w:rPr>
              <w:t>万元的标准进行考核。</w:t>
            </w:r>
          </w:p>
        </w:tc>
      </w:tr>
      <w:tr w14:paraId="0F366EF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4C1137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5030" w:type="dxa"/>
            <w:tcBorders>
              <w:top w:val="nil"/>
              <w:left w:val="nil"/>
              <w:bottom w:val="single" w:color="auto" w:sz="4" w:space="0"/>
              <w:right w:val="single" w:color="auto" w:sz="4" w:space="0"/>
            </w:tcBorders>
            <w:shd w:val="clear" w:color="auto" w:fill="auto"/>
            <w:vAlign w:val="center"/>
          </w:tcPr>
          <w:p w14:paraId="09B1BD2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乙方发生责任性人身重伤事件</w:t>
            </w:r>
          </w:p>
        </w:tc>
        <w:tc>
          <w:tcPr>
            <w:tcW w:w="3720" w:type="dxa"/>
            <w:tcBorders>
              <w:top w:val="nil"/>
              <w:left w:val="nil"/>
              <w:bottom w:val="single" w:color="auto" w:sz="4" w:space="0"/>
              <w:right w:val="single" w:color="auto" w:sz="4" w:space="0"/>
            </w:tcBorders>
            <w:shd w:val="clear" w:color="auto" w:fill="auto"/>
            <w:vAlign w:val="center"/>
          </w:tcPr>
          <w:p w14:paraId="0C6C9B0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考核3万-5万元/人·次</w:t>
            </w:r>
          </w:p>
        </w:tc>
      </w:tr>
      <w:tr w14:paraId="4BEDC25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F24F74C">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5030" w:type="dxa"/>
            <w:tcBorders>
              <w:top w:val="nil"/>
              <w:left w:val="nil"/>
              <w:bottom w:val="single" w:color="auto" w:sz="4" w:space="0"/>
              <w:right w:val="single" w:color="auto" w:sz="4" w:space="0"/>
            </w:tcBorders>
            <w:shd w:val="clear" w:color="auto" w:fill="auto"/>
            <w:vAlign w:val="center"/>
          </w:tcPr>
          <w:p w14:paraId="6EA2881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乙方发生责任性人身轻伤事件</w:t>
            </w:r>
          </w:p>
        </w:tc>
        <w:tc>
          <w:tcPr>
            <w:tcW w:w="3720" w:type="dxa"/>
            <w:tcBorders>
              <w:top w:val="nil"/>
              <w:left w:val="nil"/>
              <w:bottom w:val="single" w:color="auto" w:sz="4" w:space="0"/>
              <w:right w:val="single" w:color="auto" w:sz="4" w:space="0"/>
            </w:tcBorders>
            <w:shd w:val="clear" w:color="auto" w:fill="auto"/>
            <w:vAlign w:val="center"/>
          </w:tcPr>
          <w:p w14:paraId="5406BB5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考核1万-2万元/人·次</w:t>
            </w:r>
          </w:p>
        </w:tc>
      </w:tr>
      <w:tr w14:paraId="5FAEF0D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C27DA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5030" w:type="dxa"/>
            <w:tcBorders>
              <w:top w:val="nil"/>
              <w:left w:val="nil"/>
              <w:bottom w:val="single" w:color="auto" w:sz="4" w:space="0"/>
              <w:right w:val="single" w:color="auto" w:sz="4" w:space="0"/>
            </w:tcBorders>
            <w:shd w:val="clear" w:color="auto" w:fill="auto"/>
            <w:vAlign w:val="center"/>
          </w:tcPr>
          <w:p w14:paraId="5004197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乙方发生责任性人身未遂事件</w:t>
            </w:r>
          </w:p>
        </w:tc>
        <w:tc>
          <w:tcPr>
            <w:tcW w:w="3720" w:type="dxa"/>
            <w:tcBorders>
              <w:top w:val="nil"/>
              <w:left w:val="nil"/>
              <w:bottom w:val="single" w:color="auto" w:sz="4" w:space="0"/>
              <w:right w:val="single" w:color="auto" w:sz="4" w:space="0"/>
            </w:tcBorders>
            <w:shd w:val="clear" w:color="auto" w:fill="auto"/>
            <w:vAlign w:val="center"/>
          </w:tcPr>
          <w:p w14:paraId="05455D2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3万元-0.5万元/次</w:t>
            </w:r>
          </w:p>
        </w:tc>
      </w:tr>
      <w:tr w14:paraId="2E78A6F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C00115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5030" w:type="dxa"/>
            <w:tcBorders>
              <w:top w:val="nil"/>
              <w:left w:val="nil"/>
              <w:bottom w:val="single" w:color="auto" w:sz="4" w:space="0"/>
              <w:right w:val="single" w:color="auto" w:sz="4" w:space="0"/>
            </w:tcBorders>
            <w:shd w:val="clear" w:color="auto" w:fill="auto"/>
            <w:vAlign w:val="center"/>
          </w:tcPr>
          <w:p w14:paraId="234F5B3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发生乙方责任导致的经济损失事故</w:t>
            </w:r>
          </w:p>
        </w:tc>
        <w:tc>
          <w:tcPr>
            <w:tcW w:w="3720" w:type="dxa"/>
            <w:tcBorders>
              <w:top w:val="nil"/>
              <w:left w:val="nil"/>
              <w:bottom w:val="single" w:color="auto" w:sz="4" w:space="0"/>
              <w:right w:val="single" w:color="auto" w:sz="4" w:space="0"/>
            </w:tcBorders>
            <w:shd w:val="clear" w:color="auto" w:fill="auto"/>
            <w:vAlign w:val="center"/>
          </w:tcPr>
          <w:p w14:paraId="63FD131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承担相应经济损失并按损失金额的10%进行考核。</w:t>
            </w:r>
          </w:p>
        </w:tc>
      </w:tr>
      <w:tr w14:paraId="4E24049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BA705A">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030" w:type="dxa"/>
            <w:tcBorders>
              <w:top w:val="nil"/>
              <w:left w:val="nil"/>
              <w:bottom w:val="single" w:color="auto" w:sz="4" w:space="0"/>
              <w:right w:val="single" w:color="auto" w:sz="4" w:space="0"/>
            </w:tcBorders>
            <w:shd w:val="clear" w:color="auto" w:fill="auto"/>
            <w:vAlign w:val="center"/>
          </w:tcPr>
          <w:p w14:paraId="73B22B7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乙方发生管辖范围内（含检修厂房、生活区域和运输车辆等）责任性火灾事故。</w:t>
            </w:r>
          </w:p>
        </w:tc>
        <w:tc>
          <w:tcPr>
            <w:tcW w:w="3720" w:type="dxa"/>
            <w:tcBorders>
              <w:top w:val="nil"/>
              <w:left w:val="nil"/>
              <w:bottom w:val="single" w:color="auto" w:sz="4" w:space="0"/>
              <w:right w:val="single" w:color="auto" w:sz="4" w:space="0"/>
            </w:tcBorders>
            <w:shd w:val="clear" w:color="auto" w:fill="auto"/>
            <w:vAlign w:val="center"/>
          </w:tcPr>
          <w:p w14:paraId="5DEF746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根据人员伤害及财产损失情况，参照以上标准分别考核。</w:t>
            </w:r>
          </w:p>
        </w:tc>
      </w:tr>
      <w:tr w14:paraId="4CF68C9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F19BEC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5030" w:type="dxa"/>
            <w:tcBorders>
              <w:top w:val="nil"/>
              <w:left w:val="nil"/>
              <w:bottom w:val="single" w:color="auto" w:sz="4" w:space="0"/>
              <w:right w:val="single" w:color="auto" w:sz="4" w:space="0"/>
            </w:tcBorders>
            <w:shd w:val="clear" w:color="auto" w:fill="auto"/>
            <w:vAlign w:val="center"/>
          </w:tcPr>
          <w:p w14:paraId="7EE490F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乙方因管理疏忽、员工违章等原因导致工作期间或管辖范围内发生火灾险情。</w:t>
            </w:r>
          </w:p>
        </w:tc>
        <w:tc>
          <w:tcPr>
            <w:tcW w:w="3720" w:type="dxa"/>
            <w:tcBorders>
              <w:top w:val="nil"/>
              <w:left w:val="nil"/>
              <w:bottom w:val="single" w:color="auto" w:sz="4" w:space="0"/>
              <w:right w:val="single" w:color="auto" w:sz="4" w:space="0"/>
            </w:tcBorders>
            <w:shd w:val="clear" w:color="auto" w:fill="auto"/>
            <w:vAlign w:val="center"/>
          </w:tcPr>
          <w:p w14:paraId="69255D8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4万-1万元/次，并包赔甲方损失。</w:t>
            </w:r>
          </w:p>
        </w:tc>
      </w:tr>
      <w:tr w14:paraId="1FF24BD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D41D0F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5030" w:type="dxa"/>
            <w:tcBorders>
              <w:top w:val="nil"/>
              <w:left w:val="nil"/>
              <w:bottom w:val="single" w:color="auto" w:sz="4" w:space="0"/>
              <w:right w:val="single" w:color="auto" w:sz="4" w:space="0"/>
            </w:tcBorders>
            <w:shd w:val="clear" w:color="auto" w:fill="auto"/>
            <w:vAlign w:val="center"/>
          </w:tcPr>
          <w:p w14:paraId="05F5B28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乙方在甲方范围内发生责任性交通事故</w:t>
            </w:r>
          </w:p>
        </w:tc>
        <w:tc>
          <w:tcPr>
            <w:tcW w:w="3720" w:type="dxa"/>
            <w:tcBorders>
              <w:top w:val="nil"/>
              <w:left w:val="nil"/>
              <w:bottom w:val="single" w:color="auto" w:sz="4" w:space="0"/>
              <w:right w:val="single" w:color="auto" w:sz="4" w:space="0"/>
            </w:tcBorders>
            <w:shd w:val="clear" w:color="auto" w:fill="auto"/>
            <w:vAlign w:val="center"/>
          </w:tcPr>
          <w:p w14:paraId="4E9A4F8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按人身伤亡、经济损失类事故考核标准执行，并包赔甲方损失。</w:t>
            </w:r>
          </w:p>
        </w:tc>
      </w:tr>
      <w:tr w14:paraId="00E4390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3BA43D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5030" w:type="dxa"/>
            <w:tcBorders>
              <w:top w:val="nil"/>
              <w:left w:val="nil"/>
              <w:bottom w:val="single" w:color="auto" w:sz="4" w:space="0"/>
              <w:right w:val="single" w:color="auto" w:sz="4" w:space="0"/>
            </w:tcBorders>
            <w:shd w:val="clear" w:color="auto" w:fill="auto"/>
            <w:vAlign w:val="center"/>
          </w:tcPr>
          <w:p w14:paraId="3FCF406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乙方管理责任导致发生、发现职业病病例。</w:t>
            </w:r>
          </w:p>
        </w:tc>
        <w:tc>
          <w:tcPr>
            <w:tcW w:w="3720" w:type="dxa"/>
            <w:tcBorders>
              <w:top w:val="nil"/>
              <w:left w:val="nil"/>
              <w:bottom w:val="single" w:color="auto" w:sz="4" w:space="0"/>
              <w:right w:val="single" w:color="auto" w:sz="4" w:space="0"/>
            </w:tcBorders>
            <w:shd w:val="clear" w:color="auto" w:fill="auto"/>
            <w:vAlign w:val="center"/>
          </w:tcPr>
          <w:p w14:paraId="0FE6DCC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参照重伤考核标准</w:t>
            </w:r>
          </w:p>
        </w:tc>
      </w:tr>
      <w:tr w14:paraId="14721D8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864A2E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5030" w:type="dxa"/>
            <w:tcBorders>
              <w:top w:val="nil"/>
              <w:left w:val="nil"/>
              <w:bottom w:val="single" w:color="auto" w:sz="4" w:space="0"/>
              <w:right w:val="single" w:color="auto" w:sz="4" w:space="0"/>
            </w:tcBorders>
            <w:shd w:val="clear" w:color="auto" w:fill="auto"/>
            <w:vAlign w:val="center"/>
          </w:tcPr>
          <w:p w14:paraId="55E387F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乙方原因导致被环保主管部门通报、考核的环保事件。</w:t>
            </w:r>
          </w:p>
        </w:tc>
        <w:tc>
          <w:tcPr>
            <w:tcW w:w="3720" w:type="dxa"/>
            <w:tcBorders>
              <w:top w:val="nil"/>
              <w:left w:val="nil"/>
              <w:bottom w:val="single" w:color="auto" w:sz="4" w:space="0"/>
              <w:right w:val="single" w:color="auto" w:sz="4" w:space="0"/>
            </w:tcBorders>
            <w:shd w:val="clear" w:color="auto" w:fill="auto"/>
            <w:vAlign w:val="center"/>
          </w:tcPr>
          <w:p w14:paraId="21F0051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考核1万－5万元/次，并按责任定性承担主管部门的考核或罚款，并包赔甲方损失。</w:t>
            </w:r>
          </w:p>
        </w:tc>
      </w:tr>
      <w:tr w14:paraId="7C2DDEA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E329F2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5030" w:type="dxa"/>
            <w:tcBorders>
              <w:top w:val="nil"/>
              <w:left w:val="nil"/>
              <w:bottom w:val="single" w:color="auto" w:sz="4" w:space="0"/>
              <w:right w:val="single" w:color="auto" w:sz="4" w:space="0"/>
            </w:tcBorders>
            <w:shd w:val="clear" w:color="auto" w:fill="auto"/>
            <w:vAlign w:val="center"/>
          </w:tcPr>
          <w:p w14:paraId="6ED423C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乙方在甲方范围内发生性质恶劣的治安事件，或乙方员工组织或参与盗窃的事件。</w:t>
            </w:r>
          </w:p>
        </w:tc>
        <w:tc>
          <w:tcPr>
            <w:tcW w:w="3720" w:type="dxa"/>
            <w:tcBorders>
              <w:top w:val="nil"/>
              <w:left w:val="nil"/>
              <w:bottom w:val="single" w:color="auto" w:sz="4" w:space="0"/>
              <w:right w:val="single" w:color="auto" w:sz="4" w:space="0"/>
            </w:tcBorders>
            <w:shd w:val="clear" w:color="auto" w:fill="auto"/>
            <w:vAlign w:val="center"/>
          </w:tcPr>
          <w:p w14:paraId="7752145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3－3万元/次，并负责赔偿损失；情节特别严重的按国家法律处理。</w:t>
            </w:r>
          </w:p>
        </w:tc>
      </w:tr>
      <w:tr w14:paraId="22BFCE1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3220F0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5030" w:type="dxa"/>
            <w:tcBorders>
              <w:top w:val="nil"/>
              <w:left w:val="nil"/>
              <w:bottom w:val="single" w:color="auto" w:sz="4" w:space="0"/>
              <w:right w:val="single" w:color="auto" w:sz="4" w:space="0"/>
            </w:tcBorders>
            <w:shd w:val="clear" w:color="auto" w:fill="auto"/>
            <w:vAlign w:val="center"/>
          </w:tcPr>
          <w:p w14:paraId="7F9AA87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乙方3个月内重复发生同样性质的人身伤亡、治安事件、违法事件或火灾事故、环保事件、交通事故。</w:t>
            </w:r>
          </w:p>
        </w:tc>
        <w:tc>
          <w:tcPr>
            <w:tcW w:w="3720" w:type="dxa"/>
            <w:tcBorders>
              <w:top w:val="nil"/>
              <w:left w:val="nil"/>
              <w:bottom w:val="single" w:color="auto" w:sz="4" w:space="0"/>
              <w:right w:val="single" w:color="auto" w:sz="4" w:space="0"/>
            </w:tcBorders>
            <w:shd w:val="clear" w:color="auto" w:fill="auto"/>
            <w:vAlign w:val="center"/>
          </w:tcPr>
          <w:p w14:paraId="010FAA0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对应上述款项加倍处罚。</w:t>
            </w:r>
          </w:p>
        </w:tc>
      </w:tr>
      <w:tr w14:paraId="42C83B4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C23E7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5030" w:type="dxa"/>
            <w:tcBorders>
              <w:top w:val="nil"/>
              <w:left w:val="nil"/>
              <w:bottom w:val="single" w:color="auto" w:sz="4" w:space="0"/>
              <w:right w:val="single" w:color="auto" w:sz="4" w:space="0"/>
            </w:tcBorders>
            <w:shd w:val="clear" w:color="auto" w:fill="auto"/>
            <w:vAlign w:val="center"/>
          </w:tcPr>
          <w:p w14:paraId="0FDECA0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发生乙方原因导致的责任性一类障碍</w:t>
            </w:r>
          </w:p>
        </w:tc>
        <w:tc>
          <w:tcPr>
            <w:tcW w:w="3720" w:type="dxa"/>
            <w:tcBorders>
              <w:top w:val="nil"/>
              <w:left w:val="nil"/>
              <w:bottom w:val="single" w:color="auto" w:sz="4" w:space="0"/>
              <w:right w:val="single" w:color="auto" w:sz="4" w:space="0"/>
            </w:tcBorders>
            <w:shd w:val="clear" w:color="auto" w:fill="auto"/>
            <w:vAlign w:val="center"/>
          </w:tcPr>
          <w:p w14:paraId="3369D1C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考核1万-3万元/次，视具体情况追加考核同期电量损失。</w:t>
            </w:r>
          </w:p>
        </w:tc>
      </w:tr>
      <w:tr w14:paraId="1281BDD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3C0334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5030" w:type="dxa"/>
            <w:tcBorders>
              <w:top w:val="nil"/>
              <w:left w:val="nil"/>
              <w:bottom w:val="single" w:color="auto" w:sz="4" w:space="0"/>
              <w:right w:val="single" w:color="auto" w:sz="4" w:space="0"/>
            </w:tcBorders>
            <w:shd w:val="clear" w:color="auto" w:fill="auto"/>
            <w:vAlign w:val="center"/>
          </w:tcPr>
          <w:p w14:paraId="491D6F5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发生乙方原因导致的责任性二类障碍</w:t>
            </w:r>
          </w:p>
        </w:tc>
        <w:tc>
          <w:tcPr>
            <w:tcW w:w="3720" w:type="dxa"/>
            <w:tcBorders>
              <w:top w:val="nil"/>
              <w:left w:val="nil"/>
              <w:bottom w:val="single" w:color="auto" w:sz="4" w:space="0"/>
              <w:right w:val="single" w:color="auto" w:sz="4" w:space="0"/>
            </w:tcBorders>
            <w:shd w:val="clear" w:color="auto" w:fill="auto"/>
            <w:vAlign w:val="center"/>
          </w:tcPr>
          <w:p w14:paraId="1059C5D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4万-1万元/次，视具体情况追加考核同期电量损失。</w:t>
            </w:r>
          </w:p>
        </w:tc>
      </w:tr>
      <w:tr w14:paraId="271272E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A88BBA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0BBEBEC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乙方发生责任性异常事件</w:t>
            </w:r>
          </w:p>
        </w:tc>
        <w:tc>
          <w:tcPr>
            <w:tcW w:w="3720" w:type="dxa"/>
            <w:tcBorders>
              <w:top w:val="nil"/>
              <w:left w:val="nil"/>
              <w:bottom w:val="single" w:color="auto" w:sz="4" w:space="0"/>
              <w:right w:val="single" w:color="auto" w:sz="4" w:space="0"/>
            </w:tcBorders>
            <w:shd w:val="clear" w:color="auto" w:fill="auto"/>
            <w:vAlign w:val="center"/>
          </w:tcPr>
          <w:p w14:paraId="3913E50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4万元/次，视具体情况追加考核同期电量损失。</w:t>
            </w:r>
          </w:p>
        </w:tc>
      </w:tr>
      <w:tr w14:paraId="2D23428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1EFEC93">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62A3471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乙方发生误操作事件</w:t>
            </w:r>
          </w:p>
        </w:tc>
        <w:tc>
          <w:tcPr>
            <w:tcW w:w="3720" w:type="dxa"/>
            <w:tcBorders>
              <w:top w:val="nil"/>
              <w:left w:val="nil"/>
              <w:bottom w:val="single" w:color="auto" w:sz="4" w:space="0"/>
              <w:right w:val="single" w:color="auto" w:sz="4" w:space="0"/>
            </w:tcBorders>
            <w:shd w:val="clear" w:color="auto" w:fill="auto"/>
            <w:vAlign w:val="center"/>
          </w:tcPr>
          <w:p w14:paraId="50E7CF5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一般误操作考核0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4万－1万元/次，恶性误操作按一类障碍考核，造成后果的按责任定性另外考核。</w:t>
            </w:r>
          </w:p>
        </w:tc>
      </w:tr>
      <w:tr w14:paraId="4B877B1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4D5C0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5030" w:type="dxa"/>
            <w:tcBorders>
              <w:top w:val="nil"/>
              <w:left w:val="nil"/>
              <w:bottom w:val="single" w:color="auto" w:sz="4" w:space="0"/>
              <w:right w:val="single" w:color="auto" w:sz="4" w:space="0"/>
            </w:tcBorders>
            <w:shd w:val="clear" w:color="auto" w:fill="auto"/>
            <w:vAlign w:val="center"/>
          </w:tcPr>
          <w:p w14:paraId="0D1F123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乙方发生安全事故不及时汇报（超过24h），或谎报、瞒报，逃避责任等行为。</w:t>
            </w:r>
          </w:p>
        </w:tc>
        <w:tc>
          <w:tcPr>
            <w:tcW w:w="3720" w:type="dxa"/>
            <w:tcBorders>
              <w:top w:val="nil"/>
              <w:left w:val="nil"/>
              <w:bottom w:val="single" w:color="auto" w:sz="4" w:space="0"/>
              <w:right w:val="single" w:color="auto" w:sz="4" w:space="0"/>
            </w:tcBorders>
            <w:shd w:val="clear" w:color="auto" w:fill="auto"/>
            <w:vAlign w:val="center"/>
          </w:tcPr>
          <w:p w14:paraId="6D7B19D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按事故事件的级别给予不超过2万元/次的考核（事故责任另计）</w:t>
            </w:r>
          </w:p>
        </w:tc>
      </w:tr>
      <w:tr w14:paraId="147AADE4">
        <w:tblPrEx>
          <w:tblCellMar>
            <w:top w:w="0" w:type="dxa"/>
            <w:left w:w="108" w:type="dxa"/>
            <w:bottom w:w="0" w:type="dxa"/>
            <w:right w:w="108" w:type="dxa"/>
          </w:tblCellMar>
        </w:tblPrEx>
        <w:trPr>
          <w:trHeight w:val="372"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ED83CD6">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二</w:t>
            </w:r>
          </w:p>
        </w:tc>
        <w:tc>
          <w:tcPr>
            <w:tcW w:w="5030" w:type="dxa"/>
            <w:tcBorders>
              <w:top w:val="nil"/>
              <w:left w:val="nil"/>
              <w:bottom w:val="single" w:color="auto" w:sz="4" w:space="0"/>
              <w:right w:val="single" w:color="auto" w:sz="4" w:space="0"/>
            </w:tcBorders>
            <w:shd w:val="clear" w:color="auto" w:fill="auto"/>
            <w:vAlign w:val="center"/>
          </w:tcPr>
          <w:p w14:paraId="49BD16F5">
            <w:pPr>
              <w:widowControl/>
              <w:spacing w:line="36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安全管理考核</w:t>
            </w:r>
          </w:p>
        </w:tc>
        <w:tc>
          <w:tcPr>
            <w:tcW w:w="3720" w:type="dxa"/>
            <w:tcBorders>
              <w:top w:val="nil"/>
              <w:left w:val="nil"/>
              <w:bottom w:val="single" w:color="auto" w:sz="4" w:space="0"/>
              <w:right w:val="single" w:color="auto" w:sz="4" w:space="0"/>
            </w:tcBorders>
            <w:shd w:val="clear" w:color="auto" w:fill="auto"/>
            <w:vAlign w:val="center"/>
          </w:tcPr>
          <w:p w14:paraId="62AD013E">
            <w:pPr>
              <w:widowControl/>
              <w:spacing w:line="360" w:lineRule="exact"/>
              <w:jc w:val="left"/>
              <w:rPr>
                <w:rFonts w:ascii="宋体" w:hAnsi="宋体" w:eastAsia="宋体" w:cs="宋体"/>
                <w:color w:val="auto"/>
                <w:kern w:val="0"/>
                <w:sz w:val="24"/>
                <w:szCs w:val="24"/>
              </w:rPr>
            </w:pPr>
          </w:p>
        </w:tc>
      </w:tr>
      <w:tr w14:paraId="545D050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58E296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5030" w:type="dxa"/>
            <w:tcBorders>
              <w:top w:val="nil"/>
              <w:left w:val="nil"/>
              <w:bottom w:val="single" w:color="auto" w:sz="4" w:space="0"/>
              <w:right w:val="single" w:color="auto" w:sz="4" w:space="0"/>
            </w:tcBorders>
            <w:shd w:val="clear" w:color="auto" w:fill="auto"/>
            <w:vAlign w:val="center"/>
          </w:tcPr>
          <w:p w14:paraId="6B5A884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乙方不设立现场安全组织管理机构，不按要求设置安全员，项目经理或专职安全人员不具备国家要求的相应安全资格。</w:t>
            </w:r>
          </w:p>
        </w:tc>
        <w:tc>
          <w:tcPr>
            <w:tcW w:w="3720" w:type="dxa"/>
            <w:tcBorders>
              <w:top w:val="nil"/>
              <w:left w:val="nil"/>
              <w:bottom w:val="single" w:color="auto" w:sz="4" w:space="0"/>
              <w:right w:val="single" w:color="auto" w:sz="4" w:space="0"/>
            </w:tcBorders>
            <w:shd w:val="clear" w:color="auto" w:fill="auto"/>
            <w:vAlign w:val="center"/>
          </w:tcPr>
          <w:p w14:paraId="2161D05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1万－0.5万元/人·次</w:t>
            </w:r>
          </w:p>
        </w:tc>
      </w:tr>
      <w:tr w14:paraId="5C8904C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8DE50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5030" w:type="dxa"/>
            <w:tcBorders>
              <w:top w:val="nil"/>
              <w:left w:val="nil"/>
              <w:bottom w:val="single" w:color="auto" w:sz="4" w:space="0"/>
              <w:right w:val="single" w:color="auto" w:sz="4" w:space="0"/>
            </w:tcBorders>
            <w:shd w:val="clear" w:color="auto" w:fill="auto"/>
            <w:vAlign w:val="center"/>
          </w:tcPr>
          <w:p w14:paraId="4078A38D">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乙方新人员未经安全教育或考试不合格上岗</w:t>
            </w:r>
          </w:p>
        </w:tc>
        <w:tc>
          <w:tcPr>
            <w:tcW w:w="3720" w:type="dxa"/>
            <w:tcBorders>
              <w:top w:val="nil"/>
              <w:left w:val="nil"/>
              <w:bottom w:val="single" w:color="auto" w:sz="4" w:space="0"/>
              <w:right w:val="single" w:color="auto" w:sz="4" w:space="0"/>
            </w:tcBorders>
            <w:shd w:val="clear" w:color="auto" w:fill="auto"/>
            <w:vAlign w:val="center"/>
          </w:tcPr>
          <w:p w14:paraId="592051E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考核500－1000元/人，屡教不改或形成普遍现象的加倍考核.</w:t>
            </w:r>
          </w:p>
        </w:tc>
      </w:tr>
      <w:tr w14:paraId="2F3F9C1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CC259D7">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5030" w:type="dxa"/>
            <w:tcBorders>
              <w:top w:val="nil"/>
              <w:left w:val="nil"/>
              <w:bottom w:val="single" w:color="auto" w:sz="4" w:space="0"/>
              <w:right w:val="single" w:color="auto" w:sz="4" w:space="0"/>
            </w:tcBorders>
            <w:shd w:val="clear" w:color="auto" w:fill="auto"/>
            <w:vAlign w:val="center"/>
          </w:tcPr>
          <w:p w14:paraId="6724267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乙方人员变更未及时向甲方或监理方申报、备案的。</w:t>
            </w:r>
          </w:p>
        </w:tc>
        <w:tc>
          <w:tcPr>
            <w:tcW w:w="3720" w:type="dxa"/>
            <w:tcBorders>
              <w:top w:val="nil"/>
              <w:left w:val="nil"/>
              <w:bottom w:val="single" w:color="auto" w:sz="4" w:space="0"/>
              <w:right w:val="single" w:color="auto" w:sz="4" w:space="0"/>
            </w:tcBorders>
            <w:shd w:val="clear" w:color="auto" w:fill="auto"/>
            <w:vAlign w:val="center"/>
          </w:tcPr>
          <w:p w14:paraId="4ED0665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考核500元－1000元/人·次</w:t>
            </w:r>
          </w:p>
        </w:tc>
      </w:tr>
      <w:tr w14:paraId="44E99B7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B63ADB2">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5030" w:type="dxa"/>
            <w:tcBorders>
              <w:top w:val="nil"/>
              <w:left w:val="nil"/>
              <w:bottom w:val="single" w:color="auto" w:sz="4" w:space="0"/>
              <w:right w:val="single" w:color="auto" w:sz="4" w:space="0"/>
            </w:tcBorders>
            <w:shd w:val="clear" w:color="auto" w:fill="auto"/>
            <w:vAlign w:val="center"/>
          </w:tcPr>
          <w:p w14:paraId="0A1C15E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乙方施工过程中特种作业人员没有特种作业证，或不随身携带特种作业证。</w:t>
            </w:r>
          </w:p>
        </w:tc>
        <w:tc>
          <w:tcPr>
            <w:tcW w:w="3720" w:type="dxa"/>
            <w:tcBorders>
              <w:top w:val="nil"/>
              <w:left w:val="nil"/>
              <w:bottom w:val="single" w:color="auto" w:sz="4" w:space="0"/>
              <w:right w:val="single" w:color="auto" w:sz="4" w:space="0"/>
            </w:tcBorders>
            <w:shd w:val="clear" w:color="auto" w:fill="auto"/>
            <w:vAlign w:val="center"/>
          </w:tcPr>
          <w:p w14:paraId="7B094DD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特种作业人员无证上岗考核0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5万元/人.次，特种作业证未随身携带考核500元/人次</w:t>
            </w:r>
          </w:p>
        </w:tc>
      </w:tr>
      <w:tr w14:paraId="6ABBC34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7812BB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5030" w:type="dxa"/>
            <w:tcBorders>
              <w:top w:val="nil"/>
              <w:left w:val="nil"/>
              <w:bottom w:val="single" w:color="auto" w:sz="4" w:space="0"/>
              <w:right w:val="single" w:color="auto" w:sz="4" w:space="0"/>
            </w:tcBorders>
            <w:shd w:val="clear" w:color="auto" w:fill="auto"/>
            <w:vAlign w:val="center"/>
          </w:tcPr>
          <w:p w14:paraId="30250F9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乙方不按规定开展安全培训、安全交底、风险分析、隐患排查、事故应急等安全活动，或安全活动查无实据、或弄虚作假。</w:t>
            </w:r>
          </w:p>
        </w:tc>
        <w:tc>
          <w:tcPr>
            <w:tcW w:w="3720" w:type="dxa"/>
            <w:tcBorders>
              <w:top w:val="nil"/>
              <w:left w:val="nil"/>
              <w:bottom w:val="single" w:color="auto" w:sz="4" w:space="0"/>
              <w:right w:val="single" w:color="auto" w:sz="4" w:space="0"/>
            </w:tcBorders>
            <w:shd w:val="clear" w:color="auto" w:fill="auto"/>
            <w:vAlign w:val="center"/>
          </w:tcPr>
          <w:p w14:paraId="788A278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0.3</w:t>
            </w:r>
            <w:r>
              <w:rPr>
                <w:rFonts w:hint="eastAsia" w:ascii="宋体" w:hAnsi="宋体" w:eastAsia="宋体" w:cs="宋体"/>
                <w:color w:val="auto"/>
                <w:kern w:val="0"/>
                <w:sz w:val="24"/>
                <w:szCs w:val="24"/>
              </w:rPr>
              <w:t>万元/项</w:t>
            </w:r>
          </w:p>
        </w:tc>
      </w:tr>
      <w:tr w14:paraId="39ACFCE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5872CD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5030" w:type="dxa"/>
            <w:tcBorders>
              <w:top w:val="nil"/>
              <w:left w:val="nil"/>
              <w:bottom w:val="single" w:color="auto" w:sz="4" w:space="0"/>
              <w:right w:val="single" w:color="auto" w:sz="4" w:space="0"/>
            </w:tcBorders>
            <w:shd w:val="clear" w:color="auto" w:fill="auto"/>
            <w:vAlign w:val="center"/>
          </w:tcPr>
          <w:p w14:paraId="3314837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乙方不按要求落实甲方反事故措施或重大安全事故隐患整改措施。</w:t>
            </w:r>
          </w:p>
        </w:tc>
        <w:tc>
          <w:tcPr>
            <w:tcW w:w="3720" w:type="dxa"/>
            <w:tcBorders>
              <w:top w:val="nil"/>
              <w:left w:val="nil"/>
              <w:bottom w:val="single" w:color="auto" w:sz="4" w:space="0"/>
              <w:right w:val="single" w:color="auto" w:sz="4" w:space="0"/>
            </w:tcBorders>
            <w:shd w:val="clear" w:color="auto" w:fill="auto"/>
            <w:vAlign w:val="center"/>
          </w:tcPr>
          <w:p w14:paraId="02546A3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5万元/项</w:t>
            </w:r>
          </w:p>
        </w:tc>
      </w:tr>
      <w:tr w14:paraId="316D4C9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C9A401E">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23</w:t>
            </w:r>
          </w:p>
        </w:tc>
        <w:tc>
          <w:tcPr>
            <w:tcW w:w="5030" w:type="dxa"/>
            <w:tcBorders>
              <w:top w:val="nil"/>
              <w:left w:val="nil"/>
              <w:bottom w:val="single" w:color="auto" w:sz="4" w:space="0"/>
              <w:right w:val="single" w:color="auto" w:sz="4" w:space="0"/>
            </w:tcBorders>
            <w:shd w:val="clear" w:color="auto" w:fill="auto"/>
            <w:vAlign w:val="center"/>
          </w:tcPr>
          <w:p w14:paraId="373E472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乙方对甲方提出的安全整改意见无特殊原因未安排整改的。</w:t>
            </w:r>
          </w:p>
        </w:tc>
        <w:tc>
          <w:tcPr>
            <w:tcW w:w="3720" w:type="dxa"/>
            <w:tcBorders>
              <w:top w:val="nil"/>
              <w:left w:val="nil"/>
              <w:bottom w:val="single" w:color="auto" w:sz="4" w:space="0"/>
              <w:right w:val="single" w:color="auto" w:sz="4" w:space="0"/>
            </w:tcBorders>
            <w:shd w:val="clear" w:color="auto" w:fill="auto"/>
            <w:vAlign w:val="center"/>
          </w:tcPr>
          <w:p w14:paraId="2CCB7E8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每逾期1天考核500元</w:t>
            </w:r>
          </w:p>
        </w:tc>
      </w:tr>
      <w:tr w14:paraId="1CE5424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EDB2B52">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24</w:t>
            </w:r>
          </w:p>
        </w:tc>
        <w:tc>
          <w:tcPr>
            <w:tcW w:w="5030" w:type="dxa"/>
            <w:tcBorders>
              <w:top w:val="nil"/>
              <w:left w:val="nil"/>
              <w:bottom w:val="single" w:color="auto" w:sz="4" w:space="0"/>
              <w:right w:val="single" w:color="auto" w:sz="4" w:space="0"/>
            </w:tcBorders>
            <w:shd w:val="clear" w:color="auto" w:fill="auto"/>
            <w:vAlign w:val="center"/>
          </w:tcPr>
          <w:p w14:paraId="228343F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乙方在甲方厂区内未经许可，未履行完申请报批手续，违规建设。</w:t>
            </w:r>
          </w:p>
        </w:tc>
        <w:tc>
          <w:tcPr>
            <w:tcW w:w="3720" w:type="dxa"/>
            <w:tcBorders>
              <w:top w:val="nil"/>
              <w:left w:val="nil"/>
              <w:bottom w:val="single" w:color="auto" w:sz="4" w:space="0"/>
              <w:right w:val="single" w:color="auto" w:sz="4" w:space="0"/>
            </w:tcBorders>
            <w:shd w:val="clear" w:color="auto" w:fill="auto"/>
            <w:vAlign w:val="center"/>
          </w:tcPr>
          <w:p w14:paraId="27F58BF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5万－1万元/次，并恢复原貌。</w:t>
            </w:r>
          </w:p>
        </w:tc>
      </w:tr>
      <w:tr w14:paraId="4DDB574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F8E3CFA">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5030" w:type="dxa"/>
            <w:tcBorders>
              <w:top w:val="nil"/>
              <w:left w:val="nil"/>
              <w:bottom w:val="single" w:color="auto" w:sz="4" w:space="0"/>
              <w:right w:val="single" w:color="auto" w:sz="4" w:space="0"/>
            </w:tcBorders>
            <w:shd w:val="clear" w:color="auto" w:fill="auto"/>
            <w:vAlign w:val="center"/>
          </w:tcPr>
          <w:p w14:paraId="3D02D40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乙方未落实审批程序擅自开工</w:t>
            </w:r>
          </w:p>
        </w:tc>
        <w:tc>
          <w:tcPr>
            <w:tcW w:w="3720" w:type="dxa"/>
            <w:tcBorders>
              <w:top w:val="nil"/>
              <w:left w:val="nil"/>
              <w:bottom w:val="single" w:color="auto" w:sz="4" w:space="0"/>
              <w:right w:val="single" w:color="auto" w:sz="4" w:space="0"/>
            </w:tcBorders>
            <w:shd w:val="clear" w:color="auto" w:fill="auto"/>
            <w:vAlign w:val="center"/>
          </w:tcPr>
          <w:p w14:paraId="7881F63D">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2万－0.5万元/次，并立即停工整改。</w:t>
            </w:r>
          </w:p>
        </w:tc>
      </w:tr>
      <w:tr w14:paraId="3926CD9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5C1A71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26</w:t>
            </w:r>
          </w:p>
        </w:tc>
        <w:tc>
          <w:tcPr>
            <w:tcW w:w="5030" w:type="dxa"/>
            <w:tcBorders>
              <w:top w:val="nil"/>
              <w:left w:val="nil"/>
              <w:bottom w:val="single" w:color="auto" w:sz="4" w:space="0"/>
              <w:right w:val="single" w:color="auto" w:sz="4" w:space="0"/>
            </w:tcBorders>
            <w:shd w:val="clear" w:color="auto" w:fill="auto"/>
            <w:vAlign w:val="center"/>
          </w:tcPr>
          <w:p w14:paraId="71761EB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乙方施工现场在用的特种设备未经法定检验或未及时备案，或超检验期使用。</w:t>
            </w:r>
          </w:p>
        </w:tc>
        <w:tc>
          <w:tcPr>
            <w:tcW w:w="3720" w:type="dxa"/>
            <w:tcBorders>
              <w:top w:val="nil"/>
              <w:left w:val="nil"/>
              <w:bottom w:val="single" w:color="auto" w:sz="4" w:space="0"/>
              <w:right w:val="single" w:color="auto" w:sz="4" w:space="0"/>
            </w:tcBorders>
            <w:shd w:val="clear" w:color="auto" w:fill="auto"/>
            <w:vAlign w:val="center"/>
          </w:tcPr>
          <w:p w14:paraId="6C6EEAB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5万－1万元/次</w:t>
            </w:r>
          </w:p>
        </w:tc>
      </w:tr>
      <w:tr w14:paraId="5C1696C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C8B61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27</w:t>
            </w:r>
          </w:p>
        </w:tc>
        <w:tc>
          <w:tcPr>
            <w:tcW w:w="5030" w:type="dxa"/>
            <w:tcBorders>
              <w:top w:val="nil"/>
              <w:left w:val="nil"/>
              <w:bottom w:val="single" w:color="auto" w:sz="4" w:space="0"/>
              <w:right w:val="single" w:color="auto" w:sz="4" w:space="0"/>
            </w:tcBorders>
            <w:shd w:val="clear" w:color="auto" w:fill="auto"/>
            <w:vAlign w:val="center"/>
          </w:tcPr>
          <w:p w14:paraId="56BEC5F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乙方使用未经检验或超过检验期的安全工器具</w:t>
            </w:r>
          </w:p>
        </w:tc>
        <w:tc>
          <w:tcPr>
            <w:tcW w:w="3720" w:type="dxa"/>
            <w:tcBorders>
              <w:top w:val="nil"/>
              <w:left w:val="nil"/>
              <w:bottom w:val="single" w:color="auto" w:sz="4" w:space="0"/>
              <w:right w:val="single" w:color="auto" w:sz="4" w:space="0"/>
            </w:tcBorders>
            <w:shd w:val="clear" w:color="auto" w:fill="auto"/>
            <w:vAlign w:val="center"/>
          </w:tcPr>
          <w:p w14:paraId="3EEE809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2万元/项</w:t>
            </w:r>
          </w:p>
        </w:tc>
      </w:tr>
      <w:tr w14:paraId="5390BBB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4DD19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28</w:t>
            </w:r>
          </w:p>
        </w:tc>
        <w:tc>
          <w:tcPr>
            <w:tcW w:w="5030" w:type="dxa"/>
            <w:tcBorders>
              <w:top w:val="nil"/>
              <w:left w:val="nil"/>
              <w:bottom w:val="single" w:color="auto" w:sz="4" w:space="0"/>
              <w:right w:val="single" w:color="auto" w:sz="4" w:space="0"/>
            </w:tcBorders>
            <w:shd w:val="clear" w:color="auto" w:fill="auto"/>
            <w:vAlign w:val="center"/>
          </w:tcPr>
          <w:p w14:paraId="4E6440C9">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乙方不按规定投入安全资金或虚报、瞒报安全设施投入情况。</w:t>
            </w:r>
          </w:p>
        </w:tc>
        <w:tc>
          <w:tcPr>
            <w:tcW w:w="3720" w:type="dxa"/>
            <w:tcBorders>
              <w:top w:val="nil"/>
              <w:left w:val="nil"/>
              <w:bottom w:val="single" w:color="auto" w:sz="4" w:space="0"/>
              <w:right w:val="single" w:color="auto" w:sz="4" w:space="0"/>
            </w:tcBorders>
            <w:shd w:val="clear" w:color="auto" w:fill="auto"/>
            <w:vAlign w:val="center"/>
          </w:tcPr>
          <w:p w14:paraId="14AAEE0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5万－2万元/次，并责令按规定投入足额安全资金。</w:t>
            </w:r>
          </w:p>
        </w:tc>
      </w:tr>
      <w:tr w14:paraId="6944E9D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CF2D387">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29</w:t>
            </w:r>
          </w:p>
        </w:tc>
        <w:tc>
          <w:tcPr>
            <w:tcW w:w="5030" w:type="dxa"/>
            <w:tcBorders>
              <w:top w:val="nil"/>
              <w:left w:val="nil"/>
              <w:bottom w:val="single" w:color="auto" w:sz="4" w:space="0"/>
              <w:right w:val="single" w:color="auto" w:sz="4" w:space="0"/>
            </w:tcBorders>
            <w:shd w:val="clear" w:color="auto" w:fill="auto"/>
            <w:vAlign w:val="center"/>
          </w:tcPr>
          <w:p w14:paraId="7C2137D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乙方不服从甲方对口管理部门、管理人员指挥，且态度恶劣、拒不整改的。</w:t>
            </w:r>
          </w:p>
        </w:tc>
        <w:tc>
          <w:tcPr>
            <w:tcW w:w="3720" w:type="dxa"/>
            <w:tcBorders>
              <w:top w:val="nil"/>
              <w:left w:val="nil"/>
              <w:bottom w:val="single" w:color="auto" w:sz="4" w:space="0"/>
              <w:right w:val="single" w:color="auto" w:sz="4" w:space="0"/>
            </w:tcBorders>
            <w:shd w:val="clear" w:color="auto" w:fill="auto"/>
            <w:vAlign w:val="center"/>
          </w:tcPr>
          <w:p w14:paraId="7796B84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1万－0.3万元/次，情节严重者驱逐出厂。</w:t>
            </w:r>
          </w:p>
        </w:tc>
      </w:tr>
      <w:tr w14:paraId="0F749928">
        <w:tblPrEx>
          <w:tblCellMar>
            <w:top w:w="0" w:type="dxa"/>
            <w:left w:w="108" w:type="dxa"/>
            <w:bottom w:w="0" w:type="dxa"/>
            <w:right w:w="108" w:type="dxa"/>
          </w:tblCellMar>
        </w:tblPrEx>
        <w:trPr>
          <w:trHeight w:val="45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4B2249">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w:t>
            </w:r>
          </w:p>
        </w:tc>
        <w:tc>
          <w:tcPr>
            <w:tcW w:w="5030" w:type="dxa"/>
            <w:tcBorders>
              <w:top w:val="nil"/>
              <w:left w:val="nil"/>
              <w:bottom w:val="single" w:color="auto" w:sz="4" w:space="0"/>
              <w:right w:val="single" w:color="auto" w:sz="4" w:space="0"/>
            </w:tcBorders>
            <w:shd w:val="clear" w:color="auto" w:fill="auto"/>
            <w:vAlign w:val="center"/>
          </w:tcPr>
          <w:p w14:paraId="562E3791">
            <w:pPr>
              <w:widowControl/>
              <w:spacing w:line="36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违章考核</w:t>
            </w:r>
          </w:p>
        </w:tc>
        <w:tc>
          <w:tcPr>
            <w:tcW w:w="3720" w:type="dxa"/>
            <w:tcBorders>
              <w:top w:val="nil"/>
              <w:left w:val="nil"/>
              <w:bottom w:val="single" w:color="auto" w:sz="4" w:space="0"/>
              <w:right w:val="single" w:color="auto" w:sz="4" w:space="0"/>
            </w:tcBorders>
            <w:shd w:val="clear" w:color="auto" w:fill="auto"/>
            <w:vAlign w:val="center"/>
          </w:tcPr>
          <w:p w14:paraId="018C4B70">
            <w:pPr>
              <w:widowControl/>
              <w:spacing w:line="360" w:lineRule="exact"/>
              <w:jc w:val="left"/>
              <w:rPr>
                <w:rFonts w:ascii="宋体" w:hAnsi="宋体" w:eastAsia="宋体" w:cs="宋体"/>
                <w:color w:val="auto"/>
                <w:kern w:val="0"/>
                <w:sz w:val="24"/>
                <w:szCs w:val="24"/>
              </w:rPr>
            </w:pPr>
          </w:p>
        </w:tc>
      </w:tr>
      <w:tr w14:paraId="4CE17D8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78528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30</w:t>
            </w:r>
          </w:p>
        </w:tc>
        <w:tc>
          <w:tcPr>
            <w:tcW w:w="5030" w:type="dxa"/>
            <w:tcBorders>
              <w:top w:val="nil"/>
              <w:left w:val="nil"/>
              <w:bottom w:val="single" w:color="auto" w:sz="4" w:space="0"/>
              <w:right w:val="single" w:color="auto" w:sz="4" w:space="0"/>
            </w:tcBorders>
            <w:shd w:val="clear" w:color="auto" w:fill="auto"/>
            <w:vAlign w:val="center"/>
          </w:tcPr>
          <w:p w14:paraId="3272066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乙方违反甲方两票管理制度</w:t>
            </w:r>
          </w:p>
        </w:tc>
        <w:tc>
          <w:tcPr>
            <w:tcW w:w="3720" w:type="dxa"/>
            <w:tcBorders>
              <w:top w:val="nil"/>
              <w:left w:val="nil"/>
              <w:bottom w:val="single" w:color="auto" w:sz="4" w:space="0"/>
              <w:right w:val="single" w:color="auto" w:sz="4" w:space="0"/>
            </w:tcBorders>
            <w:shd w:val="clear" w:color="auto" w:fill="auto"/>
            <w:vAlign w:val="center"/>
          </w:tcPr>
          <w:p w14:paraId="6BB43A1F">
            <w:pPr>
              <w:widowControl/>
              <w:spacing w:line="30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无票作业考核0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3万－1万元/次，工作票不合格或未按安措执行的每次考核500元－0.2万元</w:t>
            </w:r>
          </w:p>
        </w:tc>
      </w:tr>
      <w:tr w14:paraId="70E09B4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BCB385">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31</w:t>
            </w:r>
          </w:p>
        </w:tc>
        <w:tc>
          <w:tcPr>
            <w:tcW w:w="5030" w:type="dxa"/>
            <w:tcBorders>
              <w:top w:val="nil"/>
              <w:left w:val="nil"/>
              <w:bottom w:val="single" w:color="auto" w:sz="4" w:space="0"/>
              <w:right w:val="single" w:color="auto" w:sz="4" w:space="0"/>
            </w:tcBorders>
            <w:shd w:val="clear" w:color="auto" w:fill="auto"/>
            <w:vAlign w:val="center"/>
          </w:tcPr>
          <w:p w14:paraId="2F03044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乙方人员未经许可擅动甲方的生产设备、设施</w:t>
            </w:r>
          </w:p>
        </w:tc>
        <w:tc>
          <w:tcPr>
            <w:tcW w:w="3720" w:type="dxa"/>
            <w:tcBorders>
              <w:top w:val="nil"/>
              <w:left w:val="nil"/>
              <w:bottom w:val="single" w:color="auto" w:sz="4" w:space="0"/>
              <w:right w:val="single" w:color="auto" w:sz="4" w:space="0"/>
            </w:tcBorders>
            <w:shd w:val="clear" w:color="auto" w:fill="auto"/>
            <w:vAlign w:val="center"/>
          </w:tcPr>
          <w:p w14:paraId="6653248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考核0.2万元-0.5万元/次，造成后果的视损失另行考核。</w:t>
            </w:r>
          </w:p>
        </w:tc>
      </w:tr>
      <w:tr w14:paraId="06F41A2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F497ECC">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32</w:t>
            </w:r>
          </w:p>
        </w:tc>
        <w:tc>
          <w:tcPr>
            <w:tcW w:w="5030" w:type="dxa"/>
            <w:tcBorders>
              <w:top w:val="nil"/>
              <w:left w:val="nil"/>
              <w:bottom w:val="single" w:color="auto" w:sz="4" w:space="0"/>
              <w:right w:val="single" w:color="auto" w:sz="4" w:space="0"/>
            </w:tcBorders>
            <w:shd w:val="clear" w:color="auto" w:fill="auto"/>
            <w:vAlign w:val="center"/>
          </w:tcPr>
          <w:p w14:paraId="6733602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乙方不经批准在甲方设备、结构、建筑物上开孔或焊接临时构件，变更设备设施用途。</w:t>
            </w:r>
          </w:p>
        </w:tc>
        <w:tc>
          <w:tcPr>
            <w:tcW w:w="3720" w:type="dxa"/>
            <w:tcBorders>
              <w:top w:val="nil"/>
              <w:left w:val="nil"/>
              <w:bottom w:val="single" w:color="auto" w:sz="4" w:space="0"/>
              <w:right w:val="single" w:color="auto" w:sz="4" w:space="0"/>
            </w:tcBorders>
            <w:shd w:val="clear" w:color="auto" w:fill="auto"/>
            <w:vAlign w:val="center"/>
          </w:tcPr>
          <w:p w14:paraId="6F0E4AA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考核0.2万元-0.5万元/次，造成后果的视损失另行考核。</w:t>
            </w:r>
          </w:p>
        </w:tc>
      </w:tr>
      <w:tr w14:paraId="27AC3BD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E28924D">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427D630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乙方违规搭设脚手架或无票随意搭设脚手架，脚手架未验收或无验收合格证投入使用。</w:t>
            </w:r>
          </w:p>
        </w:tc>
        <w:tc>
          <w:tcPr>
            <w:tcW w:w="3720" w:type="dxa"/>
            <w:tcBorders>
              <w:top w:val="nil"/>
              <w:left w:val="nil"/>
              <w:bottom w:val="single" w:color="auto" w:sz="4" w:space="0"/>
              <w:right w:val="single" w:color="auto" w:sz="4" w:space="0"/>
            </w:tcBorders>
            <w:shd w:val="clear" w:color="auto" w:fill="auto"/>
            <w:vAlign w:val="center"/>
          </w:tcPr>
          <w:p w14:paraId="59A119B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脚手架存在较大安全隐患考核0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1万－0.5万元/项，未经验收投入使用考核0.5万元-1万元/处。</w:t>
            </w:r>
          </w:p>
        </w:tc>
      </w:tr>
      <w:tr w14:paraId="77B9FB3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60A744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2CDA9BD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乙方违反《电力安全工作规程》高处、临边、起重等作业有关规定，隔离、防护设施不到位。</w:t>
            </w:r>
          </w:p>
        </w:tc>
        <w:tc>
          <w:tcPr>
            <w:tcW w:w="3720" w:type="dxa"/>
            <w:tcBorders>
              <w:top w:val="nil"/>
              <w:left w:val="nil"/>
              <w:bottom w:val="single" w:color="auto" w:sz="4" w:space="0"/>
              <w:right w:val="single" w:color="auto" w:sz="4" w:space="0"/>
            </w:tcBorders>
            <w:shd w:val="clear" w:color="auto" w:fill="auto"/>
            <w:vAlign w:val="center"/>
          </w:tcPr>
          <w:p w14:paraId="69F4054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0.5</w:t>
            </w:r>
            <w:r>
              <w:rPr>
                <w:rFonts w:hint="eastAsia" w:ascii="宋体" w:hAnsi="宋体" w:eastAsia="宋体" w:cs="宋体"/>
                <w:color w:val="auto"/>
                <w:kern w:val="0"/>
                <w:sz w:val="24"/>
                <w:szCs w:val="24"/>
              </w:rPr>
              <w:t>万元/处</w:t>
            </w:r>
          </w:p>
        </w:tc>
      </w:tr>
      <w:tr w14:paraId="79867C9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118C09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34</w:t>
            </w:r>
          </w:p>
        </w:tc>
        <w:tc>
          <w:tcPr>
            <w:tcW w:w="5030" w:type="dxa"/>
            <w:tcBorders>
              <w:top w:val="nil"/>
              <w:left w:val="nil"/>
              <w:bottom w:val="single" w:color="auto" w:sz="4" w:space="0"/>
              <w:right w:val="single" w:color="auto" w:sz="4" w:space="0"/>
            </w:tcBorders>
            <w:shd w:val="clear" w:color="auto" w:fill="auto"/>
            <w:vAlign w:val="center"/>
          </w:tcPr>
          <w:p w14:paraId="501B411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乙方在受限空间作业时，未办理许可票，未遵守通风、检测、监护、电动工具的使用、电源管理等有关规定的行为。</w:t>
            </w:r>
          </w:p>
        </w:tc>
        <w:tc>
          <w:tcPr>
            <w:tcW w:w="3720" w:type="dxa"/>
            <w:tcBorders>
              <w:top w:val="nil"/>
              <w:left w:val="nil"/>
              <w:bottom w:val="single" w:color="auto" w:sz="4" w:space="0"/>
              <w:right w:val="single" w:color="auto" w:sz="4" w:space="0"/>
            </w:tcBorders>
            <w:shd w:val="clear" w:color="auto" w:fill="auto"/>
            <w:vAlign w:val="center"/>
          </w:tcPr>
          <w:p w14:paraId="4BF8AC4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0.5</w:t>
            </w:r>
            <w:r>
              <w:rPr>
                <w:rFonts w:hint="eastAsia" w:ascii="宋体" w:hAnsi="宋体" w:eastAsia="宋体" w:cs="宋体"/>
                <w:color w:val="auto"/>
                <w:kern w:val="0"/>
                <w:sz w:val="24"/>
                <w:szCs w:val="24"/>
              </w:rPr>
              <w:t>万元/处</w:t>
            </w:r>
          </w:p>
        </w:tc>
      </w:tr>
      <w:tr w14:paraId="4A196E5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B743B3">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35</w:t>
            </w:r>
          </w:p>
        </w:tc>
        <w:tc>
          <w:tcPr>
            <w:tcW w:w="5030" w:type="dxa"/>
            <w:tcBorders>
              <w:top w:val="nil"/>
              <w:left w:val="nil"/>
              <w:bottom w:val="single" w:color="auto" w:sz="4" w:space="0"/>
              <w:right w:val="single" w:color="auto" w:sz="4" w:space="0"/>
            </w:tcBorders>
            <w:shd w:val="clear" w:color="auto" w:fill="auto"/>
            <w:vAlign w:val="center"/>
          </w:tcPr>
          <w:p w14:paraId="149BEA2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乙方违反起重设备使用规定或由于使用不当造成起重设备的损坏。</w:t>
            </w:r>
          </w:p>
        </w:tc>
        <w:tc>
          <w:tcPr>
            <w:tcW w:w="3720" w:type="dxa"/>
            <w:tcBorders>
              <w:top w:val="nil"/>
              <w:left w:val="nil"/>
              <w:bottom w:val="single" w:color="auto" w:sz="4" w:space="0"/>
              <w:right w:val="single" w:color="auto" w:sz="4" w:space="0"/>
            </w:tcBorders>
            <w:shd w:val="clear" w:color="auto" w:fill="auto"/>
            <w:vAlign w:val="center"/>
          </w:tcPr>
          <w:p w14:paraId="670AF48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w:t>
            </w:r>
            <w:r>
              <w:rPr>
                <w:rFonts w:ascii="宋体" w:hAnsi="宋体" w:eastAsia="宋体" w:cs="宋体"/>
                <w:color w:val="auto"/>
                <w:kern w:val="0"/>
                <w:sz w:val="24"/>
                <w:szCs w:val="24"/>
              </w:rPr>
              <w:t>0.3</w:t>
            </w:r>
            <w:r>
              <w:rPr>
                <w:rFonts w:hint="eastAsia" w:ascii="宋体" w:hAnsi="宋体" w:eastAsia="宋体" w:cs="宋体"/>
                <w:color w:val="auto"/>
                <w:kern w:val="0"/>
                <w:sz w:val="24"/>
                <w:szCs w:val="24"/>
              </w:rPr>
              <w:t>万元/次，并负责修复。</w:t>
            </w:r>
          </w:p>
        </w:tc>
      </w:tr>
      <w:tr w14:paraId="663B1C0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A89501A">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36</w:t>
            </w:r>
          </w:p>
        </w:tc>
        <w:tc>
          <w:tcPr>
            <w:tcW w:w="5030" w:type="dxa"/>
            <w:tcBorders>
              <w:top w:val="nil"/>
              <w:left w:val="nil"/>
              <w:bottom w:val="single" w:color="auto" w:sz="4" w:space="0"/>
              <w:right w:val="single" w:color="auto" w:sz="4" w:space="0"/>
            </w:tcBorders>
            <w:shd w:val="clear" w:color="auto" w:fill="auto"/>
            <w:vAlign w:val="center"/>
          </w:tcPr>
          <w:p w14:paraId="4717738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乙方员工工作现场不穿戴或不正确穿戴劳动防护用品，使用不合格工器具。</w:t>
            </w:r>
          </w:p>
        </w:tc>
        <w:tc>
          <w:tcPr>
            <w:tcW w:w="3720" w:type="dxa"/>
            <w:tcBorders>
              <w:top w:val="nil"/>
              <w:left w:val="nil"/>
              <w:bottom w:val="single" w:color="auto" w:sz="4" w:space="0"/>
              <w:right w:val="single" w:color="auto" w:sz="4" w:space="0"/>
            </w:tcBorders>
            <w:shd w:val="clear" w:color="auto" w:fill="auto"/>
            <w:vAlign w:val="center"/>
          </w:tcPr>
          <w:p w14:paraId="7D55023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万元/人·次</w:t>
            </w:r>
          </w:p>
        </w:tc>
      </w:tr>
      <w:tr w14:paraId="1110771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BBFBED">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5030" w:type="dxa"/>
            <w:tcBorders>
              <w:top w:val="nil"/>
              <w:left w:val="nil"/>
              <w:bottom w:val="single" w:color="auto" w:sz="4" w:space="0"/>
              <w:right w:val="single" w:color="auto" w:sz="4" w:space="0"/>
            </w:tcBorders>
            <w:shd w:val="clear" w:color="auto" w:fill="auto"/>
            <w:vAlign w:val="center"/>
          </w:tcPr>
          <w:p w14:paraId="0D73F8C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乙方工作人员在甲方厂区内吸烟（规定的吸烟点除外）。</w:t>
            </w:r>
          </w:p>
        </w:tc>
        <w:tc>
          <w:tcPr>
            <w:tcW w:w="3720" w:type="dxa"/>
            <w:tcBorders>
              <w:top w:val="nil"/>
              <w:left w:val="nil"/>
              <w:bottom w:val="single" w:color="auto" w:sz="4" w:space="0"/>
              <w:right w:val="single" w:color="auto" w:sz="4" w:space="0"/>
            </w:tcBorders>
            <w:shd w:val="clear" w:color="auto" w:fill="auto"/>
            <w:vAlign w:val="center"/>
          </w:tcPr>
          <w:p w14:paraId="61F57C4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厂（场）区吸烟考核</w:t>
            </w:r>
            <w:r>
              <w:rPr>
                <w:rFonts w:ascii="宋体" w:hAnsi="宋体" w:eastAsia="宋体" w:cs="宋体"/>
                <w:color w:val="auto"/>
                <w:kern w:val="0"/>
                <w:sz w:val="24"/>
                <w:szCs w:val="24"/>
              </w:rPr>
              <w:t>500</w:t>
            </w:r>
            <w:r>
              <w:rPr>
                <w:rFonts w:hint="eastAsia" w:ascii="宋体" w:hAnsi="宋体" w:eastAsia="宋体" w:cs="宋体"/>
                <w:color w:val="auto"/>
                <w:kern w:val="0"/>
                <w:sz w:val="24"/>
                <w:szCs w:val="24"/>
              </w:rPr>
              <w:t>元</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人次，重点防火区域吸烟考核</w:t>
            </w:r>
            <w:r>
              <w:rPr>
                <w:rFonts w:ascii="宋体" w:hAnsi="宋体" w:eastAsia="宋体" w:cs="宋体"/>
                <w:color w:val="auto"/>
                <w:kern w:val="0"/>
                <w:sz w:val="24"/>
                <w:szCs w:val="24"/>
              </w:rPr>
              <w:t>0.1</w:t>
            </w:r>
            <w:r>
              <w:rPr>
                <w:rFonts w:hint="eastAsia" w:ascii="宋体" w:hAnsi="宋体" w:eastAsia="宋体" w:cs="宋体"/>
                <w:color w:val="auto"/>
                <w:kern w:val="0"/>
                <w:sz w:val="24"/>
                <w:szCs w:val="24"/>
              </w:rPr>
              <w:t>万－0</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万元</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人</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次。</w:t>
            </w:r>
          </w:p>
        </w:tc>
      </w:tr>
      <w:tr w14:paraId="7250396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8363925">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38</w:t>
            </w:r>
          </w:p>
        </w:tc>
        <w:tc>
          <w:tcPr>
            <w:tcW w:w="5030" w:type="dxa"/>
            <w:tcBorders>
              <w:top w:val="nil"/>
              <w:left w:val="nil"/>
              <w:bottom w:val="single" w:color="auto" w:sz="4" w:space="0"/>
              <w:right w:val="single" w:color="auto" w:sz="4" w:space="0"/>
            </w:tcBorders>
            <w:shd w:val="clear" w:color="auto" w:fill="auto"/>
            <w:vAlign w:val="center"/>
          </w:tcPr>
          <w:p w14:paraId="798641B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乙方在重点防火部位违规动火</w:t>
            </w:r>
          </w:p>
        </w:tc>
        <w:tc>
          <w:tcPr>
            <w:tcW w:w="3720" w:type="dxa"/>
            <w:tcBorders>
              <w:top w:val="nil"/>
              <w:left w:val="nil"/>
              <w:bottom w:val="single" w:color="auto" w:sz="4" w:space="0"/>
              <w:right w:val="single" w:color="auto" w:sz="4" w:space="0"/>
            </w:tcBorders>
            <w:shd w:val="clear" w:color="auto" w:fill="auto"/>
            <w:vAlign w:val="center"/>
          </w:tcPr>
          <w:p w14:paraId="082998EC">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5万元/项</w:t>
            </w:r>
          </w:p>
        </w:tc>
      </w:tr>
      <w:tr w14:paraId="00BFFBC9">
        <w:tblPrEx>
          <w:tblCellMar>
            <w:top w:w="0" w:type="dxa"/>
            <w:left w:w="108" w:type="dxa"/>
            <w:bottom w:w="0" w:type="dxa"/>
            <w:right w:w="108" w:type="dxa"/>
          </w:tblCellMar>
        </w:tblPrEx>
        <w:trPr>
          <w:trHeight w:val="93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AA3958">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39</w:t>
            </w:r>
          </w:p>
        </w:tc>
        <w:tc>
          <w:tcPr>
            <w:tcW w:w="5030" w:type="dxa"/>
            <w:tcBorders>
              <w:top w:val="nil"/>
              <w:left w:val="nil"/>
              <w:bottom w:val="single" w:color="auto" w:sz="4" w:space="0"/>
              <w:right w:val="single" w:color="auto" w:sz="4" w:space="0"/>
            </w:tcBorders>
            <w:shd w:val="clear" w:color="auto" w:fill="auto"/>
            <w:vAlign w:val="center"/>
          </w:tcPr>
          <w:p w14:paraId="6B1C85A4">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乙方高处动火作业，对下方的设备不采取防火隔离措施，或在地板砖、网格栅等处施工未采取保护措施。</w:t>
            </w:r>
          </w:p>
        </w:tc>
        <w:tc>
          <w:tcPr>
            <w:tcW w:w="3720" w:type="dxa"/>
            <w:tcBorders>
              <w:top w:val="nil"/>
              <w:left w:val="nil"/>
              <w:bottom w:val="single" w:color="auto" w:sz="4" w:space="0"/>
              <w:right w:val="single" w:color="auto" w:sz="4" w:space="0"/>
            </w:tcBorders>
            <w:shd w:val="clear" w:color="auto" w:fill="auto"/>
            <w:vAlign w:val="center"/>
          </w:tcPr>
          <w:p w14:paraId="04061D31">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1万元/次</w:t>
            </w:r>
          </w:p>
        </w:tc>
      </w:tr>
      <w:tr w14:paraId="0AE7BCA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3F5605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40</w:t>
            </w:r>
          </w:p>
        </w:tc>
        <w:tc>
          <w:tcPr>
            <w:tcW w:w="5030" w:type="dxa"/>
            <w:tcBorders>
              <w:top w:val="nil"/>
              <w:left w:val="nil"/>
              <w:bottom w:val="single" w:color="auto" w:sz="4" w:space="0"/>
              <w:right w:val="single" w:color="auto" w:sz="4" w:space="0"/>
            </w:tcBorders>
            <w:shd w:val="clear" w:color="auto" w:fill="auto"/>
            <w:vAlign w:val="center"/>
          </w:tcPr>
          <w:p w14:paraId="4AB2128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乙方擅自使用甲方消防水源，挪用、摆压、封堵、圈围、拆除、停用甲方消防设施。</w:t>
            </w:r>
          </w:p>
        </w:tc>
        <w:tc>
          <w:tcPr>
            <w:tcW w:w="3720" w:type="dxa"/>
            <w:tcBorders>
              <w:top w:val="nil"/>
              <w:left w:val="nil"/>
              <w:bottom w:val="single" w:color="auto" w:sz="4" w:space="0"/>
              <w:right w:val="single" w:color="auto" w:sz="4" w:space="0"/>
            </w:tcBorders>
            <w:shd w:val="clear" w:color="auto" w:fill="auto"/>
            <w:vAlign w:val="center"/>
          </w:tcPr>
          <w:p w14:paraId="6DBEF9C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1万元/项，并负责修复或恢复。</w:t>
            </w:r>
          </w:p>
        </w:tc>
      </w:tr>
      <w:tr w14:paraId="6D38AF8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498BC7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41</w:t>
            </w:r>
          </w:p>
        </w:tc>
        <w:tc>
          <w:tcPr>
            <w:tcW w:w="5030" w:type="dxa"/>
            <w:tcBorders>
              <w:top w:val="nil"/>
              <w:left w:val="nil"/>
              <w:bottom w:val="single" w:color="auto" w:sz="4" w:space="0"/>
              <w:right w:val="single" w:color="auto" w:sz="4" w:space="0"/>
            </w:tcBorders>
            <w:shd w:val="clear" w:color="auto" w:fill="auto"/>
            <w:vAlign w:val="center"/>
          </w:tcPr>
          <w:p w14:paraId="50EF420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乙方未经批准堵塞安全出口、疏散通道、消防通道或者占用防火间距。</w:t>
            </w:r>
          </w:p>
        </w:tc>
        <w:tc>
          <w:tcPr>
            <w:tcW w:w="3720" w:type="dxa"/>
            <w:tcBorders>
              <w:top w:val="nil"/>
              <w:left w:val="nil"/>
              <w:bottom w:val="single" w:color="auto" w:sz="4" w:space="0"/>
              <w:right w:val="single" w:color="auto" w:sz="4" w:space="0"/>
            </w:tcBorders>
            <w:shd w:val="clear" w:color="auto" w:fill="auto"/>
            <w:vAlign w:val="center"/>
          </w:tcPr>
          <w:p w14:paraId="79EEE8D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1万元/项</w:t>
            </w:r>
          </w:p>
        </w:tc>
      </w:tr>
      <w:tr w14:paraId="67C2F18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576537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42</w:t>
            </w:r>
          </w:p>
        </w:tc>
        <w:tc>
          <w:tcPr>
            <w:tcW w:w="5030" w:type="dxa"/>
            <w:tcBorders>
              <w:top w:val="nil"/>
              <w:left w:val="nil"/>
              <w:bottom w:val="single" w:color="auto" w:sz="4" w:space="0"/>
              <w:right w:val="single" w:color="auto" w:sz="4" w:space="0"/>
            </w:tcBorders>
            <w:shd w:val="clear" w:color="auto" w:fill="auto"/>
            <w:vAlign w:val="center"/>
          </w:tcPr>
          <w:p w14:paraId="6315B5E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乙方不执行甲方临时电源管理规定，私拉乱接电线，或不正确使用现场检修电源箱。</w:t>
            </w:r>
          </w:p>
        </w:tc>
        <w:tc>
          <w:tcPr>
            <w:tcW w:w="3720" w:type="dxa"/>
            <w:tcBorders>
              <w:top w:val="nil"/>
              <w:left w:val="nil"/>
              <w:bottom w:val="single" w:color="auto" w:sz="4" w:space="0"/>
              <w:right w:val="single" w:color="auto" w:sz="4" w:space="0"/>
            </w:tcBorders>
            <w:shd w:val="clear" w:color="auto" w:fill="auto"/>
            <w:vAlign w:val="center"/>
          </w:tcPr>
          <w:p w14:paraId="6C706C0F">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1万元/项</w:t>
            </w:r>
          </w:p>
        </w:tc>
      </w:tr>
      <w:tr w14:paraId="4E2D190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74C709">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43</w:t>
            </w:r>
          </w:p>
        </w:tc>
        <w:tc>
          <w:tcPr>
            <w:tcW w:w="5030" w:type="dxa"/>
            <w:tcBorders>
              <w:top w:val="nil"/>
              <w:left w:val="nil"/>
              <w:bottom w:val="single" w:color="auto" w:sz="4" w:space="0"/>
              <w:right w:val="single" w:color="auto" w:sz="4" w:space="0"/>
            </w:tcBorders>
            <w:shd w:val="clear" w:color="auto" w:fill="auto"/>
            <w:vAlign w:val="center"/>
          </w:tcPr>
          <w:p w14:paraId="35931DF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乙方违反规程中有关电焊、气焊管理规定，气瓶储存、定置不附合规定，作业工具及施工工艺不附合要求。</w:t>
            </w:r>
          </w:p>
        </w:tc>
        <w:tc>
          <w:tcPr>
            <w:tcW w:w="3720" w:type="dxa"/>
            <w:tcBorders>
              <w:top w:val="nil"/>
              <w:left w:val="nil"/>
              <w:bottom w:val="single" w:color="auto" w:sz="4" w:space="0"/>
              <w:right w:val="single" w:color="auto" w:sz="4" w:space="0"/>
            </w:tcBorders>
            <w:shd w:val="clear" w:color="auto" w:fill="auto"/>
            <w:vAlign w:val="center"/>
          </w:tcPr>
          <w:p w14:paraId="49D970A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1万元/项</w:t>
            </w:r>
          </w:p>
        </w:tc>
      </w:tr>
      <w:tr w14:paraId="49D31EA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39D6824">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44</w:t>
            </w:r>
          </w:p>
        </w:tc>
        <w:tc>
          <w:tcPr>
            <w:tcW w:w="5030" w:type="dxa"/>
            <w:tcBorders>
              <w:top w:val="nil"/>
              <w:left w:val="nil"/>
              <w:bottom w:val="single" w:color="auto" w:sz="4" w:space="0"/>
              <w:right w:val="single" w:color="auto" w:sz="4" w:space="0"/>
            </w:tcBorders>
            <w:shd w:val="clear" w:color="auto" w:fill="auto"/>
            <w:vAlign w:val="center"/>
          </w:tcPr>
          <w:p w14:paraId="709A93BD">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乙方车辆超速行驶或不按规定线路行驶、停放，违反甲方厂（场）区交通规定。</w:t>
            </w:r>
          </w:p>
        </w:tc>
        <w:tc>
          <w:tcPr>
            <w:tcW w:w="3720" w:type="dxa"/>
            <w:tcBorders>
              <w:top w:val="nil"/>
              <w:left w:val="nil"/>
              <w:bottom w:val="single" w:color="auto" w:sz="4" w:space="0"/>
              <w:right w:val="single" w:color="auto" w:sz="4" w:space="0"/>
            </w:tcBorders>
            <w:shd w:val="clear" w:color="auto" w:fill="auto"/>
            <w:vAlign w:val="center"/>
          </w:tcPr>
          <w:p w14:paraId="2ADB1107">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考核200元－500元/次，造成经济损失的照价赔偿。</w:t>
            </w:r>
          </w:p>
        </w:tc>
      </w:tr>
      <w:tr w14:paraId="2BF51D5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463410">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45</w:t>
            </w:r>
          </w:p>
        </w:tc>
        <w:tc>
          <w:tcPr>
            <w:tcW w:w="5030" w:type="dxa"/>
            <w:tcBorders>
              <w:top w:val="nil"/>
              <w:left w:val="nil"/>
              <w:bottom w:val="single" w:color="auto" w:sz="4" w:space="0"/>
              <w:right w:val="single" w:color="auto" w:sz="4" w:space="0"/>
            </w:tcBorders>
            <w:shd w:val="clear" w:color="auto" w:fill="auto"/>
            <w:vAlign w:val="center"/>
          </w:tcPr>
          <w:p w14:paraId="40C5A4B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乙方在甲方范围违反规定使用叉车、推扒机、电瓶车等厂内专用车辆，或车辆维护、保养不到位，安全可靠性不达标。</w:t>
            </w:r>
          </w:p>
        </w:tc>
        <w:tc>
          <w:tcPr>
            <w:tcW w:w="3720" w:type="dxa"/>
            <w:tcBorders>
              <w:top w:val="nil"/>
              <w:left w:val="nil"/>
              <w:bottom w:val="single" w:color="auto" w:sz="4" w:space="0"/>
              <w:right w:val="single" w:color="auto" w:sz="4" w:space="0"/>
            </w:tcBorders>
            <w:shd w:val="clear" w:color="auto" w:fill="auto"/>
            <w:vAlign w:val="center"/>
          </w:tcPr>
          <w:p w14:paraId="0E399B1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2万元/次</w:t>
            </w:r>
          </w:p>
        </w:tc>
      </w:tr>
      <w:tr w14:paraId="2064EC1B">
        <w:tblPrEx>
          <w:tblCellMar>
            <w:top w:w="0" w:type="dxa"/>
            <w:left w:w="108" w:type="dxa"/>
            <w:bottom w:w="0" w:type="dxa"/>
            <w:right w:w="108" w:type="dxa"/>
          </w:tblCellMar>
        </w:tblPrEx>
        <w:trPr>
          <w:trHeight w:val="415"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03E55F3">
            <w:pPr>
              <w:widowControl/>
              <w:spacing w:line="36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四</w:t>
            </w:r>
          </w:p>
        </w:tc>
        <w:tc>
          <w:tcPr>
            <w:tcW w:w="5030" w:type="dxa"/>
            <w:tcBorders>
              <w:top w:val="nil"/>
              <w:left w:val="nil"/>
              <w:bottom w:val="single" w:color="auto" w:sz="4" w:space="0"/>
              <w:right w:val="single" w:color="auto" w:sz="4" w:space="0"/>
            </w:tcBorders>
            <w:shd w:val="clear" w:color="auto" w:fill="auto"/>
            <w:vAlign w:val="center"/>
          </w:tcPr>
          <w:p w14:paraId="4B829A7C">
            <w:pPr>
              <w:widowControl/>
              <w:spacing w:line="36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其它类考核</w:t>
            </w:r>
          </w:p>
        </w:tc>
        <w:tc>
          <w:tcPr>
            <w:tcW w:w="3720" w:type="dxa"/>
            <w:tcBorders>
              <w:top w:val="nil"/>
              <w:left w:val="nil"/>
              <w:bottom w:val="single" w:color="auto" w:sz="4" w:space="0"/>
              <w:right w:val="single" w:color="auto" w:sz="4" w:space="0"/>
            </w:tcBorders>
            <w:shd w:val="clear" w:color="auto" w:fill="auto"/>
            <w:vAlign w:val="center"/>
          </w:tcPr>
          <w:p w14:paraId="43E58BBB">
            <w:pPr>
              <w:widowControl/>
              <w:spacing w:line="360" w:lineRule="exact"/>
              <w:jc w:val="left"/>
              <w:rPr>
                <w:rFonts w:ascii="宋体" w:hAnsi="宋体" w:eastAsia="宋体" w:cs="宋体"/>
                <w:color w:val="auto"/>
                <w:kern w:val="0"/>
                <w:sz w:val="24"/>
                <w:szCs w:val="24"/>
              </w:rPr>
            </w:pPr>
          </w:p>
        </w:tc>
      </w:tr>
      <w:tr w14:paraId="0FB818C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EC3FC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46</w:t>
            </w:r>
          </w:p>
        </w:tc>
        <w:tc>
          <w:tcPr>
            <w:tcW w:w="5030" w:type="dxa"/>
            <w:tcBorders>
              <w:top w:val="nil"/>
              <w:left w:val="nil"/>
              <w:bottom w:val="single" w:color="auto" w:sz="4" w:space="0"/>
              <w:right w:val="single" w:color="auto" w:sz="4" w:space="0"/>
            </w:tcBorders>
            <w:shd w:val="clear" w:color="auto" w:fill="auto"/>
            <w:vAlign w:val="center"/>
          </w:tcPr>
          <w:p w14:paraId="663D8A32">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乙方无故缺席甲方项目安全会议，或未及时传达、下发甲方专项要求、事故通报等。</w:t>
            </w:r>
          </w:p>
        </w:tc>
        <w:tc>
          <w:tcPr>
            <w:tcW w:w="3720" w:type="dxa"/>
            <w:tcBorders>
              <w:top w:val="nil"/>
              <w:left w:val="nil"/>
              <w:bottom w:val="single" w:color="auto" w:sz="4" w:space="0"/>
              <w:right w:val="single" w:color="auto" w:sz="4" w:space="0"/>
            </w:tcBorders>
            <w:shd w:val="clear" w:color="auto" w:fill="auto"/>
            <w:vAlign w:val="center"/>
          </w:tcPr>
          <w:p w14:paraId="655BB3D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考核200-500元/次</w:t>
            </w:r>
          </w:p>
        </w:tc>
      </w:tr>
      <w:tr w14:paraId="254FE0F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8DA938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47</w:t>
            </w:r>
          </w:p>
        </w:tc>
        <w:tc>
          <w:tcPr>
            <w:tcW w:w="5030" w:type="dxa"/>
            <w:tcBorders>
              <w:top w:val="nil"/>
              <w:left w:val="nil"/>
              <w:bottom w:val="single" w:color="auto" w:sz="4" w:space="0"/>
              <w:right w:val="single" w:color="auto" w:sz="4" w:space="0"/>
            </w:tcBorders>
            <w:shd w:val="clear" w:color="auto" w:fill="auto"/>
            <w:vAlign w:val="center"/>
          </w:tcPr>
          <w:p w14:paraId="5DD982E8">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乙方违反《电力安全工作规程》中搬运规定，造成厂区道路污染、草木或设备损坏等。</w:t>
            </w:r>
          </w:p>
        </w:tc>
        <w:tc>
          <w:tcPr>
            <w:tcW w:w="3720" w:type="dxa"/>
            <w:tcBorders>
              <w:top w:val="nil"/>
              <w:left w:val="nil"/>
              <w:bottom w:val="single" w:color="auto" w:sz="4" w:space="0"/>
              <w:right w:val="single" w:color="auto" w:sz="4" w:space="0"/>
            </w:tcBorders>
            <w:shd w:val="clear" w:color="auto" w:fill="auto"/>
            <w:vAlign w:val="center"/>
          </w:tcPr>
          <w:p w14:paraId="30AF7506">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2万元/次，并负责修复。</w:t>
            </w:r>
          </w:p>
        </w:tc>
      </w:tr>
      <w:tr w14:paraId="4E1FEC9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32DC2F">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48</w:t>
            </w:r>
          </w:p>
        </w:tc>
        <w:tc>
          <w:tcPr>
            <w:tcW w:w="5030" w:type="dxa"/>
            <w:tcBorders>
              <w:top w:val="nil"/>
              <w:left w:val="nil"/>
              <w:bottom w:val="single" w:color="auto" w:sz="4" w:space="0"/>
              <w:right w:val="single" w:color="auto" w:sz="4" w:space="0"/>
            </w:tcBorders>
            <w:shd w:val="clear" w:color="auto" w:fill="auto"/>
            <w:vAlign w:val="center"/>
          </w:tcPr>
          <w:p w14:paraId="59DA282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乙方作业区域脏、乱、差现象严重，工作结束未做到“工完、料尽、场地清”。</w:t>
            </w:r>
          </w:p>
        </w:tc>
        <w:tc>
          <w:tcPr>
            <w:tcW w:w="3720" w:type="dxa"/>
            <w:tcBorders>
              <w:top w:val="nil"/>
              <w:left w:val="nil"/>
              <w:bottom w:val="single" w:color="auto" w:sz="4" w:space="0"/>
              <w:right w:val="single" w:color="auto" w:sz="4" w:space="0"/>
            </w:tcBorders>
            <w:shd w:val="clear" w:color="auto" w:fill="auto"/>
            <w:vAlign w:val="center"/>
          </w:tcPr>
          <w:p w14:paraId="2DA43EF0">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2万元/次</w:t>
            </w:r>
          </w:p>
        </w:tc>
      </w:tr>
      <w:tr w14:paraId="59DA64F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B7EF67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49</w:t>
            </w:r>
          </w:p>
        </w:tc>
        <w:tc>
          <w:tcPr>
            <w:tcW w:w="5030" w:type="dxa"/>
            <w:tcBorders>
              <w:top w:val="nil"/>
              <w:left w:val="nil"/>
              <w:bottom w:val="single" w:color="auto" w:sz="4" w:space="0"/>
              <w:right w:val="single" w:color="auto" w:sz="4" w:space="0"/>
            </w:tcBorders>
            <w:shd w:val="clear" w:color="auto" w:fill="auto"/>
            <w:vAlign w:val="center"/>
          </w:tcPr>
          <w:p w14:paraId="306E5863">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乙方现场材料、工具、部件、棚架、油漆、废料等不符合定置管理要求，经提出后仍不整改</w:t>
            </w:r>
          </w:p>
        </w:tc>
        <w:tc>
          <w:tcPr>
            <w:tcW w:w="3720" w:type="dxa"/>
            <w:tcBorders>
              <w:top w:val="nil"/>
              <w:left w:val="nil"/>
              <w:bottom w:val="single" w:color="auto" w:sz="4" w:space="0"/>
              <w:right w:val="single" w:color="auto" w:sz="4" w:space="0"/>
            </w:tcBorders>
            <w:shd w:val="clear" w:color="auto" w:fill="auto"/>
            <w:vAlign w:val="center"/>
          </w:tcPr>
          <w:p w14:paraId="34C13F4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2万元/项</w:t>
            </w:r>
          </w:p>
        </w:tc>
      </w:tr>
      <w:tr w14:paraId="125A91E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7D7B95B">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5030" w:type="dxa"/>
            <w:tcBorders>
              <w:top w:val="nil"/>
              <w:left w:val="nil"/>
              <w:bottom w:val="single" w:color="auto" w:sz="4" w:space="0"/>
              <w:right w:val="single" w:color="auto" w:sz="4" w:space="0"/>
            </w:tcBorders>
            <w:shd w:val="clear" w:color="auto" w:fill="auto"/>
            <w:vAlign w:val="center"/>
          </w:tcPr>
          <w:p w14:paraId="78674425">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乙方设备作业区域不采取完善的隔离保护措施，或由此造成设备、备品备件、零配件丢失或损坏，杂物掉入、设施损坏、环境污染等。</w:t>
            </w:r>
          </w:p>
        </w:tc>
        <w:tc>
          <w:tcPr>
            <w:tcW w:w="3720" w:type="dxa"/>
            <w:tcBorders>
              <w:top w:val="nil"/>
              <w:left w:val="nil"/>
              <w:bottom w:val="single" w:color="auto" w:sz="4" w:space="0"/>
              <w:right w:val="single" w:color="auto" w:sz="4" w:space="0"/>
            </w:tcBorders>
            <w:shd w:val="clear" w:color="auto" w:fill="auto"/>
            <w:vAlign w:val="center"/>
          </w:tcPr>
          <w:p w14:paraId="503C9C3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考核500元－0</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万元/次，设备和备件丢失、损坏按原价赔偿。</w:t>
            </w:r>
          </w:p>
        </w:tc>
      </w:tr>
      <w:tr w14:paraId="64D637F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4161B76">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5030" w:type="dxa"/>
            <w:tcBorders>
              <w:top w:val="nil"/>
              <w:left w:val="nil"/>
              <w:bottom w:val="single" w:color="auto" w:sz="4" w:space="0"/>
              <w:right w:val="single" w:color="auto" w:sz="4" w:space="0"/>
            </w:tcBorders>
            <w:shd w:val="clear" w:color="auto" w:fill="auto"/>
            <w:vAlign w:val="center"/>
          </w:tcPr>
          <w:p w14:paraId="06EF13C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乙方损坏或丢弃甲方设备标示牌及安措警示牌，未及时恢复。</w:t>
            </w:r>
          </w:p>
        </w:tc>
        <w:tc>
          <w:tcPr>
            <w:tcW w:w="3720" w:type="dxa"/>
            <w:tcBorders>
              <w:top w:val="nil"/>
              <w:left w:val="nil"/>
              <w:bottom w:val="single" w:color="auto" w:sz="4" w:space="0"/>
              <w:right w:val="single" w:color="auto" w:sz="4" w:space="0"/>
            </w:tcBorders>
            <w:shd w:val="clear" w:color="auto" w:fill="auto"/>
            <w:vAlign w:val="center"/>
          </w:tcPr>
          <w:p w14:paraId="48516BCE">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考核100元－200元/个，并负责恢复。</w:t>
            </w:r>
          </w:p>
        </w:tc>
      </w:tr>
      <w:tr w14:paraId="2FB6993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6D04631">
            <w:pPr>
              <w:widowControl/>
              <w:spacing w:line="360" w:lineRule="exac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52</w:t>
            </w:r>
          </w:p>
        </w:tc>
        <w:tc>
          <w:tcPr>
            <w:tcW w:w="5030" w:type="dxa"/>
            <w:tcBorders>
              <w:top w:val="nil"/>
              <w:left w:val="nil"/>
              <w:bottom w:val="single" w:color="auto" w:sz="4" w:space="0"/>
              <w:right w:val="single" w:color="auto" w:sz="4" w:space="0"/>
            </w:tcBorders>
            <w:shd w:val="clear" w:color="auto" w:fill="auto"/>
            <w:vAlign w:val="center"/>
          </w:tcPr>
          <w:p w14:paraId="561BA30B">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乙方违反甲方安全管理制度等的其它未列事项。</w:t>
            </w:r>
          </w:p>
        </w:tc>
        <w:tc>
          <w:tcPr>
            <w:tcW w:w="3720" w:type="dxa"/>
            <w:tcBorders>
              <w:top w:val="nil"/>
              <w:left w:val="nil"/>
              <w:bottom w:val="single" w:color="auto" w:sz="4" w:space="0"/>
              <w:right w:val="single" w:color="auto" w:sz="4" w:space="0"/>
            </w:tcBorders>
            <w:shd w:val="clear" w:color="auto" w:fill="auto"/>
            <w:vAlign w:val="center"/>
          </w:tcPr>
          <w:p w14:paraId="6FBA6DAA">
            <w:pPr>
              <w:widowControl/>
              <w:spacing w:line="3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考核200元－0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1万元/次，或按甲方相关管理制度执行。</w:t>
            </w:r>
          </w:p>
        </w:tc>
      </w:tr>
    </w:tbl>
    <w:p w14:paraId="525608A5">
      <w:pPr>
        <w:tabs>
          <w:tab w:val="left" w:pos="360"/>
        </w:tabs>
        <w:spacing w:line="540" w:lineRule="exact"/>
        <w:rPr>
          <w:rFonts w:ascii="宋体" w:hAnsi="宋体" w:eastAsia="宋体"/>
          <w:snapToGrid w:val="0"/>
          <w:color w:val="auto"/>
          <w:sz w:val="24"/>
          <w:szCs w:val="24"/>
        </w:rPr>
      </w:pPr>
    </w:p>
    <w:p w14:paraId="5D04B976">
      <w:pPr>
        <w:pStyle w:val="2"/>
        <w:rPr>
          <w:rFonts w:hint="eastAsia" w:ascii="宋体" w:hAnsi="宋体" w:cs="宋体"/>
          <w:bCs/>
          <w:color w:val="auto"/>
          <w:sz w:val="24"/>
        </w:rPr>
      </w:pPr>
    </w:p>
    <w:p w14:paraId="55DE5934">
      <w:pPr>
        <w:pStyle w:val="2"/>
        <w:rPr>
          <w:b/>
          <w:sz w:val="24"/>
          <w:szCs w:val="24"/>
        </w:rPr>
      </w:pPr>
    </w:p>
    <w:p w14:paraId="285F767A">
      <w:pPr>
        <w:pStyle w:val="2"/>
        <w:rPr>
          <w:b/>
          <w:sz w:val="24"/>
          <w:szCs w:val="24"/>
        </w:rPr>
      </w:pPr>
    </w:p>
    <w:p w14:paraId="7895F3A1">
      <w:pPr>
        <w:pStyle w:val="2"/>
        <w:rPr>
          <w:b/>
          <w:sz w:val="24"/>
          <w:szCs w:val="24"/>
        </w:rPr>
      </w:pPr>
    </w:p>
    <w:p w14:paraId="5D90876F"/>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EAB8107-2E94-48EE-B5D1-C876FFCD57D1}"/>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C2C76760-F208-4528-B39A-E5B48461B6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0CC764-D824-49A3-89C7-6E3E6F0BF8F6}"/>
  </w:font>
  <w:font w:name="仿宋_GB2312">
    <w:panose1 w:val="02010609030101010101"/>
    <w:charset w:val="86"/>
    <w:family w:val="modern"/>
    <w:pitch w:val="default"/>
    <w:sig w:usb0="00000001" w:usb1="080E0000" w:usb2="00000000" w:usb3="00000000" w:csb0="00040000" w:csb1="00000000"/>
    <w:embedRegular r:id="rId4" w:fontKey="{F79F8B01-03A1-4035-9D88-99A12A468681}"/>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embedRegular r:id="rId5" w:fontKey="{96D0680F-F5A8-451D-BC7A-D96DC32E922F}"/>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00FEA066-A6BE-4164-996C-788CE5868365}"/>
  </w:font>
  <w:font w:name="方正仿宋_GB2312">
    <w:panose1 w:val="02000000000000000000"/>
    <w:charset w:val="86"/>
    <w:family w:val="auto"/>
    <w:pitch w:val="default"/>
    <w:sig w:usb0="A00002BF" w:usb1="184F6CFA" w:usb2="00000012" w:usb3="00000000" w:csb0="00040001" w:csb1="00000000"/>
    <w:embedRegular r:id="rId7" w:fontKey="{0B221A8F-89A5-46F9-932F-A4B40161B95E}"/>
  </w:font>
  <w:font w:name="方正小标宋简体">
    <w:panose1 w:val="03000509000000000000"/>
    <w:charset w:val="86"/>
    <w:family w:val="script"/>
    <w:pitch w:val="default"/>
    <w:sig w:usb0="00000001" w:usb1="080E0000" w:usb2="00000000" w:usb3="00000000" w:csb0="00040000" w:csb1="00000000"/>
    <w:embedRegular r:id="rId8" w:fontKey="{BACA6B7F-BB17-4A27-B755-85CE9483C23F}"/>
  </w:font>
  <w:font w:name="新宋体">
    <w:panose1 w:val="02010609030101010101"/>
    <w:charset w:val="86"/>
    <w:family w:val="modern"/>
    <w:pitch w:val="default"/>
    <w:sig w:usb0="00000283" w:usb1="288F0000" w:usb2="00000006" w:usb3="00000000" w:csb0="00040001" w:csb1="00000000"/>
    <w:embedRegular r:id="rId9" w:fontKey="{BCAFF7B2-4274-469E-B32E-694759FDF7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3230">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38B1">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4122">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DB4B">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0FACFC0">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0FACFC0">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8C2C">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629C">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0782">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922D">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AD13">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F6C5">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4BED">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7718">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7346">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4">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5">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3">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16">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abstractNum w:abstractNumId="25">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0"/>
  </w:num>
  <w:num w:numId="2">
    <w:abstractNumId w:val="24"/>
  </w:num>
  <w:num w:numId="3">
    <w:abstractNumId w:val="8"/>
  </w:num>
  <w:num w:numId="4">
    <w:abstractNumId w:val="15"/>
  </w:num>
  <w:num w:numId="5">
    <w:abstractNumId w:val="4"/>
  </w:num>
  <w:num w:numId="6">
    <w:abstractNumId w:val="27"/>
  </w:num>
  <w:num w:numId="7">
    <w:abstractNumId w:val="7"/>
  </w:num>
  <w:num w:numId="8">
    <w:abstractNumId w:val="23"/>
  </w:num>
  <w:num w:numId="9">
    <w:abstractNumId w:val="9"/>
  </w:num>
  <w:num w:numId="10">
    <w:abstractNumId w:val="6"/>
  </w:num>
  <w:num w:numId="11">
    <w:abstractNumId w:val="21"/>
  </w:num>
  <w:num w:numId="12">
    <w:abstractNumId w:val="14"/>
  </w:num>
  <w:num w:numId="13">
    <w:abstractNumId w:val="17"/>
  </w:num>
  <w:num w:numId="14">
    <w:abstractNumId w:val="13"/>
  </w:num>
  <w:num w:numId="15">
    <w:abstractNumId w:val="26"/>
  </w:num>
  <w:num w:numId="16">
    <w:abstractNumId w:val="19"/>
  </w:num>
  <w:num w:numId="17">
    <w:abstractNumId w:val="22"/>
  </w:num>
  <w:num w:numId="18">
    <w:abstractNumId w:val="25"/>
  </w:num>
  <w:num w:numId="19">
    <w:abstractNumId w:val="16"/>
  </w:num>
  <w:num w:numId="20">
    <w:abstractNumId w:val="11"/>
  </w:num>
  <w:num w:numId="21">
    <w:abstractNumId w:val="18"/>
  </w:num>
  <w:num w:numId="22">
    <w:abstractNumId w:val="10"/>
  </w:num>
  <w:num w:numId="23">
    <w:abstractNumId w:val="28"/>
  </w:num>
  <w:num w:numId="24">
    <w:abstractNumId w:val="1"/>
  </w:num>
  <w:num w:numId="25">
    <w:abstractNumId w:val="29"/>
  </w:num>
  <w:num w:numId="26">
    <w:abstractNumId w:val="2"/>
  </w:num>
  <w:num w:numId="27">
    <w:abstractNumId w:val="5"/>
  </w:num>
  <w:num w:numId="28">
    <w:abstractNumId w:val="12"/>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4450"/>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2F71580"/>
    <w:rsid w:val="03D7671D"/>
    <w:rsid w:val="04622147"/>
    <w:rsid w:val="049213FA"/>
    <w:rsid w:val="04C43CA9"/>
    <w:rsid w:val="04CB26B7"/>
    <w:rsid w:val="054961CF"/>
    <w:rsid w:val="057B0CF5"/>
    <w:rsid w:val="057C2E83"/>
    <w:rsid w:val="05A30F1F"/>
    <w:rsid w:val="05A35B11"/>
    <w:rsid w:val="05BB109C"/>
    <w:rsid w:val="05CF0384"/>
    <w:rsid w:val="05E675D9"/>
    <w:rsid w:val="066628A8"/>
    <w:rsid w:val="06855A4E"/>
    <w:rsid w:val="06AD17A9"/>
    <w:rsid w:val="06EA49B3"/>
    <w:rsid w:val="07854B6B"/>
    <w:rsid w:val="07DB478B"/>
    <w:rsid w:val="08321448"/>
    <w:rsid w:val="08B7263C"/>
    <w:rsid w:val="093A6551"/>
    <w:rsid w:val="095424B6"/>
    <w:rsid w:val="09A14FB0"/>
    <w:rsid w:val="0A4A3863"/>
    <w:rsid w:val="0B4732CE"/>
    <w:rsid w:val="0BE35B73"/>
    <w:rsid w:val="0CD54276"/>
    <w:rsid w:val="0D4115C5"/>
    <w:rsid w:val="0D422387"/>
    <w:rsid w:val="0D720B5C"/>
    <w:rsid w:val="0D8A4B9A"/>
    <w:rsid w:val="0DAA0D03"/>
    <w:rsid w:val="0DE77DD1"/>
    <w:rsid w:val="0E674286"/>
    <w:rsid w:val="0E7E3DF2"/>
    <w:rsid w:val="0E8404DC"/>
    <w:rsid w:val="0E9B3219"/>
    <w:rsid w:val="0F3F5F47"/>
    <w:rsid w:val="0F64775C"/>
    <w:rsid w:val="0FF8457D"/>
    <w:rsid w:val="10980124"/>
    <w:rsid w:val="10E937C3"/>
    <w:rsid w:val="114336DB"/>
    <w:rsid w:val="116D7D5F"/>
    <w:rsid w:val="11893C2E"/>
    <w:rsid w:val="118C2F9A"/>
    <w:rsid w:val="11E838BD"/>
    <w:rsid w:val="127B7EBF"/>
    <w:rsid w:val="12C91B7D"/>
    <w:rsid w:val="12EF215A"/>
    <w:rsid w:val="137837D5"/>
    <w:rsid w:val="13E966D7"/>
    <w:rsid w:val="149E21D6"/>
    <w:rsid w:val="15E904EC"/>
    <w:rsid w:val="181910A0"/>
    <w:rsid w:val="185D2F9A"/>
    <w:rsid w:val="18AF0451"/>
    <w:rsid w:val="190A364B"/>
    <w:rsid w:val="19A86E39"/>
    <w:rsid w:val="19D87E0C"/>
    <w:rsid w:val="19FF69FF"/>
    <w:rsid w:val="1A7647E7"/>
    <w:rsid w:val="1A772A39"/>
    <w:rsid w:val="1B6373E0"/>
    <w:rsid w:val="1BFA5CF3"/>
    <w:rsid w:val="1C3A0B86"/>
    <w:rsid w:val="1C6F3713"/>
    <w:rsid w:val="1CC57360"/>
    <w:rsid w:val="1D046CBC"/>
    <w:rsid w:val="1D130BE5"/>
    <w:rsid w:val="1D277FFB"/>
    <w:rsid w:val="1D896844"/>
    <w:rsid w:val="1EC20311"/>
    <w:rsid w:val="1EE91A2B"/>
    <w:rsid w:val="1EF030AE"/>
    <w:rsid w:val="1F1E2764"/>
    <w:rsid w:val="2130423F"/>
    <w:rsid w:val="214178FD"/>
    <w:rsid w:val="215317CD"/>
    <w:rsid w:val="21BD6CCF"/>
    <w:rsid w:val="21CE4F56"/>
    <w:rsid w:val="24A361D8"/>
    <w:rsid w:val="24E2023A"/>
    <w:rsid w:val="253569B8"/>
    <w:rsid w:val="258D3FCB"/>
    <w:rsid w:val="259C4D58"/>
    <w:rsid w:val="25D074A1"/>
    <w:rsid w:val="26177287"/>
    <w:rsid w:val="261F65FD"/>
    <w:rsid w:val="264050AF"/>
    <w:rsid w:val="26515BC8"/>
    <w:rsid w:val="268B34BD"/>
    <w:rsid w:val="269009DE"/>
    <w:rsid w:val="26995AE5"/>
    <w:rsid w:val="26F22A50"/>
    <w:rsid w:val="2753038A"/>
    <w:rsid w:val="277D18E8"/>
    <w:rsid w:val="27CE17BE"/>
    <w:rsid w:val="27DB190D"/>
    <w:rsid w:val="293D0CDF"/>
    <w:rsid w:val="29A9603F"/>
    <w:rsid w:val="29BD4C05"/>
    <w:rsid w:val="29CC61D1"/>
    <w:rsid w:val="29F80D74"/>
    <w:rsid w:val="2A9A4881"/>
    <w:rsid w:val="2BA50D37"/>
    <w:rsid w:val="2C222D0F"/>
    <w:rsid w:val="2C2B6E73"/>
    <w:rsid w:val="2C876482"/>
    <w:rsid w:val="2CBA2011"/>
    <w:rsid w:val="2D750DC5"/>
    <w:rsid w:val="2D7947A6"/>
    <w:rsid w:val="2DE17253"/>
    <w:rsid w:val="2E4C5B33"/>
    <w:rsid w:val="2E6171BA"/>
    <w:rsid w:val="2E6810F7"/>
    <w:rsid w:val="2EF91839"/>
    <w:rsid w:val="2FD50595"/>
    <w:rsid w:val="30185CCC"/>
    <w:rsid w:val="30823A8E"/>
    <w:rsid w:val="30F66BB1"/>
    <w:rsid w:val="310D15A9"/>
    <w:rsid w:val="315A2C85"/>
    <w:rsid w:val="31C64CA0"/>
    <w:rsid w:val="31C93411"/>
    <w:rsid w:val="31DB260F"/>
    <w:rsid w:val="32504B42"/>
    <w:rsid w:val="32AF5BAB"/>
    <w:rsid w:val="32BA6947"/>
    <w:rsid w:val="330D6A25"/>
    <w:rsid w:val="338D0CCC"/>
    <w:rsid w:val="342047F4"/>
    <w:rsid w:val="343063EC"/>
    <w:rsid w:val="345158B9"/>
    <w:rsid w:val="34600516"/>
    <w:rsid w:val="347D2FEF"/>
    <w:rsid w:val="34A35C8A"/>
    <w:rsid w:val="3511009F"/>
    <w:rsid w:val="35F44AE6"/>
    <w:rsid w:val="3600556A"/>
    <w:rsid w:val="365D4FC6"/>
    <w:rsid w:val="36897924"/>
    <w:rsid w:val="369E3E6A"/>
    <w:rsid w:val="36AD11E7"/>
    <w:rsid w:val="37273501"/>
    <w:rsid w:val="37414EE7"/>
    <w:rsid w:val="37733392"/>
    <w:rsid w:val="37763BA2"/>
    <w:rsid w:val="37BA5695"/>
    <w:rsid w:val="37D916D8"/>
    <w:rsid w:val="37F00CC4"/>
    <w:rsid w:val="37FC59AD"/>
    <w:rsid w:val="385B17A2"/>
    <w:rsid w:val="38AF316F"/>
    <w:rsid w:val="38F54890"/>
    <w:rsid w:val="39033292"/>
    <w:rsid w:val="392B247B"/>
    <w:rsid w:val="3999584A"/>
    <w:rsid w:val="3A121204"/>
    <w:rsid w:val="3A440A28"/>
    <w:rsid w:val="3AA00696"/>
    <w:rsid w:val="3AD80437"/>
    <w:rsid w:val="3B036BE7"/>
    <w:rsid w:val="3B5B038D"/>
    <w:rsid w:val="3B5F2AD3"/>
    <w:rsid w:val="3B9403C6"/>
    <w:rsid w:val="3BC23B67"/>
    <w:rsid w:val="3CC33464"/>
    <w:rsid w:val="3D033CA2"/>
    <w:rsid w:val="3E0C37D6"/>
    <w:rsid w:val="3F3F2027"/>
    <w:rsid w:val="3F4141E4"/>
    <w:rsid w:val="3FA54285"/>
    <w:rsid w:val="3FAE0274"/>
    <w:rsid w:val="3FFF507D"/>
    <w:rsid w:val="40427790"/>
    <w:rsid w:val="405161B4"/>
    <w:rsid w:val="408D0011"/>
    <w:rsid w:val="409158D4"/>
    <w:rsid w:val="40A1586A"/>
    <w:rsid w:val="40BC4452"/>
    <w:rsid w:val="4108086F"/>
    <w:rsid w:val="41855690"/>
    <w:rsid w:val="419E00B9"/>
    <w:rsid w:val="428B4A24"/>
    <w:rsid w:val="42AF4664"/>
    <w:rsid w:val="42CB5C59"/>
    <w:rsid w:val="43C773AF"/>
    <w:rsid w:val="445C6183"/>
    <w:rsid w:val="449B7D7B"/>
    <w:rsid w:val="452F319D"/>
    <w:rsid w:val="454E1116"/>
    <w:rsid w:val="46037BE1"/>
    <w:rsid w:val="462C5BD6"/>
    <w:rsid w:val="4671642F"/>
    <w:rsid w:val="46A872A9"/>
    <w:rsid w:val="47377C56"/>
    <w:rsid w:val="47E9474F"/>
    <w:rsid w:val="483D231C"/>
    <w:rsid w:val="484C4096"/>
    <w:rsid w:val="48562C83"/>
    <w:rsid w:val="48C44DA1"/>
    <w:rsid w:val="48F84EE1"/>
    <w:rsid w:val="493030F5"/>
    <w:rsid w:val="4932421A"/>
    <w:rsid w:val="49325BF9"/>
    <w:rsid w:val="49B93C25"/>
    <w:rsid w:val="4A2B54F7"/>
    <w:rsid w:val="4A4E6A63"/>
    <w:rsid w:val="4AA76173"/>
    <w:rsid w:val="4ADB6797"/>
    <w:rsid w:val="4B4C237C"/>
    <w:rsid w:val="4BA62077"/>
    <w:rsid w:val="4BD91028"/>
    <w:rsid w:val="4C5C37E2"/>
    <w:rsid w:val="4C5E42D2"/>
    <w:rsid w:val="4E507EBE"/>
    <w:rsid w:val="4E7F0FFB"/>
    <w:rsid w:val="4E834801"/>
    <w:rsid w:val="4EEC17B6"/>
    <w:rsid w:val="4EF13605"/>
    <w:rsid w:val="4F390BD3"/>
    <w:rsid w:val="500137A2"/>
    <w:rsid w:val="500C7C04"/>
    <w:rsid w:val="50114E25"/>
    <w:rsid w:val="50445C50"/>
    <w:rsid w:val="5051584E"/>
    <w:rsid w:val="50A519B9"/>
    <w:rsid w:val="50AB7180"/>
    <w:rsid w:val="50FE0AB7"/>
    <w:rsid w:val="525766D1"/>
    <w:rsid w:val="52591BFD"/>
    <w:rsid w:val="54225486"/>
    <w:rsid w:val="54595AAF"/>
    <w:rsid w:val="5468240D"/>
    <w:rsid w:val="55052414"/>
    <w:rsid w:val="55284354"/>
    <w:rsid w:val="554271C4"/>
    <w:rsid w:val="5598564B"/>
    <w:rsid w:val="55A411C8"/>
    <w:rsid w:val="55BA7B6C"/>
    <w:rsid w:val="569C4220"/>
    <w:rsid w:val="57593E0C"/>
    <w:rsid w:val="577A2A68"/>
    <w:rsid w:val="57961D82"/>
    <w:rsid w:val="57A56CA7"/>
    <w:rsid w:val="580E1483"/>
    <w:rsid w:val="585C67EF"/>
    <w:rsid w:val="58661700"/>
    <w:rsid w:val="588A1E31"/>
    <w:rsid w:val="599E6993"/>
    <w:rsid w:val="59BE4E8D"/>
    <w:rsid w:val="5A541CEC"/>
    <w:rsid w:val="5B1753EE"/>
    <w:rsid w:val="5B7454FD"/>
    <w:rsid w:val="5BA24215"/>
    <w:rsid w:val="5BB61A63"/>
    <w:rsid w:val="5C19274C"/>
    <w:rsid w:val="5C474125"/>
    <w:rsid w:val="5C580FB8"/>
    <w:rsid w:val="5C5F7F06"/>
    <w:rsid w:val="5C8701BA"/>
    <w:rsid w:val="5CA77CF1"/>
    <w:rsid w:val="5D0D6F39"/>
    <w:rsid w:val="5D3E5CC8"/>
    <w:rsid w:val="5D4D42DE"/>
    <w:rsid w:val="5D716E9C"/>
    <w:rsid w:val="5DEF0A25"/>
    <w:rsid w:val="5E4F2952"/>
    <w:rsid w:val="5F6D308F"/>
    <w:rsid w:val="5F7A5C9D"/>
    <w:rsid w:val="6050696E"/>
    <w:rsid w:val="607057AF"/>
    <w:rsid w:val="60914018"/>
    <w:rsid w:val="60B83C9C"/>
    <w:rsid w:val="612E3B80"/>
    <w:rsid w:val="6172022C"/>
    <w:rsid w:val="61EE3664"/>
    <w:rsid w:val="620B3E28"/>
    <w:rsid w:val="62395975"/>
    <w:rsid w:val="627B1F67"/>
    <w:rsid w:val="627B5AC3"/>
    <w:rsid w:val="628C29ED"/>
    <w:rsid w:val="629879F7"/>
    <w:rsid w:val="62BE12BA"/>
    <w:rsid w:val="62F81BDC"/>
    <w:rsid w:val="635A7DCF"/>
    <w:rsid w:val="638666E3"/>
    <w:rsid w:val="642108EC"/>
    <w:rsid w:val="64980FC9"/>
    <w:rsid w:val="64A13C7E"/>
    <w:rsid w:val="64DE2339"/>
    <w:rsid w:val="65BD7342"/>
    <w:rsid w:val="65C61973"/>
    <w:rsid w:val="65EB7404"/>
    <w:rsid w:val="66000AE7"/>
    <w:rsid w:val="663E5786"/>
    <w:rsid w:val="66517838"/>
    <w:rsid w:val="665770C1"/>
    <w:rsid w:val="66A52013"/>
    <w:rsid w:val="66B13A44"/>
    <w:rsid w:val="67481970"/>
    <w:rsid w:val="684A230B"/>
    <w:rsid w:val="686F2605"/>
    <w:rsid w:val="68D06397"/>
    <w:rsid w:val="69201173"/>
    <w:rsid w:val="698143CC"/>
    <w:rsid w:val="6AA07B5A"/>
    <w:rsid w:val="6ACD6345"/>
    <w:rsid w:val="6B226435"/>
    <w:rsid w:val="6B573020"/>
    <w:rsid w:val="6B8C146E"/>
    <w:rsid w:val="6BBD2E50"/>
    <w:rsid w:val="6C6877A8"/>
    <w:rsid w:val="6C8B4AD0"/>
    <w:rsid w:val="6DB26844"/>
    <w:rsid w:val="6DDA6292"/>
    <w:rsid w:val="6E5455DC"/>
    <w:rsid w:val="6E926416"/>
    <w:rsid w:val="6F18437B"/>
    <w:rsid w:val="6F3C490B"/>
    <w:rsid w:val="6F595848"/>
    <w:rsid w:val="6F6368F4"/>
    <w:rsid w:val="6F7307BE"/>
    <w:rsid w:val="6F733366"/>
    <w:rsid w:val="6FB915DB"/>
    <w:rsid w:val="6FBE3493"/>
    <w:rsid w:val="6FCA62DC"/>
    <w:rsid w:val="6FF33AE4"/>
    <w:rsid w:val="700579DC"/>
    <w:rsid w:val="70932B72"/>
    <w:rsid w:val="71154548"/>
    <w:rsid w:val="717E737E"/>
    <w:rsid w:val="71E969C8"/>
    <w:rsid w:val="722C440B"/>
    <w:rsid w:val="726F6CC7"/>
    <w:rsid w:val="727121FA"/>
    <w:rsid w:val="727349D0"/>
    <w:rsid w:val="729C4E3F"/>
    <w:rsid w:val="732F5111"/>
    <w:rsid w:val="73634A7D"/>
    <w:rsid w:val="73970283"/>
    <w:rsid w:val="73E2166B"/>
    <w:rsid w:val="73EA283C"/>
    <w:rsid w:val="74A72748"/>
    <w:rsid w:val="754349D5"/>
    <w:rsid w:val="755C229D"/>
    <w:rsid w:val="761F0133"/>
    <w:rsid w:val="767862B7"/>
    <w:rsid w:val="769C1C9A"/>
    <w:rsid w:val="76B94B84"/>
    <w:rsid w:val="76BD35BC"/>
    <w:rsid w:val="771F1A59"/>
    <w:rsid w:val="77461754"/>
    <w:rsid w:val="7751412C"/>
    <w:rsid w:val="77B40166"/>
    <w:rsid w:val="77C55584"/>
    <w:rsid w:val="77CF7FAB"/>
    <w:rsid w:val="782640CC"/>
    <w:rsid w:val="782F5B16"/>
    <w:rsid w:val="78A2537A"/>
    <w:rsid w:val="792225F5"/>
    <w:rsid w:val="7A053C05"/>
    <w:rsid w:val="7B590514"/>
    <w:rsid w:val="7B8659DA"/>
    <w:rsid w:val="7C676C6F"/>
    <w:rsid w:val="7CE02698"/>
    <w:rsid w:val="7CF617DC"/>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4">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Lines="0" w:line="416" w:lineRule="auto"/>
      <w:outlineLvl w:val="2"/>
    </w:pPr>
    <w:rPr>
      <w:b/>
      <w:bCs/>
      <w:sz w:val="32"/>
      <w:szCs w:val="32"/>
    </w:rPr>
  </w:style>
  <w:style w:type="paragraph" w:styleId="6">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7">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8">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9">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0">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1">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9"/>
    <w:qFormat/>
    <w:uiPriority w:val="99"/>
    <w:pPr>
      <w:snapToGrid w:val="0"/>
      <w:spacing w:beforeLines="0" w:line="240" w:lineRule="auto"/>
      <w:jc w:val="center"/>
    </w:pPr>
    <w:rPr>
      <w:rFonts w:ascii="宋体" w:hAnsi="宋体"/>
      <w:sz w:val="21"/>
    </w:rPr>
  </w:style>
  <w:style w:type="paragraph" w:styleId="12">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3">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4">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5">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6">
    <w:name w:val="Document Map"/>
    <w:basedOn w:val="1"/>
    <w:link w:val="263"/>
    <w:qFormat/>
    <w:uiPriority w:val="99"/>
    <w:pPr>
      <w:shd w:val="clear" w:color="auto" w:fill="000080"/>
    </w:pPr>
  </w:style>
  <w:style w:type="paragraph" w:styleId="17">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8">
    <w:name w:val="Body Text 3"/>
    <w:basedOn w:val="1"/>
    <w:semiHidden/>
    <w:unhideWhenUsed/>
    <w:qFormat/>
    <w:uiPriority w:val="99"/>
    <w:pPr>
      <w:spacing w:beforeLines="0"/>
      <w:jc w:val="center"/>
    </w:pPr>
    <w:rPr>
      <w:bCs/>
      <w:color w:val="000000"/>
      <w:szCs w:val="20"/>
    </w:rPr>
  </w:style>
  <w:style w:type="paragraph" w:styleId="19">
    <w:name w:val="Body Text Indent"/>
    <w:basedOn w:val="1"/>
    <w:next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7"/>
    <w:next w:val="17"/>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2"/>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1"/>
    <w:qFormat/>
    <w:uiPriority w:val="0"/>
    <w:rPr>
      <w:rFonts w:ascii="Arial" w:hAnsi="Arial" w:eastAsia="黑体"/>
      <w:kern w:val="2"/>
      <w:sz w:val="21"/>
      <w:szCs w:val="21"/>
      <w:lang w:val="en-US" w:eastAsia="zh-CN" w:bidi="ar-SA"/>
    </w:rPr>
  </w:style>
  <w:style w:type="character" w:customStyle="1" w:styleId="81">
    <w:name w:val="正文缩进 字符"/>
    <w:link w:val="13"/>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5"/>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9"/>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3"/>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6"/>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4"/>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8"/>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3"/>
    <w:next w:val="3"/>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3"/>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3"/>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4"/>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5"/>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6"/>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3"/>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2"/>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6"/>
    <w:qFormat/>
    <w:uiPriority w:val="99"/>
    <w:rPr>
      <w:rFonts w:ascii="Times New Roman" w:hAnsi="Times New Roman" w:eastAsia="宋体" w:cs="Times New Roman"/>
    </w:rPr>
  </w:style>
  <w:style w:type="character" w:customStyle="1" w:styleId="264">
    <w:name w:val="批注文字 字符"/>
    <w:basedOn w:val="53"/>
    <w:link w:val="17"/>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47</Pages>
  <Words>9636</Words>
  <Characters>9830</Characters>
  <Lines>186</Lines>
  <Paragraphs>52</Paragraphs>
  <TotalTime>22</TotalTime>
  <ScaleCrop>false</ScaleCrop>
  <LinksUpToDate>false</LinksUpToDate>
  <CharactersWithSpaces>10178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2026-03-10T03:42:00Z</cp:lastPrinted>
  <dcterms:modified xsi:type="dcterms:W3CDTF">2026-03-10T07:37:16Z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